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E8000">
      <w:pPr>
        <w:rPr>
          <w:rFonts w:hint="eastAsia" w:ascii="黑体" w:eastAsia="黑体"/>
          <w:sz w:val="36"/>
          <w:szCs w:val="36"/>
        </w:rPr>
      </w:pPr>
      <w:bookmarkStart w:id="0" w:name="_GoBack"/>
      <w:bookmarkEnd w:id="0"/>
    </w:p>
    <w:p w14:paraId="65C9407C">
      <w:pPr>
        <w:spacing w:line="600" w:lineRule="exact"/>
        <w:jc w:val="center"/>
        <w:rPr>
          <w:rFonts w:hint="eastAsia" w:ascii="宋体" w:hAnsi="宋体" w:eastAsia="方正小标宋简体"/>
          <w:sz w:val="44"/>
          <w:szCs w:val="44"/>
        </w:rPr>
      </w:pPr>
      <w:r>
        <w:rPr>
          <w:rFonts w:hint="eastAsia" w:ascii="宋体" w:hAnsi="宋体" w:eastAsia="方正小标宋简体"/>
          <w:sz w:val="44"/>
          <w:szCs w:val="44"/>
        </w:rPr>
        <w:t>关于做好2025年春季学期“雨露计划”</w:t>
      </w:r>
    </w:p>
    <w:p w14:paraId="0113A6CA">
      <w:pPr>
        <w:spacing w:line="600" w:lineRule="exact"/>
        <w:jc w:val="center"/>
        <w:rPr>
          <w:rFonts w:hint="eastAsia" w:ascii="宋体" w:hAnsi="宋体" w:eastAsia="方正小标宋简体"/>
          <w:sz w:val="44"/>
          <w:szCs w:val="44"/>
        </w:rPr>
      </w:pPr>
      <w:r>
        <w:rPr>
          <w:rFonts w:hint="eastAsia" w:ascii="宋体" w:hAnsi="宋体" w:eastAsia="方正小标宋简体"/>
          <w:sz w:val="44"/>
          <w:szCs w:val="44"/>
        </w:rPr>
        <w:t>培训补助申报工作的</w:t>
      </w:r>
    </w:p>
    <w:p w14:paraId="668A557F">
      <w:pPr>
        <w:spacing w:line="600" w:lineRule="exact"/>
        <w:jc w:val="center"/>
        <w:rPr>
          <w:rFonts w:hint="eastAsia" w:ascii="宋体" w:hAnsi="宋体" w:eastAsia="方正小标宋简体"/>
          <w:sz w:val="44"/>
          <w:szCs w:val="44"/>
        </w:rPr>
      </w:pPr>
      <w:r>
        <w:rPr>
          <w:rFonts w:hint="eastAsia" w:ascii="宋体" w:hAnsi="宋体" w:eastAsia="方正小标宋简体"/>
          <w:sz w:val="44"/>
          <w:szCs w:val="44"/>
        </w:rPr>
        <w:t>通  知</w:t>
      </w:r>
    </w:p>
    <w:p w14:paraId="2CD23F98">
      <w:pPr>
        <w:pStyle w:val="8"/>
        <w:spacing w:line="600" w:lineRule="exact"/>
        <w:ind w:left="0" w:leftChars="0"/>
        <w:rPr>
          <w:rFonts w:hint="eastAsia" w:ascii="宋体" w:hAnsi="宋体" w:eastAsia="仿宋_GB2312"/>
          <w:sz w:val="32"/>
          <w:szCs w:val="32"/>
        </w:rPr>
      </w:pPr>
    </w:p>
    <w:p w14:paraId="23525108">
      <w:pPr>
        <w:pStyle w:val="8"/>
        <w:snapToGrid w:val="0"/>
        <w:spacing w:line="560" w:lineRule="exact"/>
        <w:ind w:left="0" w:leftChars="0"/>
        <w:rPr>
          <w:rFonts w:hint="eastAsia" w:ascii="宋体" w:hAnsi="宋体" w:eastAsia="仿宋_GB2312"/>
          <w:sz w:val="32"/>
          <w:szCs w:val="32"/>
        </w:rPr>
      </w:pPr>
      <w:r>
        <w:rPr>
          <w:rFonts w:hint="eastAsia" w:ascii="宋体" w:hAnsi="宋体" w:eastAsia="仿宋_GB2312"/>
          <w:sz w:val="32"/>
          <w:szCs w:val="32"/>
        </w:rPr>
        <w:t>各乡（镇）人民政府，各帮扶单位：</w:t>
      </w:r>
    </w:p>
    <w:p w14:paraId="4AFB971B">
      <w:pPr>
        <w:pStyle w:val="8"/>
        <w:snapToGrid w:val="0"/>
        <w:spacing w:line="560" w:lineRule="exact"/>
        <w:ind w:left="0" w:leftChars="0" w:firstLine="679"/>
        <w:rPr>
          <w:rFonts w:hint="eastAsia" w:ascii="宋体" w:hAnsi="宋体" w:eastAsia="仿宋_GB2312"/>
          <w:sz w:val="32"/>
          <w:szCs w:val="32"/>
        </w:rPr>
      </w:pPr>
      <w:r>
        <w:rPr>
          <w:rFonts w:hint="eastAsia" w:ascii="宋体" w:hAnsi="宋体" w:eastAsia="仿宋_GB2312"/>
          <w:sz w:val="32"/>
          <w:szCs w:val="32"/>
        </w:rPr>
        <w:t>根据省乡村振兴局《关于调整“雨露计划”相关政策的通知》（赣乡振综字〔2021〕2号）、《关于调整防止返贫监测对象消除风险后雨露计划补助政策享受周期的通知》（赣乡振函〔2023〕13号）要求，现将有关2025年春季学期“雨露计划”培训补助申报事项通知如下：</w:t>
      </w:r>
    </w:p>
    <w:p w14:paraId="0E149834">
      <w:pPr>
        <w:pStyle w:val="6"/>
        <w:snapToGrid w:val="0"/>
        <w:spacing w:line="560" w:lineRule="exact"/>
        <w:ind w:firstLine="640"/>
        <w:rPr>
          <w:rFonts w:hint="eastAsia" w:ascii="宋体" w:hAnsi="宋体" w:eastAsia="黑体"/>
          <w:szCs w:val="32"/>
        </w:rPr>
      </w:pPr>
      <w:r>
        <w:rPr>
          <w:rFonts w:hint="eastAsia" w:ascii="宋体" w:hAnsi="宋体" w:eastAsia="黑体"/>
          <w:szCs w:val="32"/>
        </w:rPr>
        <w:t>一、实施范围及补助对象</w:t>
      </w:r>
    </w:p>
    <w:p w14:paraId="6B63D266">
      <w:pPr>
        <w:pStyle w:val="6"/>
        <w:snapToGrid w:val="0"/>
        <w:spacing w:line="560" w:lineRule="exact"/>
        <w:ind w:left="2568" w:leftChars="200" w:hanging="1928" w:hangingChars="600"/>
        <w:rPr>
          <w:rFonts w:hint="eastAsia" w:ascii="宋体" w:hAnsi="宋体" w:eastAsia="楷体_GB2312"/>
          <w:b/>
          <w:bCs/>
          <w:szCs w:val="32"/>
        </w:rPr>
      </w:pPr>
      <w:r>
        <w:rPr>
          <w:rFonts w:hint="eastAsia" w:ascii="宋体" w:hAnsi="宋体" w:eastAsia="楷体_GB2312"/>
          <w:b/>
          <w:bCs/>
          <w:szCs w:val="32"/>
        </w:rPr>
        <w:t>1.实施范围：</w:t>
      </w:r>
    </w:p>
    <w:p w14:paraId="4F07F0C4">
      <w:pPr>
        <w:pStyle w:val="6"/>
        <w:snapToGrid w:val="0"/>
        <w:spacing w:line="560" w:lineRule="exact"/>
        <w:ind w:left="2560" w:leftChars="200" w:hanging="1920" w:hangingChars="600"/>
        <w:rPr>
          <w:rFonts w:hint="eastAsia" w:ascii="宋体" w:hAnsi="宋体"/>
          <w:szCs w:val="32"/>
        </w:rPr>
      </w:pPr>
      <w:r>
        <w:rPr>
          <w:rFonts w:hint="eastAsia" w:ascii="宋体" w:hAnsi="宋体"/>
          <w:szCs w:val="32"/>
        </w:rPr>
        <w:t>（1）全县农村建档立卡脱贫人口；</w:t>
      </w:r>
    </w:p>
    <w:p w14:paraId="5B87D7E4">
      <w:pPr>
        <w:snapToGrid w:val="0"/>
        <w:spacing w:line="560" w:lineRule="exact"/>
        <w:ind w:firstLine="640" w:firstLineChars="200"/>
        <w:rPr>
          <w:rFonts w:hint="eastAsia" w:ascii="宋体" w:hAnsi="宋体"/>
          <w:szCs w:val="32"/>
        </w:rPr>
      </w:pPr>
      <w:r>
        <w:rPr>
          <w:rFonts w:hint="eastAsia" w:ascii="宋体" w:hAnsi="宋体"/>
          <w:szCs w:val="32"/>
        </w:rPr>
        <w:t>（2）尚未消除风险的监测对象；</w:t>
      </w:r>
    </w:p>
    <w:p w14:paraId="44F156C5">
      <w:pPr>
        <w:snapToGrid w:val="0"/>
        <w:spacing w:line="560" w:lineRule="exact"/>
        <w:ind w:firstLine="640" w:firstLineChars="200"/>
        <w:rPr>
          <w:rFonts w:hint="eastAsia" w:ascii="宋体" w:hAnsi="宋体"/>
          <w:szCs w:val="32"/>
        </w:rPr>
      </w:pPr>
      <w:r>
        <w:rPr>
          <w:rFonts w:hint="eastAsia" w:ascii="宋体" w:hAnsi="宋体"/>
          <w:szCs w:val="32"/>
        </w:rPr>
        <w:t>（3）边缘易致贫户和突发严重困难户风险消除后补助政策持续到完成当前学段（注：消除风险之后才开始读中高职的，不符合补发条件）。</w:t>
      </w:r>
    </w:p>
    <w:p w14:paraId="24AC7810">
      <w:pPr>
        <w:pStyle w:val="6"/>
        <w:snapToGrid w:val="0"/>
        <w:spacing w:line="560" w:lineRule="exact"/>
        <w:ind w:firstLine="643"/>
        <w:rPr>
          <w:rFonts w:hint="eastAsia" w:ascii="宋体" w:hAnsi="宋体" w:eastAsia="楷体_GB2312"/>
          <w:b/>
          <w:bCs/>
          <w:szCs w:val="32"/>
        </w:rPr>
      </w:pPr>
      <w:r>
        <w:rPr>
          <w:rFonts w:hint="eastAsia" w:ascii="宋体" w:hAnsi="宋体" w:eastAsia="楷体_GB2312"/>
          <w:b/>
          <w:bCs/>
          <w:szCs w:val="32"/>
        </w:rPr>
        <w:t>2.补助对象：</w:t>
      </w:r>
      <w:r>
        <w:rPr>
          <w:rFonts w:hint="eastAsia" w:ascii="宋体" w:hAnsi="宋体"/>
          <w:szCs w:val="32"/>
        </w:rPr>
        <w:t>上述实施范围家庭子女初、高中毕业后接受全日制中、高等职业教育（技工学校）的学生。</w:t>
      </w:r>
    </w:p>
    <w:p w14:paraId="4965B864">
      <w:pPr>
        <w:pStyle w:val="6"/>
        <w:snapToGrid w:val="0"/>
        <w:spacing w:line="560" w:lineRule="exact"/>
        <w:ind w:firstLine="640"/>
        <w:rPr>
          <w:rFonts w:hint="eastAsia" w:ascii="宋体" w:hAnsi="宋体" w:eastAsia="黑体"/>
          <w:szCs w:val="32"/>
        </w:rPr>
      </w:pPr>
      <w:r>
        <w:rPr>
          <w:rFonts w:hint="eastAsia" w:ascii="宋体" w:hAnsi="宋体" w:eastAsia="黑体"/>
          <w:szCs w:val="32"/>
        </w:rPr>
        <w:t>二、补助方式及标准</w:t>
      </w:r>
    </w:p>
    <w:p w14:paraId="045FF15A">
      <w:pPr>
        <w:pStyle w:val="6"/>
        <w:snapToGrid w:val="0"/>
        <w:spacing w:line="560" w:lineRule="exact"/>
        <w:ind w:firstLine="643"/>
        <w:rPr>
          <w:rFonts w:hint="eastAsia" w:ascii="宋体" w:hAnsi="宋体" w:eastAsia="楷体_GB2312"/>
          <w:b/>
          <w:bCs/>
          <w:szCs w:val="32"/>
        </w:rPr>
      </w:pPr>
      <w:r>
        <w:rPr>
          <w:rFonts w:hint="eastAsia" w:ascii="宋体" w:hAnsi="宋体" w:eastAsia="楷体_GB2312"/>
          <w:b/>
          <w:bCs/>
          <w:szCs w:val="32"/>
        </w:rPr>
        <w:t>1.补助方式：</w:t>
      </w:r>
      <w:r>
        <w:rPr>
          <w:rFonts w:hint="eastAsia" w:ascii="宋体" w:hAnsi="宋体" w:eastAsia="楷体_GB2312"/>
          <w:szCs w:val="32"/>
        </w:rPr>
        <w:t>“雨露计划”培训补助</w:t>
      </w:r>
      <w:r>
        <w:rPr>
          <w:rFonts w:hint="eastAsia" w:ascii="宋体" w:hAnsi="宋体"/>
          <w:szCs w:val="32"/>
        </w:rPr>
        <w:t>按学期发放，农户申请核实后，将补助资金全额打入补助对象社保卡账号。</w:t>
      </w:r>
    </w:p>
    <w:p w14:paraId="12965B21">
      <w:pPr>
        <w:pStyle w:val="6"/>
        <w:snapToGrid w:val="0"/>
        <w:spacing w:line="560" w:lineRule="exact"/>
        <w:ind w:firstLine="643"/>
        <w:rPr>
          <w:rFonts w:hint="eastAsia" w:ascii="宋体" w:hAnsi="宋体" w:eastAsia="楷体_GB2312"/>
          <w:b/>
          <w:bCs/>
          <w:szCs w:val="32"/>
        </w:rPr>
      </w:pPr>
      <w:r>
        <w:rPr>
          <w:rFonts w:hint="eastAsia" w:ascii="宋体" w:hAnsi="宋体" w:eastAsia="楷体_GB2312"/>
          <w:b/>
          <w:bCs/>
          <w:szCs w:val="32"/>
        </w:rPr>
        <w:t>2.补助标准：</w:t>
      </w:r>
      <w:r>
        <w:rPr>
          <w:rFonts w:hint="eastAsia" w:ascii="宋体" w:hAnsi="宋体"/>
          <w:szCs w:val="32"/>
        </w:rPr>
        <w:t>符合条件的对象参加职业教育培训每人每学期补助1500元。</w:t>
      </w:r>
    </w:p>
    <w:p w14:paraId="31D77C28">
      <w:pPr>
        <w:pStyle w:val="6"/>
        <w:snapToGrid w:val="0"/>
        <w:spacing w:line="560" w:lineRule="exact"/>
        <w:ind w:firstLine="640"/>
        <w:rPr>
          <w:rFonts w:hint="eastAsia" w:ascii="宋体" w:hAnsi="宋体" w:eastAsia="黑体"/>
          <w:szCs w:val="32"/>
        </w:rPr>
      </w:pPr>
      <w:r>
        <w:rPr>
          <w:rFonts w:hint="eastAsia" w:ascii="宋体" w:hAnsi="宋体" w:eastAsia="黑体"/>
          <w:szCs w:val="32"/>
        </w:rPr>
        <w:t>三、培训学校及时间界定</w:t>
      </w:r>
    </w:p>
    <w:p w14:paraId="68434679">
      <w:pPr>
        <w:pStyle w:val="6"/>
        <w:snapToGrid w:val="0"/>
        <w:spacing w:line="560" w:lineRule="exact"/>
        <w:ind w:firstLine="643"/>
        <w:rPr>
          <w:rFonts w:hint="eastAsia" w:ascii="宋体" w:hAnsi="宋体" w:eastAsia="楷体_GB2312"/>
          <w:b/>
          <w:bCs/>
          <w:szCs w:val="32"/>
        </w:rPr>
      </w:pPr>
      <w:r>
        <w:rPr>
          <w:rFonts w:hint="eastAsia" w:ascii="宋体" w:hAnsi="宋体" w:eastAsia="楷体_GB2312"/>
          <w:b/>
          <w:bCs/>
          <w:szCs w:val="32"/>
        </w:rPr>
        <w:t>1.学校范围：</w:t>
      </w:r>
      <w:r>
        <w:rPr>
          <w:rFonts w:hint="eastAsia" w:ascii="宋体" w:hAnsi="宋体"/>
          <w:szCs w:val="32"/>
        </w:rPr>
        <w:t>中等职业教育包括全日制普通中专、职业高中、技工院校；高等职业教育包括全日制普通大专、高职院校、高级技校、技师学院等。</w:t>
      </w:r>
    </w:p>
    <w:p w14:paraId="326D45CD">
      <w:pPr>
        <w:pStyle w:val="6"/>
        <w:snapToGrid w:val="0"/>
        <w:spacing w:line="560" w:lineRule="exact"/>
        <w:ind w:firstLine="643"/>
        <w:rPr>
          <w:rFonts w:hint="eastAsia" w:ascii="宋体" w:hAnsi="宋体" w:eastAsia="楷体_GB2312"/>
          <w:b/>
          <w:bCs/>
          <w:szCs w:val="32"/>
        </w:rPr>
      </w:pPr>
      <w:r>
        <w:rPr>
          <w:rFonts w:hint="eastAsia" w:ascii="宋体" w:hAnsi="宋体" w:eastAsia="楷体_GB2312"/>
          <w:b/>
          <w:bCs/>
          <w:szCs w:val="32"/>
        </w:rPr>
        <w:t>2.时间界定：</w:t>
      </w:r>
      <w:r>
        <w:rPr>
          <w:rFonts w:hint="eastAsia" w:ascii="宋体" w:hAnsi="宋体"/>
          <w:szCs w:val="32"/>
        </w:rPr>
        <w:t>本次申请培训补助对象为2025年春季学期2025年2月至2025年7月在校就读中职或高职学生。</w:t>
      </w:r>
    </w:p>
    <w:p w14:paraId="0C06F7CC">
      <w:pPr>
        <w:pStyle w:val="6"/>
        <w:snapToGrid w:val="0"/>
        <w:spacing w:line="560" w:lineRule="exact"/>
        <w:ind w:firstLine="0" w:firstLineChars="0"/>
        <w:rPr>
          <w:rFonts w:hint="eastAsia" w:ascii="宋体" w:hAnsi="宋体"/>
          <w:szCs w:val="32"/>
        </w:rPr>
      </w:pPr>
      <w:r>
        <w:rPr>
          <w:rFonts w:hint="eastAsia" w:ascii="宋体" w:hAnsi="宋体"/>
          <w:szCs w:val="32"/>
        </w:rPr>
        <w:t xml:space="preserve">    </w:t>
      </w:r>
      <w:r>
        <w:rPr>
          <w:rFonts w:hint="eastAsia" w:ascii="宋体" w:hAnsi="宋体" w:eastAsia="黑体"/>
          <w:szCs w:val="32"/>
        </w:rPr>
        <w:t>四、申报程序和所需材料</w:t>
      </w:r>
    </w:p>
    <w:p w14:paraId="7644A677">
      <w:pPr>
        <w:pStyle w:val="6"/>
        <w:snapToGrid w:val="0"/>
        <w:spacing w:line="560" w:lineRule="exact"/>
        <w:ind w:firstLine="643"/>
        <w:rPr>
          <w:rFonts w:hint="eastAsia" w:ascii="宋体" w:hAnsi="宋体" w:eastAsia="楷体_GB2312"/>
          <w:b/>
          <w:bCs/>
          <w:szCs w:val="32"/>
        </w:rPr>
      </w:pPr>
      <w:r>
        <w:rPr>
          <w:rFonts w:hint="eastAsia" w:ascii="宋体" w:hAnsi="宋体" w:eastAsia="楷体_GB2312"/>
          <w:b/>
          <w:bCs/>
          <w:szCs w:val="32"/>
        </w:rPr>
        <w:t>1.申报程序。</w:t>
      </w:r>
      <w:r>
        <w:rPr>
          <w:rFonts w:hint="eastAsia" w:ascii="宋体" w:hAnsi="宋体"/>
          <w:szCs w:val="32"/>
        </w:rPr>
        <w:t>村组干部及帮扶干部核实申请→村“两委”核实上报→乡级汇总审核→县级公示审定→财政审批拨款。</w:t>
      </w:r>
    </w:p>
    <w:p w14:paraId="4C506C4B">
      <w:pPr>
        <w:pStyle w:val="6"/>
        <w:snapToGrid w:val="0"/>
        <w:spacing w:line="560" w:lineRule="exact"/>
        <w:ind w:firstLine="643"/>
        <w:rPr>
          <w:rFonts w:hint="eastAsia" w:ascii="宋体" w:hAnsi="宋体" w:eastAsia="楷体_GB2312"/>
          <w:b/>
          <w:bCs/>
          <w:szCs w:val="32"/>
        </w:rPr>
      </w:pPr>
      <w:r>
        <w:rPr>
          <w:rFonts w:hint="eastAsia" w:ascii="宋体" w:hAnsi="宋体" w:eastAsia="楷体_GB2312"/>
          <w:b/>
          <w:bCs/>
          <w:szCs w:val="32"/>
        </w:rPr>
        <w:t>2.所需材料。</w:t>
      </w:r>
      <w:r>
        <w:rPr>
          <w:rFonts w:hint="eastAsia" w:ascii="宋体" w:hAnsi="宋体"/>
          <w:szCs w:val="32"/>
        </w:rPr>
        <w:t>由帮扶干部或村干部填报、收集以下纸质资料交村书记或第一书记处汇总（材料一式两份，县农业农村局、乡（镇）各一份）。</w:t>
      </w:r>
    </w:p>
    <w:p w14:paraId="489E56FA">
      <w:pPr>
        <w:pStyle w:val="6"/>
        <w:snapToGrid w:val="0"/>
        <w:spacing w:line="560" w:lineRule="exact"/>
        <w:ind w:firstLine="640"/>
        <w:rPr>
          <w:rFonts w:hint="eastAsia" w:ascii="宋体" w:hAnsi="宋体"/>
          <w:szCs w:val="32"/>
        </w:rPr>
      </w:pPr>
      <w:r>
        <w:rPr>
          <w:rFonts w:hint="eastAsia" w:ascii="宋体" w:hAnsi="宋体"/>
          <w:szCs w:val="32"/>
        </w:rPr>
        <w:t>（1）《江西省“雨露计划”学生就读信息核实情况表》（详见附件1）；</w:t>
      </w:r>
    </w:p>
    <w:p w14:paraId="695EC132">
      <w:pPr>
        <w:pStyle w:val="6"/>
        <w:snapToGrid w:val="0"/>
        <w:spacing w:line="560" w:lineRule="exact"/>
        <w:ind w:firstLine="640"/>
        <w:rPr>
          <w:rFonts w:hint="eastAsia" w:ascii="宋体" w:hAnsi="宋体"/>
          <w:szCs w:val="32"/>
        </w:rPr>
      </w:pPr>
      <w:r>
        <w:rPr>
          <w:rFonts w:hint="eastAsia" w:ascii="宋体" w:hAnsi="宋体"/>
          <w:szCs w:val="32"/>
        </w:rPr>
        <w:t>（2）在校生证明材料（需就读学校盖章确认）。</w:t>
      </w:r>
    </w:p>
    <w:p w14:paraId="3D87FD81">
      <w:pPr>
        <w:pStyle w:val="6"/>
        <w:snapToGrid w:val="0"/>
        <w:spacing w:line="560" w:lineRule="exact"/>
        <w:ind w:firstLine="640"/>
        <w:rPr>
          <w:rFonts w:hint="eastAsia" w:ascii="宋体" w:hAnsi="宋体" w:eastAsia="黑体"/>
          <w:szCs w:val="32"/>
        </w:rPr>
      </w:pPr>
      <w:r>
        <w:rPr>
          <w:rFonts w:hint="eastAsia" w:ascii="宋体" w:hAnsi="宋体" w:eastAsia="黑体"/>
          <w:szCs w:val="32"/>
        </w:rPr>
        <w:t>五、工作要求</w:t>
      </w:r>
    </w:p>
    <w:p w14:paraId="3AD003DF">
      <w:pPr>
        <w:pStyle w:val="6"/>
        <w:snapToGrid w:val="0"/>
        <w:spacing w:line="560" w:lineRule="exact"/>
        <w:ind w:firstLine="643"/>
        <w:rPr>
          <w:rFonts w:hint="eastAsia" w:ascii="宋体" w:hAnsi="宋体" w:eastAsia="楷体_GB2312"/>
          <w:b/>
          <w:bCs/>
          <w:szCs w:val="32"/>
        </w:rPr>
      </w:pPr>
      <w:r>
        <w:rPr>
          <w:rFonts w:hint="eastAsia" w:ascii="宋体" w:hAnsi="宋体" w:eastAsia="楷体_GB2312"/>
          <w:b/>
          <w:bCs/>
          <w:szCs w:val="32"/>
        </w:rPr>
        <w:t>1.压实工作责任。</w:t>
      </w:r>
      <w:r>
        <w:rPr>
          <w:rFonts w:hint="eastAsia" w:ascii="宋体" w:hAnsi="宋体"/>
          <w:szCs w:val="32"/>
        </w:rPr>
        <w:t>各村书记、第一书记是“雨露计划”培训政策落实的第一责任人，村组干部及帮扶干部是直接责任人，需在《江西省“雨露计划学生就读信息核实情况表》签字确认。各乡（镇）指定一名“雨露计划”具体工作人员，负责档案资料的收集、审核、汇总以及系统数据的录入工作。</w:t>
      </w:r>
    </w:p>
    <w:p w14:paraId="54FB3E4A">
      <w:pPr>
        <w:pStyle w:val="8"/>
        <w:snapToGrid w:val="0"/>
        <w:spacing w:line="560" w:lineRule="exact"/>
        <w:ind w:left="0" w:leftChars="0" w:firstLine="679"/>
        <w:rPr>
          <w:rFonts w:hint="eastAsia" w:ascii="宋体" w:hAnsi="宋体" w:eastAsia="楷体_GB2312"/>
          <w:b/>
          <w:bCs/>
          <w:sz w:val="32"/>
          <w:szCs w:val="32"/>
        </w:rPr>
      </w:pPr>
      <w:r>
        <w:rPr>
          <w:rFonts w:hint="eastAsia" w:ascii="宋体" w:hAnsi="宋体" w:eastAsia="楷体_GB2312"/>
          <w:b/>
          <w:bCs/>
          <w:sz w:val="32"/>
          <w:szCs w:val="32"/>
        </w:rPr>
        <w:t>2.加大宣传力度。</w:t>
      </w:r>
      <w:r>
        <w:rPr>
          <w:rFonts w:hint="eastAsia" w:ascii="宋体" w:hAnsi="宋体" w:eastAsia="仿宋_GB2312"/>
          <w:sz w:val="32"/>
          <w:szCs w:val="32"/>
        </w:rPr>
        <w:t>各乡（镇）、各帮扶单位要加大宣传力度，充分发挥乡村干部、驻村工作队、帮扶干部的作用，深入村组，宣传好“雨露计划”培训工作的相关政策，切实让符合条件的补助对象及时获得补助，实现“应补尽补”。</w:t>
      </w:r>
    </w:p>
    <w:p w14:paraId="1F53A469">
      <w:pPr>
        <w:pStyle w:val="6"/>
        <w:snapToGrid w:val="0"/>
        <w:spacing w:line="560" w:lineRule="exact"/>
        <w:ind w:firstLine="643"/>
        <w:rPr>
          <w:rFonts w:hint="eastAsia" w:ascii="宋体" w:hAnsi="宋体" w:eastAsia="楷体_GB2312"/>
          <w:b/>
          <w:bCs/>
          <w:szCs w:val="32"/>
        </w:rPr>
      </w:pPr>
      <w:r>
        <w:rPr>
          <w:rFonts w:hint="eastAsia" w:ascii="宋体" w:hAnsi="宋体" w:eastAsia="楷体_GB2312"/>
          <w:b/>
          <w:bCs/>
          <w:szCs w:val="32"/>
        </w:rPr>
        <w:t>3.及时报送材料。</w:t>
      </w:r>
      <w:r>
        <w:rPr>
          <w:rFonts w:hint="eastAsia" w:ascii="宋体" w:hAnsi="宋体"/>
          <w:b/>
          <w:bCs/>
          <w:szCs w:val="32"/>
        </w:rPr>
        <w:t>2025年4月25日前，</w:t>
      </w:r>
      <w:r>
        <w:rPr>
          <w:rFonts w:hint="eastAsia" w:ascii="宋体" w:hAnsi="宋体"/>
          <w:szCs w:val="32"/>
        </w:rPr>
        <w:t>村组干部及帮扶干部核实学生就读信息，填报《江西省雨露计划学生就读信息核实情况表》并收集在校生证明，交村书记、第一书记处汇总；</w:t>
      </w:r>
      <w:r>
        <w:rPr>
          <w:rFonts w:hint="eastAsia" w:ascii="宋体" w:hAnsi="宋体"/>
          <w:b/>
          <w:bCs/>
          <w:szCs w:val="32"/>
        </w:rPr>
        <w:t>5月9日前，</w:t>
      </w:r>
      <w:r>
        <w:rPr>
          <w:rFonts w:hint="eastAsia" w:ascii="宋体" w:hAnsi="宋体"/>
          <w:szCs w:val="32"/>
        </w:rPr>
        <w:t>各乡（镇）收集、审核、汇总相关资料报县农业农村局，电子稿报邮箱syxfp@163.com（详见附件2）。</w:t>
      </w:r>
    </w:p>
    <w:p w14:paraId="63877B09">
      <w:pPr>
        <w:pStyle w:val="6"/>
        <w:snapToGrid w:val="0"/>
        <w:spacing w:line="560" w:lineRule="exact"/>
        <w:ind w:firstLine="643"/>
        <w:rPr>
          <w:rFonts w:hint="eastAsia" w:ascii="宋体" w:hAnsi="宋体" w:eastAsia="楷体_GB2312"/>
          <w:b/>
          <w:bCs/>
          <w:szCs w:val="32"/>
        </w:rPr>
      </w:pPr>
      <w:r>
        <w:rPr>
          <w:rFonts w:hint="eastAsia" w:ascii="宋体" w:hAnsi="宋体" w:eastAsia="楷体_GB2312"/>
          <w:b/>
          <w:bCs/>
          <w:szCs w:val="32"/>
        </w:rPr>
        <w:t>4.加强项目管理。</w:t>
      </w:r>
      <w:r>
        <w:rPr>
          <w:rFonts w:hint="eastAsia" w:ascii="宋体" w:hAnsi="宋体"/>
          <w:szCs w:val="32"/>
        </w:rPr>
        <w:t>“雨露计划”培训补助申报材料一式两份，县农业农村局、乡（镇）各一份。各乡（镇）要及时整理归档好项目相关文件、申报资料、拨付凭证、电子台账等档案资料并妥善保管。对已经获得培训补助的脱贫家庭，要及时在全国防返贫监测信息系统中正确标识，做到不遗漏、不错标。</w:t>
      </w:r>
    </w:p>
    <w:p w14:paraId="7039391F">
      <w:pPr>
        <w:pStyle w:val="6"/>
        <w:snapToGrid w:val="0"/>
        <w:spacing w:line="560" w:lineRule="exact"/>
        <w:ind w:firstLine="640"/>
        <w:rPr>
          <w:rFonts w:hint="eastAsia" w:ascii="宋体" w:hAnsi="宋体"/>
          <w:szCs w:val="32"/>
        </w:rPr>
      </w:pPr>
    </w:p>
    <w:p w14:paraId="43C716A0">
      <w:pPr>
        <w:pStyle w:val="6"/>
        <w:snapToGrid w:val="0"/>
        <w:spacing w:line="560" w:lineRule="exact"/>
        <w:ind w:firstLine="625"/>
        <w:rPr>
          <w:rFonts w:hint="eastAsia" w:ascii="宋体" w:hAnsi="宋体"/>
          <w:w w:val="98"/>
          <w:szCs w:val="32"/>
        </w:rPr>
      </w:pPr>
      <w:r>
        <w:rPr>
          <w:rFonts w:hint="eastAsia" w:ascii="宋体" w:hAnsi="宋体"/>
          <w:w w:val="98"/>
          <w:szCs w:val="32"/>
        </w:rPr>
        <w:t xml:space="preserve">附件：1.江西省“雨露计划”学生就读信息核实情况表              </w:t>
      </w:r>
    </w:p>
    <w:p w14:paraId="28A6847E">
      <w:pPr>
        <w:pStyle w:val="6"/>
        <w:snapToGrid w:val="0"/>
        <w:spacing w:line="560" w:lineRule="exact"/>
        <w:ind w:firstLine="0" w:firstLineChars="0"/>
        <w:rPr>
          <w:rFonts w:hint="eastAsia" w:ascii="宋体" w:hAnsi="宋体"/>
          <w:w w:val="98"/>
          <w:szCs w:val="32"/>
        </w:rPr>
      </w:pPr>
      <w:r>
        <w:rPr>
          <w:rFonts w:hint="eastAsia" w:ascii="宋体" w:hAnsi="宋体"/>
          <w:w w:val="98"/>
          <w:szCs w:val="32"/>
        </w:rPr>
        <w:t xml:space="preserve">          2.2025年春季学期申请“雨露计划”培训补助汇总表</w:t>
      </w:r>
    </w:p>
    <w:p w14:paraId="64E6116A">
      <w:pPr>
        <w:pStyle w:val="6"/>
        <w:snapToGrid w:val="0"/>
        <w:spacing w:line="560" w:lineRule="exact"/>
        <w:ind w:firstLine="5120" w:firstLineChars="1600"/>
        <w:rPr>
          <w:rFonts w:hint="eastAsia" w:ascii="宋体" w:hAnsi="宋体"/>
          <w:szCs w:val="32"/>
        </w:rPr>
      </w:pPr>
    </w:p>
    <w:p w14:paraId="71B35CE9">
      <w:pPr>
        <w:snapToGrid w:val="0"/>
        <w:spacing w:line="560" w:lineRule="exact"/>
        <w:rPr>
          <w:rFonts w:hint="eastAsia" w:ascii="宋体" w:hAnsi="宋体"/>
          <w:szCs w:val="32"/>
        </w:rPr>
      </w:pPr>
    </w:p>
    <w:p w14:paraId="3CF9FA6C">
      <w:pPr>
        <w:snapToGrid w:val="0"/>
        <w:spacing w:line="560" w:lineRule="exact"/>
        <w:rPr>
          <w:rFonts w:hint="eastAsia" w:ascii="宋体" w:hAnsi="宋体"/>
          <w:szCs w:val="32"/>
        </w:rPr>
      </w:pPr>
    </w:p>
    <w:p w14:paraId="338F2422">
      <w:pPr>
        <w:pStyle w:val="6"/>
        <w:snapToGrid w:val="0"/>
        <w:spacing w:line="560" w:lineRule="exact"/>
        <w:ind w:firstLine="5440" w:firstLineChars="1700"/>
        <w:rPr>
          <w:rFonts w:hint="eastAsia" w:ascii="宋体" w:hAnsi="宋体"/>
          <w:szCs w:val="32"/>
        </w:rPr>
      </w:pPr>
      <w:r>
        <w:rPr>
          <w:rFonts w:hint="eastAsia" w:ascii="宋体" w:hAnsi="宋体"/>
          <w:szCs w:val="32"/>
        </w:rPr>
        <w:t>上犹县农业农村局</w:t>
      </w:r>
    </w:p>
    <w:p w14:paraId="7ABA8FD9">
      <w:pPr>
        <w:pStyle w:val="6"/>
        <w:snapToGrid w:val="0"/>
        <w:spacing w:line="560" w:lineRule="exact"/>
        <w:ind w:firstLine="5504" w:firstLineChars="1720"/>
        <w:rPr>
          <w:rFonts w:hint="eastAsia" w:ascii="宋体" w:hAnsi="宋体"/>
          <w:szCs w:val="32"/>
        </w:rPr>
      </w:pPr>
      <w:r>
        <w:rPr>
          <w:rFonts w:hint="eastAsia" w:ascii="宋体" w:hAnsi="宋体"/>
          <w:szCs w:val="32"/>
        </w:rPr>
        <w:t>2025年3月27日</w:t>
      </w:r>
    </w:p>
    <w:p w14:paraId="1338E2F0">
      <w:pPr>
        <w:spacing w:line="560" w:lineRule="exact"/>
        <w:rPr>
          <w:rFonts w:hint="eastAsia" w:ascii="宋体" w:hAnsi="宋体"/>
        </w:rPr>
      </w:pPr>
    </w:p>
    <w:p w14:paraId="113D96D6">
      <w:pPr>
        <w:spacing w:line="560" w:lineRule="exact"/>
        <w:rPr>
          <w:rFonts w:hint="eastAsia" w:ascii="宋体" w:hAnsi="宋体"/>
        </w:rPr>
      </w:pPr>
    </w:p>
    <w:p w14:paraId="32C22BB8">
      <w:pPr>
        <w:spacing w:line="560" w:lineRule="exact"/>
        <w:rPr>
          <w:rFonts w:hint="eastAsia" w:ascii="宋体" w:hAnsi="宋体"/>
        </w:rPr>
      </w:pPr>
      <w:r>
        <w:rPr>
          <w:rFonts w:ascii="宋体" w:hAnsi="宋体" w:eastAsia="仿宋"/>
          <w:sz w:val="32"/>
          <w:szCs w:val="32"/>
        </w:rPr>
        <mc:AlternateContent>
          <mc:Choice Requires="wps">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5544185" cy="635"/>
                <wp:effectExtent l="0" t="0" r="0" b="0"/>
                <wp:wrapNone/>
                <wp:docPr id="1" name="_x0000_s1030"/>
                <wp:cNvGraphicFramePr/>
                <a:graphic xmlns:a="http://schemas.openxmlformats.org/drawingml/2006/main">
                  <a:graphicData uri="http://schemas.microsoft.com/office/word/2010/wordprocessingShape">
                    <wps:wsp>
                      <wps:cNvCnPr/>
                      <wps:spPr>
                        <a:xfrm>
                          <a:off x="1270" y="66040"/>
                          <a:ext cx="5544185" cy="635"/>
                        </a:xfrm>
                        <a:prstGeom prst="line">
                          <a:avLst/>
                        </a:prstGeom>
                        <a:ln w="12700">
                          <a:solidFill>
                            <a:prstClr val="white"/>
                          </a:solidFill>
                        </a:ln>
                      </wps:spPr>
                      <wps:bodyPr rot="0" vert="horz" wrap="square" lIns="91440" tIns="45720" rIns="91440" bIns="45720" anchor="t" anchorCtr="0"/>
                    </wps:wsp>
                  </a:graphicData>
                </a:graphic>
              </wp:anchor>
            </w:drawing>
          </mc:Choice>
          <mc:Fallback>
            <w:pict>
              <v:line id="_x0000_s1030" o:spid="_x0000_s1026" o:spt="20" style="position:absolute;left:0pt;margin-left:0pt;margin-top:0pt;height:0.05pt;width:436.55pt;z-index:251660288;mso-width-relative:page;mso-height-relative:page;" filled="f" stroked="t" coordsize="21600,21600" o:gfxdata="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kCmY3SAAAAAgEAAA8AAAAA&#10;AAAAAQAgAAAAIgAAAGRycy9kb3ducmV2LnhtbFBLAQIUABQAAAAIAIdO4kAYdwvr4QEAAMgDAAAO&#10;AAAAAAAAAAEAIAAAACEBAABkcnMvZTJvRG9jLnhtbFBLBQYAAAAABgAGAFkBAAB0BQAAAAA=&#10;">
                <v:fill on="f" focussize="0,0"/>
                <v:stroke weight="1pt" color="#FFFFFF" joinstyle="round"/>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87" w:bottom="2098" w:left="1587"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98EB4">
    <w:pPr>
      <w:pStyle w:val="10"/>
      <w:ind w:right="360" w:firstLine="360"/>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F27AFC0">
                          <w:pPr>
                            <w:pStyle w:val="10"/>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2</w:t>
                          </w:r>
                          <w:r>
                            <w:rPr>
                              <w:rFonts w:hint="eastAsia" w:ascii="宋体" w:hAnsi="宋体" w:eastAsia="宋体"/>
                              <w:sz w:val="28"/>
                              <w:szCs w:val="28"/>
                            </w:rPr>
                            <w:fldChar w:fldCharType="end"/>
                          </w:r>
                          <w:r>
                            <w:rPr>
                              <w:rFonts w:hint="eastAsia" w:ascii="宋体" w:hAnsi="宋体" w:eastAsia="宋体"/>
                              <w:sz w:val="28"/>
                              <w:szCs w:val="28"/>
                            </w:rPr>
                            <w:t xml:space="preserve"> —</w:t>
                          </w:r>
                        </w:p>
                        <w:p w14:paraId="5D8C7839"/>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j2c02roBAACGAwAADgAAAAAAAAABACAAAAAiAQAAZHJzL2Uyb0RvYy54bWxQSwUGAAAA&#10;AAYABgBZAQAATgUAAAAA&#10;">
              <v:fill on="f" focussize="0,0"/>
              <v:stroke on="f"/>
              <v:imagedata o:title=""/>
              <o:lock v:ext="edit" aspectratio="f"/>
              <v:textbox>
                <w:txbxContent>
                  <w:p w14:paraId="2F27AFC0">
                    <w:pPr>
                      <w:pStyle w:val="10"/>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2</w:t>
                    </w:r>
                    <w:r>
                      <w:rPr>
                        <w:rFonts w:hint="eastAsia" w:ascii="宋体" w:hAnsi="宋体" w:eastAsia="宋体"/>
                        <w:sz w:val="28"/>
                        <w:szCs w:val="28"/>
                      </w:rPr>
                      <w:fldChar w:fldCharType="end"/>
                    </w:r>
                    <w:r>
                      <w:rPr>
                        <w:rFonts w:hint="eastAsia" w:ascii="宋体" w:hAnsi="宋体" w:eastAsia="宋体"/>
                        <w:sz w:val="28"/>
                        <w:szCs w:val="28"/>
                      </w:rPr>
                      <w:t xml:space="preserve"> —</w:t>
                    </w:r>
                  </w:p>
                  <w:p w14:paraId="5D8C7839"/>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2A94A">
    <w:pPr>
      <w:pStyle w:val="10"/>
      <w:framePr w:wrap="around" w:vAnchor="text" w:hAnchor="margin" w:xAlign="outside" w:y="1"/>
    </w:pPr>
    <w:r>
      <w:fldChar w:fldCharType="begin"/>
    </w:r>
    <w:r>
      <w:rPr>
        <w:rStyle w:val="14"/>
      </w:rPr>
      <w:instrText xml:space="preserve">PAGE  </w:instrText>
    </w:r>
    <w:r>
      <w:fldChar w:fldCharType="separate"/>
    </w:r>
    <w:r>
      <w:fldChar w:fldCharType="end"/>
    </w:r>
  </w:p>
  <w:p w14:paraId="54E0C75F">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4075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EEC38">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A00B5">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C79F4">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201C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uiPriority w:val="0"/>
  </w:style>
  <w:style w:type="table" w:customStyle="1" w:styleId="5">
    <w:name w:val="普通表格1"/>
    <w:semiHidden/>
    <w:qFormat/>
    <w:uiPriority w:val="0"/>
    <w:pPr>
      <w:keepNext w:val="0"/>
      <w:keepLines w:val="0"/>
      <w:widowControl/>
      <w:suppressLineNumbers w:val="0"/>
      <w:spacing w:before="0" w:beforeAutospacing="0" w:after="0" w:afterAutospacing="0"/>
      <w:ind w:left="0" w:right="0"/>
    </w:pPr>
    <w:rPr>
      <w:rFonts w:ascii="Calibri" w:hAnsi="Calibri" w:eastAsia="宋体"/>
      <w:kern w:val="2"/>
      <w:sz w:val="21"/>
      <w:szCs w:val="22"/>
    </w:rPr>
  </w:style>
  <w:style w:type="paragraph" w:customStyle="1" w:styleId="6">
    <w:name w:val="正文缩进1"/>
    <w:basedOn w:val="1"/>
    <w:qFormat/>
    <w:uiPriority w:val="0"/>
    <w:pPr>
      <w:ind w:firstLine="420" w:firstLineChars="200"/>
    </w:pPr>
    <w:rPr>
      <w:rFonts w:ascii="Calibri" w:hAnsi="Calibri"/>
    </w:rPr>
  </w:style>
  <w:style w:type="paragraph" w:customStyle="1" w:styleId="7">
    <w:name w:val="日期1"/>
    <w:basedOn w:val="1"/>
    <w:qFormat/>
    <w:uiPriority w:val="0"/>
    <w:pPr>
      <w:ind w:left="100" w:leftChars="2500"/>
    </w:pPr>
  </w:style>
  <w:style w:type="paragraph" w:customStyle="1" w:styleId="8">
    <w:name w:val="正文文本缩进 21"/>
    <w:basedOn w:val="1"/>
    <w:qFormat/>
    <w:uiPriority w:val="0"/>
    <w:pPr>
      <w:tabs>
        <w:tab w:val="left" w:pos="8085"/>
      </w:tabs>
      <w:spacing w:line="480" w:lineRule="auto"/>
      <w:ind w:left="200" w:leftChars="200"/>
    </w:pPr>
    <w:rPr>
      <w:rFonts w:eastAsia="宋体"/>
      <w:sz w:val="21"/>
      <w:szCs w:val="24"/>
    </w:rPr>
  </w:style>
  <w:style w:type="paragraph" w:customStyle="1" w:styleId="9">
    <w:name w:val="批注框文本1"/>
    <w:basedOn w:val="1"/>
    <w:qFormat/>
    <w:uiPriority w:val="0"/>
    <w:rPr>
      <w:sz w:val="18"/>
      <w:szCs w:val="18"/>
    </w:rPr>
  </w:style>
  <w:style w:type="paragraph" w:customStyle="1" w:styleId="10">
    <w:name w:val="页脚1"/>
    <w:basedOn w:val="1"/>
    <w:qFormat/>
    <w:uiPriority w:val="0"/>
    <w:pPr>
      <w:tabs>
        <w:tab w:val="center" w:pos="4153"/>
        <w:tab w:val="right" w:pos="8306"/>
      </w:tabs>
      <w:snapToGrid w:val="0"/>
      <w:jc w:val="left"/>
    </w:pPr>
    <w:rPr>
      <w:sz w:val="18"/>
      <w:szCs w:val="18"/>
    </w:rPr>
  </w:style>
  <w:style w:type="paragraph" w:customStyle="1" w:styleId="11">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普通(网站)1"/>
    <w:basedOn w:val="1"/>
    <w:qFormat/>
    <w:uiPriority w:val="0"/>
    <w:pPr>
      <w:spacing w:before="100" w:beforeAutospacing="1" w:after="100" w:afterAutospacing="1" w:line="330" w:lineRule="atLeast"/>
      <w:jc w:val="left"/>
    </w:pPr>
    <w:rPr>
      <w:rFonts w:eastAsia="宋体"/>
      <w:kern w:val="0"/>
      <w:sz w:val="24"/>
      <w:szCs w:val="24"/>
    </w:rPr>
  </w:style>
  <w:style w:type="table" w:customStyle="1" w:styleId="13">
    <w:name w:val="网格型1"/>
    <w:basedOn w:val="5"/>
    <w:qFormat/>
    <w:uiPriority w:val="0"/>
    <w:pPr>
      <w:widowControl w:val="0"/>
      <w:jc w:val="both"/>
    </w:pPr>
  </w:style>
  <w:style w:type="character" w:customStyle="1" w:styleId="14">
    <w:name w:val="页码1"/>
    <w:basedOn w:val="4"/>
    <w:link w:val="1"/>
    <w:qFormat/>
    <w:uiPriority w:val="0"/>
    <w:rPr>
      <w:rFonts w:ascii="Times New Roman" w:hAnsi="Times New Roman" w:eastAsia="宋体"/>
    </w:rPr>
  </w:style>
  <w:style w:type="character" w:customStyle="1" w:styleId="15">
    <w:name w:val="超链接1"/>
    <w:basedOn w:val="4"/>
    <w:link w:val="1"/>
    <w:qFormat/>
    <w:uiPriority w:val="0"/>
    <w:rPr>
      <w:rFonts w:ascii="Times New Roman" w:hAnsi="Times New Roman" w:eastAsia="宋体"/>
      <w:color w:val="0000FF"/>
      <w:u w:val="single"/>
    </w:rPr>
  </w:style>
  <w:style w:type="paragraph" w:customStyle="1" w:styleId="16">
    <w:name w:val="Char"/>
    <w:basedOn w:val="1"/>
    <w:qFormat/>
    <w:uiPriority w:val="0"/>
    <w:rPr>
      <w:rFonts w:ascii="仿宋_GB2312" w:eastAsia="宋体"/>
      <w:b/>
      <w:sz w:val="30"/>
      <w:szCs w:val="32"/>
    </w:rPr>
  </w:style>
  <w:style w:type="paragraph" w:customStyle="1" w:styleId="17">
    <w:name w:val="样式1"/>
    <w:basedOn w:val="1"/>
    <w:qFormat/>
    <w:uiPriority w:val="0"/>
    <w:pPr>
      <w:snapToGrid w:val="0"/>
      <w:spacing w:line="600" w:lineRule="atLeast"/>
    </w:pPr>
    <w:rPr>
      <w:rFonts w:ascii="仿宋_GB2312" w:eastAsia="仿宋_GB2312"/>
      <w:sz w:val="32"/>
    </w:rPr>
  </w:style>
  <w:style w:type="paragraph" w:customStyle="1" w:styleId="18">
    <w:name w:val=" Char1 Char Char Char Char Char Char Char Char Char Char Char"/>
    <w:basedOn w:val="1"/>
    <w:qFormat/>
    <w:uiPriority w:val="0"/>
    <w:pPr>
      <w:pageBreakBefore/>
      <w:tabs>
        <w:tab w:val="left" w:pos="432"/>
      </w:tabs>
      <w:ind w:left="432" w:hanging="432"/>
    </w:pPr>
    <w:rPr>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1257</Words>
  <Characters>1320</Characters>
  <Lines>0</Lines>
  <Paragraphs>0</Paragraphs>
  <TotalTime>0</TotalTime>
  <ScaleCrop>false</ScaleCrop>
  <LinksUpToDate>false</LinksUpToDate>
  <CharactersWithSpaces>1350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2025-10-28T09:04:13Z</dcterms:created>
  <dc:creator>Ζゅº譞</dc:creator>
  <cp:lastModifiedBy>Ζゅº譞</cp:lastModifiedBy>
  <dcterms:modified xsi:type="dcterms:W3CDTF">2025-10-28T09:05:10Z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A7F7FCDD61454F9AB4648596C0E0148C_13</vt:lpwstr>
  </property>
</Properties>
</file>