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上犹县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财政预决算领域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基层政务公开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标准目录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一般公共预算：①一般公共预算收入表。②一般公共预算支出表。③一般公共预算收入预算安排情况表。④一般公共预算支出预算安排情况表。⑤税收返还情况表。⑥政府债务情况。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县财政局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政府性基金预算：①政府性基金收入表。②政府性基金支出表。③政府性基金预算收入安排表。④政府性基金预算支出安排表。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国有资本经营预算：①国有资本经营预算收入表。②国有资本经营预算支出表。③国有资本经营预算收入安排情况表。④国有资本经营预算支出安排情况表。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县财政局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社会保险基金预算：①社会保险基金收入表。②社会保险基金支出表。③社会保险基金结预算表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县财政局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2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spacing w:line="22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县财政局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8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国有资本经营预算：①国有资本经营收入决算表。②国有资本经营支出决算表。这两个包含预算数、决算数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21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县财政局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44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spacing w:line="4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支出决算表，包括预算总额，以及“因公出国（境）费”“公务用车购置及运行费”（区分“公务用车购置费”“公务用车运行费”两项）“公务接待费”分项数额，“三公”经费增减变化情况（与预算对比）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6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9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NTcwMWIyYWNjM2VlNzhjODZhZmZkYWRiZTEwYWQifQ=="/>
  </w:docVars>
  <w:rsids>
    <w:rsidRoot w:val="00000000"/>
    <w:rsid w:val="223941F5"/>
    <w:rsid w:val="41882E01"/>
    <w:rsid w:val="579469E2"/>
    <w:rsid w:val="67F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3145</Words>
  <Characters>3153</Characters>
  <Lines>0</Lines>
  <Paragraphs>0</Paragraphs>
  <TotalTime>0</TotalTime>
  <ScaleCrop>false</ScaleCrop>
  <LinksUpToDate>false</LinksUpToDate>
  <CharactersWithSpaces>3157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2021-12-07T16:24:00Z</dcterms:created>
  <dc:creator>Administrator</dc:creator>
  <cp:lastModifiedBy>user</cp:lastModifiedBy>
  <dcterms:modified xsi:type="dcterms:W3CDTF">2024-12-25T17:45:53Z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F9DD7DB089F74DFDA02735EEC32A28DA</vt:lpwstr>
  </property>
</Properties>
</file>