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05"/>
      <w:r>
        <w:rPr>
          <w:rFonts w:hint="eastAsia" w:ascii="方正小标宋_GBK" w:hAnsi="方正小标宋_GBK" w:eastAsia="方正小标宋_GBK"/>
          <w:b w:val="0"/>
          <w:bCs w:val="0"/>
          <w:sz w:val="30"/>
          <w:lang w:val="en-US" w:eastAsia="zh-CN"/>
        </w:rPr>
        <w:t>上犹县</w:t>
      </w:r>
      <w:r>
        <w:rPr>
          <w:rFonts w:hint="eastAsia" w:ascii="方正小标宋_GBK" w:hAnsi="方正小标宋_GBK" w:eastAsia="方正小标宋_GBK"/>
          <w:b w:val="0"/>
          <w:bCs w:val="0"/>
          <w:sz w:val="30"/>
        </w:rPr>
        <w:t>公共资源交易领域</w:t>
      </w:r>
      <w:r>
        <w:rPr>
          <w:rFonts w:hint="eastAsia" w:ascii="方正小标宋_GBK" w:hAnsi="方正小标宋_GBK" w:eastAsia="方正小标宋_GBK"/>
          <w:b w:val="0"/>
          <w:bCs w:val="0"/>
          <w:sz w:val="30"/>
          <w:lang w:val="en-US" w:eastAsia="zh-CN"/>
        </w:rPr>
        <w:t>基层政务公开</w:t>
      </w:r>
      <w:r>
        <w:rPr>
          <w:rFonts w:hint="eastAsia" w:ascii="方正小标宋_GBK" w:hAnsi="方正小标宋_GBK" w:eastAsia="方正小标宋_GBK"/>
          <w:b w:val="0"/>
          <w:bCs w:val="0"/>
          <w:sz w:val="30"/>
        </w:rPr>
        <w:t>标准目录</w:t>
      </w:r>
      <w:bookmarkEnd w:id="0"/>
    </w:p>
    <w:bookmarkEnd w:id="1"/>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工程建设项目招标投标信息</w:t>
            </w:r>
          </w:p>
        </w:tc>
        <w:tc>
          <w:tcPr>
            <w:tcW w:w="77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审批核准信息</w:t>
            </w:r>
          </w:p>
        </w:tc>
        <w:tc>
          <w:tcPr>
            <w:tcW w:w="336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招标内容、招标范围、招标组织形式、招标方式、招标估算金额、招标事项审核或核准部门。</w:t>
            </w:r>
          </w:p>
        </w:tc>
        <w:tc>
          <w:tcPr>
            <w:tcW w:w="23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招标投标法实施条例》、《</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p>
        </w:tc>
        <w:tc>
          <w:tcPr>
            <w:tcW w:w="162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信息形成之日起20个工作日内</w:t>
            </w:r>
          </w:p>
        </w:tc>
        <w:tc>
          <w:tcPr>
            <w:tcW w:w="95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负责管理的部门分别公开、公共资源交易中心</w:t>
            </w:r>
          </w:p>
        </w:tc>
        <w:tc>
          <w:tcPr>
            <w:tcW w:w="185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r>
              <w:rPr>
                <w:rFonts w:ascii="仿宋_GB2312" w:hAnsi="Times New Roman" w:eastAsia="仿宋_GB2312"/>
                <w:sz w:val="18"/>
                <w:szCs w:val="18"/>
              </w:rPr>
              <w:t></w:t>
            </w:r>
            <w:r>
              <w:rPr>
                <w:rFonts w:hint="eastAsia" w:ascii="仿宋_GB2312" w:hAnsi="Times New Roman" w:eastAsia="仿宋_GB2312"/>
                <w:sz w:val="18"/>
                <w:szCs w:val="18"/>
              </w:rPr>
              <w:t>■招标投标公共服务平台■公共资源交易平台■电子招标投标交易平台</w:t>
            </w:r>
          </w:p>
        </w:tc>
        <w:tc>
          <w:tcPr>
            <w:tcW w:w="720" w:type="dxa"/>
            <w:noWrap w:val="0"/>
            <w:vAlign w:val="center"/>
          </w:tcPr>
          <w:p>
            <w:pPr>
              <w:spacing w:line="240" w:lineRule="exact"/>
              <w:ind w:firstLine="90" w:firstLineChars="50"/>
              <w:rPr>
                <w:rFonts w:ascii="仿宋_GB2312" w:hAnsi="Times New Roman" w:eastAsia="仿宋_GB2312"/>
                <w:sz w:val="18"/>
                <w:szCs w:val="18"/>
              </w:rPr>
            </w:pPr>
            <w:r>
              <w:rPr>
                <w:rFonts w:hint="eastAsia" w:ascii="仿宋_GB2312" w:hAnsi="Times New Roman" w:eastAsia="仿宋_GB2312"/>
                <w:sz w:val="18"/>
                <w:szCs w:val="18"/>
              </w:rPr>
              <w:t>√</w:t>
            </w:r>
          </w:p>
        </w:tc>
        <w:tc>
          <w:tcPr>
            <w:tcW w:w="90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88" w:type="dxa"/>
            <w:noWrap w:val="0"/>
            <w:vAlign w:val="center"/>
          </w:tcPr>
          <w:p>
            <w:pPr>
              <w:spacing w:line="240" w:lineRule="exact"/>
              <w:ind w:firstLine="180" w:firstLineChars="100"/>
              <w:rPr>
                <w:rFonts w:ascii="仿宋_GB2312" w:hAnsi="Times New Roman" w:eastAsia="仿宋_GB2312"/>
                <w:sz w:val="18"/>
                <w:szCs w:val="18"/>
              </w:rPr>
            </w:pPr>
            <w:r>
              <w:rPr>
                <w:rFonts w:hint="eastAsia" w:ascii="仿宋_GB2312" w:hAnsi="Times New Roman"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工程建设项目招标投标信息　</w:t>
            </w:r>
          </w:p>
        </w:tc>
        <w:tc>
          <w:tcPr>
            <w:tcW w:w="77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资格预审公告</w:t>
            </w:r>
          </w:p>
        </w:tc>
        <w:tc>
          <w:tcPr>
            <w:tcW w:w="3364"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招标投标法实施条例》、《招标公告和公示信息发布管理办法》</w:t>
            </w:r>
          </w:p>
        </w:tc>
        <w:tc>
          <w:tcPr>
            <w:tcW w:w="1620" w:type="dxa"/>
            <w:noWrap w:val="0"/>
            <w:vAlign w:val="center"/>
          </w:tcPr>
          <w:p>
            <w:pPr>
              <w:spacing w:line="240" w:lineRule="exact"/>
              <w:ind w:firstLine="270" w:firstLineChars="150"/>
              <w:rPr>
                <w:rFonts w:hint="eastAsia" w:ascii="仿宋_GB2312" w:hAnsi="Times New Roman" w:eastAsia="仿宋_GB2312"/>
                <w:sz w:val="18"/>
                <w:szCs w:val="18"/>
              </w:rPr>
            </w:pPr>
            <w:r>
              <w:rPr>
                <w:rFonts w:hint="eastAsia" w:ascii="仿宋_GB2312" w:hAnsi="Times New Roman" w:eastAsia="仿宋_GB2312"/>
                <w:sz w:val="18"/>
                <w:szCs w:val="18"/>
              </w:rPr>
              <w:t>及时公开</w:t>
            </w:r>
          </w:p>
        </w:tc>
        <w:tc>
          <w:tcPr>
            <w:tcW w:w="95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856"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■政府网站■招标投标公共服务平台</w:t>
            </w:r>
            <w:r>
              <w:rPr>
                <w:rFonts w:ascii="仿宋_GB2312" w:hAnsi="Times New Roman" w:eastAsia="仿宋_GB2312"/>
                <w:sz w:val="18"/>
                <w:szCs w:val="18"/>
              </w:rPr>
              <w:br w:type="textWrapping"/>
            </w:r>
            <w:r>
              <w:rPr>
                <w:rFonts w:hint="eastAsia" w:ascii="仿宋_GB2312" w:hAnsi="Times New Roman" w:eastAsia="仿宋_GB2312"/>
                <w:sz w:val="18"/>
                <w:szCs w:val="18"/>
              </w:rPr>
              <w:t>■公共资源交易平台</w:t>
            </w:r>
            <w:r>
              <w:rPr>
                <w:rFonts w:ascii="仿宋_GB2312" w:hAnsi="Times New Roman" w:eastAsia="仿宋_GB2312"/>
                <w:sz w:val="18"/>
                <w:szCs w:val="18"/>
              </w:rPr>
              <w:br w:type="textWrapping"/>
            </w:r>
            <w:r>
              <w:rPr>
                <w:rFonts w:hint="eastAsia" w:ascii="仿宋_GB2312" w:hAnsi="Times New Roman" w:eastAsia="仿宋_GB2312"/>
                <w:sz w:val="18"/>
                <w:szCs w:val="18"/>
              </w:rPr>
              <w:t>■电子招标投标交易平台</w:t>
            </w:r>
          </w:p>
        </w:tc>
        <w:tc>
          <w:tcPr>
            <w:tcW w:w="720" w:type="dxa"/>
            <w:noWrap w:val="0"/>
            <w:vAlign w:val="center"/>
          </w:tcPr>
          <w:p>
            <w:pPr>
              <w:spacing w:line="240" w:lineRule="exact"/>
              <w:ind w:firstLine="90" w:firstLineChars="50"/>
              <w:rPr>
                <w:rFonts w:ascii="仿宋_GB2312" w:hAnsi="Times New Roman" w:eastAsia="仿宋_GB2312"/>
                <w:sz w:val="18"/>
                <w:szCs w:val="18"/>
              </w:rPr>
            </w:pPr>
            <w:r>
              <w:rPr>
                <w:rFonts w:hint="eastAsia" w:ascii="仿宋_GB2312" w:hAnsi="Times New Roman" w:eastAsia="仿宋_GB2312"/>
                <w:sz w:val="18"/>
                <w:szCs w:val="18"/>
              </w:rPr>
              <w:t>√</w:t>
            </w:r>
          </w:p>
        </w:tc>
        <w:tc>
          <w:tcPr>
            <w:tcW w:w="900" w:type="dxa"/>
            <w:noWrap w:val="0"/>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88" w:type="dxa"/>
            <w:noWrap w:val="0"/>
            <w:vAlign w:val="center"/>
          </w:tcPr>
          <w:p>
            <w:pPr>
              <w:spacing w:line="240" w:lineRule="exact"/>
              <w:ind w:firstLine="180" w:firstLineChars="100"/>
              <w:rPr>
                <w:rFonts w:ascii="仿宋_GB2312" w:hAnsi="Times New Roman" w:eastAsia="仿宋_GB2312"/>
                <w:sz w:val="18"/>
                <w:szCs w:val="18"/>
              </w:rPr>
            </w:pPr>
            <w:r>
              <w:rPr>
                <w:rFonts w:hint="eastAsia" w:ascii="仿宋_GB2312" w:hAnsi="Times New Roman"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spacing w:line="240" w:lineRule="exact"/>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招标投标法实施条例》、《招标公告和公示信息发布管理办法》</w:t>
            </w:r>
            <w:r>
              <w:rPr>
                <w:rFonts w:hint="eastAsia" w:ascii="仿宋_GB2312" w:hAnsi="宋体" w:eastAsia="仿宋_GB2312"/>
                <w:sz w:val="18"/>
                <w:szCs w:val="18"/>
              </w:rPr>
              <w:t>》</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Times New Roman" w:eastAsia="仿宋_GB2312"/>
                <w:sz w:val="18"/>
                <w:szCs w:val="18"/>
              </w:rPr>
              <w:t>■政府网站</w:t>
            </w: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spacing w:line="240" w:lineRule="exact"/>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noWrap w:val="0"/>
            <w:vAlign w:val="center"/>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招标投标法实施条例》、《招标公告和公示信息发布管理办法》</w:t>
            </w: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Times New Roman" w:eastAsia="仿宋_GB2312"/>
                <w:sz w:val="18"/>
                <w:szCs w:val="18"/>
              </w:rPr>
              <w:t>■政府网站</w:t>
            </w: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54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noWrap w:val="0"/>
            <w:vAlign w:val="center"/>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w:t>
            </w:r>
            <w:r>
              <w:rPr>
                <w:rFonts w:hint="eastAsia" w:ascii="仿宋_GB2312" w:hAnsi="宋体" w:eastAsia="仿宋_GB2312"/>
                <w:sz w:val="18"/>
                <w:szCs w:val="18"/>
              </w:rPr>
              <w:t xml:space="preserve">《招标公告和公示信息发布管理办法》、《电子招标投标办法》 </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Times New Roman" w:eastAsia="仿宋_GB2312"/>
                <w:sz w:val="18"/>
                <w:szCs w:val="18"/>
              </w:rPr>
              <w:t>■政府网站</w:t>
            </w: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noWrap w:val="0"/>
            <w:vAlign w:val="center"/>
          </w:tcPr>
          <w:p>
            <w:pPr>
              <w:spacing w:line="240" w:lineRule="exact"/>
              <w:rPr>
                <w:rFonts w:hint="eastAsia" w:ascii="仿宋_GB2312"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招标投标法实施条例》、《招标公告和公示信息发布管理办法》</w:t>
            </w:r>
            <w:r>
              <w:rPr>
                <w:rFonts w:hint="eastAsia" w:ascii="仿宋_GB2312" w:hAnsi="Times New Roman" w:eastAsia="仿宋_GB2312"/>
                <w:sz w:val="18"/>
                <w:szCs w:val="18"/>
                <w:lang w:eastAsia="zh-CN"/>
              </w:rPr>
              <w:t>、</w:t>
            </w:r>
            <w:r>
              <w:rPr>
                <w:rFonts w:hint="eastAsia" w:ascii="仿宋_GB2312" w:eastAsia="仿宋_GB2312"/>
                <w:sz w:val="18"/>
                <w:szCs w:val="18"/>
              </w:rPr>
              <w:t>《电子招标投标办法》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pPr>
              <w:rPr>
                <w:rFonts w:ascii="仿宋_GB2312" w:hAnsi="宋体" w:eastAsia="仿宋_GB2312"/>
                <w:sz w:val="18"/>
                <w:szCs w:val="18"/>
              </w:rPr>
            </w:pPr>
            <w:r>
              <w:rPr>
                <w:rFonts w:hint="eastAsia" w:ascii="仿宋_GB2312" w:hAnsi="Times New Roman" w:eastAsia="仿宋_GB2312"/>
                <w:sz w:val="18"/>
                <w:szCs w:val="18"/>
              </w:rPr>
              <w:t>■政府网站</w:t>
            </w: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项目名称、标段名称、建设单位、承包人、项目完成质量、期限、结算金额、合同发生的变更、解除合同通知书、违约行为的处理结果。</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noWrap w:val="0"/>
            <w:vAlign w:val="center"/>
          </w:tcPr>
          <w:p>
            <w:pPr>
              <w:rPr>
                <w:rFonts w:ascii="Wingdings 2" w:hAnsi="Wingdings 2" w:cs="宋体"/>
                <w:sz w:val="18"/>
                <w:szCs w:val="18"/>
              </w:rPr>
            </w:pPr>
          </w:p>
        </w:tc>
        <w:tc>
          <w:tcPr>
            <w:tcW w:w="720"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jc w:val="center"/>
              <w:rPr>
                <w:rFonts w:ascii="宋体" w:hAnsi="宋体" w:cs="宋体"/>
                <w:sz w:val="18"/>
                <w:szCs w:val="18"/>
              </w:rPr>
            </w:pPr>
            <w:r>
              <w:rPr>
                <w:rFonts w:hint="eastAsia"/>
                <w:sz w:val="18"/>
                <w:szCs w:val="18"/>
              </w:rPr>
              <w:t>　</w:t>
            </w:r>
          </w:p>
        </w:tc>
        <w:tc>
          <w:tcPr>
            <w:tcW w:w="788" w:type="dxa"/>
            <w:noWrap w:val="0"/>
            <w:vAlign w:val="center"/>
          </w:tcPr>
          <w:p>
            <w:pPr>
              <w:jc w:val="center"/>
              <w:rPr>
                <w:rFonts w:ascii="宋体" w:hAnsi="宋体" w:cs="宋体"/>
                <w:sz w:val="18"/>
                <w:szCs w:val="18"/>
              </w:rPr>
            </w:pPr>
            <w:r>
              <w:rPr>
                <w:rFonts w:hint="eastAsia"/>
                <w:sz w:val="18"/>
                <w:szCs w:val="18"/>
              </w:rPr>
              <w:t>√</w:t>
            </w:r>
          </w:p>
        </w:tc>
        <w:tc>
          <w:tcPr>
            <w:tcW w:w="900"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spacing w:line="240" w:lineRule="exact"/>
              <w:rPr>
                <w:rFonts w:hint="eastAsia" w:ascii="仿宋_GB2312"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招标投标法实施条例》、《招标公告和公示信息发布管理办法》</w:t>
            </w:r>
            <w:r>
              <w:rPr>
                <w:rFonts w:hint="eastAsia" w:ascii="仿宋_GB2312" w:hAnsi="Times New Roman" w:eastAsia="仿宋_GB2312"/>
                <w:sz w:val="18"/>
                <w:szCs w:val="18"/>
                <w:lang w:eastAsia="zh-CN"/>
              </w:rPr>
              <w:t>、</w:t>
            </w:r>
            <w:r>
              <w:rPr>
                <w:rFonts w:hint="eastAsia" w:ascii="仿宋_GB2312" w:eastAsia="仿宋_GB2312"/>
                <w:sz w:val="18"/>
                <w:szCs w:val="18"/>
              </w:rPr>
              <w:t>《电子招标投标办法》</w:t>
            </w:r>
          </w:p>
        </w:tc>
        <w:tc>
          <w:tcPr>
            <w:tcW w:w="162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0"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pPr>
              <w:spacing w:line="240" w:lineRule="exact"/>
              <w:rPr>
                <w:rFonts w:ascii="仿宋_GB2312" w:hAnsi="宋体" w:eastAsia="仿宋_GB2312"/>
                <w:sz w:val="18"/>
                <w:szCs w:val="18"/>
              </w:rPr>
            </w:pPr>
            <w:r>
              <w:rPr>
                <w:rFonts w:hint="eastAsia" w:ascii="仿宋_GB2312" w:hAnsi="Times New Roman" w:eastAsia="仿宋_GB2312"/>
                <w:sz w:val="18"/>
                <w:szCs w:val="18"/>
              </w:rPr>
              <w:t>■政府网站</w:t>
            </w: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11</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行政处罚法》、《</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县市场监督管理局</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12</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招标投标法实施条例》、《招标公告和公示信息发布管理办法》</w:t>
            </w:r>
            <w:r>
              <w:rPr>
                <w:rFonts w:hint="eastAsia" w:ascii="仿宋_GB2312" w:hAnsi="Times New Roman" w:eastAsia="仿宋_GB2312"/>
                <w:sz w:val="18"/>
                <w:szCs w:val="18"/>
                <w:lang w:eastAsia="zh-CN"/>
              </w:rPr>
              <w:t>、</w:t>
            </w:r>
            <w:r>
              <w:rPr>
                <w:rFonts w:hint="eastAsia" w:ascii="仿宋_GB2312" w:eastAsia="仿宋_GB2312"/>
                <w:sz w:val="18"/>
                <w:szCs w:val="18"/>
              </w:rPr>
              <w:t>《电子招标投标办法》</w:t>
            </w:r>
            <w:r>
              <w:rPr>
                <w:rFonts w:hint="eastAsia" w:ascii="仿宋_GB2312" w:eastAsia="仿宋_GB2312"/>
                <w:sz w:val="18"/>
                <w:szCs w:val="18"/>
                <w:lang w:eastAsia="zh-CN"/>
              </w:rPr>
              <w:t>、</w:t>
            </w:r>
            <w:r>
              <w:rPr>
                <w:rFonts w:hint="eastAsia" w:ascii="仿宋_GB2312" w:eastAsia="仿宋_GB2312"/>
                <w:sz w:val="18"/>
                <w:szCs w:val="18"/>
              </w:rPr>
              <w:t>《政府采购货物和服务招标投标管理办法》</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13</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《政府采购货物和服务招标投标管理办法》</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14</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vMerge w:val="restart"/>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15</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16</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sz w:val="18"/>
                <w:szCs w:val="18"/>
              </w:rPr>
              <w:t>■信用中国</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22"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17</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1"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18</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8"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19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856" w:type="dxa"/>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■中国政府采购网及其省级分网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20</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21</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22</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采购部门或者其委托的采购代理机构</w:t>
            </w:r>
          </w:p>
        </w:tc>
        <w:tc>
          <w:tcPr>
            <w:tcW w:w="1856"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23</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ind w:firstLine="90" w:firstLineChars="50"/>
              <w:rPr>
                <w:rFonts w:ascii="仿宋_GB2312" w:eastAsia="仿宋_GB2312"/>
                <w:sz w:val="18"/>
                <w:szCs w:val="18"/>
              </w:rPr>
            </w:pPr>
            <w:r>
              <w:rPr>
                <w:rFonts w:hint="eastAsia" w:ascii="仿宋_GB2312" w:eastAsia="仿宋_GB2312"/>
                <w:sz w:val="18"/>
                <w:szCs w:val="18"/>
              </w:rPr>
              <w:t>采购部门</w:t>
            </w:r>
          </w:p>
        </w:tc>
        <w:tc>
          <w:tcPr>
            <w:tcW w:w="1856"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24</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pPr>
              <w:ind w:firstLine="90" w:firstLineChars="50"/>
              <w:rPr>
                <w:rFonts w:ascii="仿宋_GB2312" w:eastAsia="仿宋_GB2312"/>
                <w:sz w:val="18"/>
                <w:szCs w:val="18"/>
              </w:rPr>
            </w:pPr>
            <w:r>
              <w:rPr>
                <w:rFonts w:hint="eastAsia" w:ascii="仿宋_GB2312" w:eastAsia="仿宋_GB2312"/>
                <w:sz w:val="18"/>
                <w:szCs w:val="18"/>
              </w:rPr>
              <w:t>采购部门</w:t>
            </w:r>
          </w:p>
        </w:tc>
        <w:tc>
          <w:tcPr>
            <w:tcW w:w="1856" w:type="dxa"/>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25</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县财政局</w:t>
            </w:r>
          </w:p>
        </w:tc>
        <w:tc>
          <w:tcPr>
            <w:tcW w:w="1856" w:type="dxa"/>
            <w:vMerge w:val="restart"/>
            <w:noWrap w:val="0"/>
            <w:vAlign w:val="center"/>
          </w:tcPr>
          <w:p>
            <w:pPr>
              <w:spacing w:line="240" w:lineRule="exact"/>
              <w:rPr>
                <w:rFonts w:hint="eastAsia"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26</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县财政局</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27</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土地出让计划</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ind w:firstLine="270" w:firstLineChars="150"/>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28</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出让人</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29</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　</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公告调整</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31</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供应结果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国有建设用地使用权年度供应结果。</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ind w:firstLine="180" w:firstLineChars="100"/>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32</w:t>
            </w:r>
          </w:p>
        </w:tc>
        <w:tc>
          <w:tcPr>
            <w:tcW w:w="900" w:type="dxa"/>
            <w:vMerge w:val="restart"/>
            <w:noWrap w:val="0"/>
            <w:vAlign w:val="center"/>
          </w:tcPr>
          <w:p>
            <w:pPr>
              <w:spacing w:line="300" w:lineRule="exact"/>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spacing w:line="300" w:lineRule="exact"/>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p>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hint="eastAsia" w:ascii="仿宋_GB2312" w:hAnsi="宋体" w:eastAsia="仿宋_GB2312"/>
                <w:sz w:val="18"/>
                <w:szCs w:val="18"/>
              </w:rPr>
              <w:t>■</w:t>
            </w:r>
            <w:r>
              <w:rPr>
                <w:rFonts w:hint="eastAsia" w:ascii="仿宋_GB2312" w:eastAsia="仿宋_GB2312"/>
                <w:sz w:val="18"/>
                <w:szCs w:val="18"/>
              </w:rPr>
              <w:t>公共资源交易大厅</w:t>
            </w:r>
          </w:p>
        </w:tc>
        <w:tc>
          <w:tcPr>
            <w:tcW w:w="720"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33</w:t>
            </w:r>
          </w:p>
        </w:tc>
        <w:tc>
          <w:tcPr>
            <w:tcW w:w="900" w:type="dxa"/>
            <w:vMerge w:val="continue"/>
            <w:noWrap w:val="0"/>
            <w:vAlign w:val="center"/>
          </w:tcPr>
          <w:p>
            <w:pPr>
              <w:spacing w:line="300" w:lineRule="exact"/>
              <w:jc w:val="center"/>
              <w:rPr>
                <w:rFonts w:hint="eastAsia" w:ascii="仿宋_GB2312" w:eastAsia="仿宋_GB2312"/>
                <w:sz w:val="18"/>
                <w:szCs w:val="18"/>
              </w:rPr>
            </w:pPr>
          </w:p>
        </w:tc>
        <w:tc>
          <w:tcPr>
            <w:tcW w:w="776"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招标拍卖挂牌成交结果公示</w:t>
            </w:r>
          </w:p>
        </w:tc>
        <w:tc>
          <w:tcPr>
            <w:tcW w:w="3364"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spacing w:line="300" w:lineRule="exact"/>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p>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hint="eastAsia" w:ascii="仿宋_GB2312" w:hAnsi="宋体" w:eastAsia="仿宋_GB2312"/>
                <w:sz w:val="18"/>
                <w:szCs w:val="18"/>
              </w:rPr>
              <w:t>■</w:t>
            </w:r>
            <w:r>
              <w:rPr>
                <w:rFonts w:hint="eastAsia" w:ascii="仿宋_GB2312" w:eastAsia="仿宋_GB2312"/>
                <w:sz w:val="18"/>
                <w:szCs w:val="18"/>
              </w:rPr>
              <w:t>公共资源交易大厅</w:t>
            </w:r>
          </w:p>
        </w:tc>
        <w:tc>
          <w:tcPr>
            <w:tcW w:w="720"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34</w:t>
            </w:r>
          </w:p>
        </w:tc>
        <w:tc>
          <w:tcPr>
            <w:tcW w:w="900" w:type="dxa"/>
            <w:vMerge w:val="restart"/>
            <w:noWrap w:val="0"/>
            <w:vAlign w:val="center"/>
          </w:tcPr>
          <w:p>
            <w:pPr>
              <w:spacing w:line="300" w:lineRule="exact"/>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审批结果信息</w:t>
            </w:r>
          </w:p>
        </w:tc>
        <w:tc>
          <w:tcPr>
            <w:tcW w:w="3364"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34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spacing w:line="300" w:lineRule="exact"/>
              <w:rPr>
                <w:rFonts w:hint="eastAsia" w:ascii="仿宋_GB2312" w:hAnsi="宋体" w:eastAsia="仿宋_GB2312"/>
                <w:sz w:val="18"/>
                <w:szCs w:val="18"/>
              </w:rPr>
            </w:pPr>
          </w:p>
          <w:p>
            <w:pPr>
              <w:spacing w:line="300" w:lineRule="exact"/>
              <w:ind w:firstLine="270" w:firstLineChars="150"/>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p>
          <w:p>
            <w:pPr>
              <w:spacing w:line="300" w:lineRule="exact"/>
              <w:rPr>
                <w:rFonts w:ascii="仿宋_GB2312" w:eastAsia="仿宋_GB2312"/>
                <w:sz w:val="18"/>
                <w:szCs w:val="18"/>
              </w:rPr>
            </w:pPr>
          </w:p>
        </w:tc>
        <w:tc>
          <w:tcPr>
            <w:tcW w:w="720"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35</w:t>
            </w:r>
          </w:p>
        </w:tc>
        <w:tc>
          <w:tcPr>
            <w:tcW w:w="900" w:type="dxa"/>
            <w:vMerge w:val="continue"/>
            <w:noWrap w:val="0"/>
            <w:vAlign w:val="center"/>
          </w:tcPr>
          <w:p>
            <w:pPr>
              <w:spacing w:line="300" w:lineRule="exact"/>
              <w:jc w:val="center"/>
              <w:rPr>
                <w:rFonts w:hint="eastAsia" w:ascii="仿宋_GB2312" w:eastAsia="仿宋_GB2312"/>
                <w:sz w:val="18"/>
                <w:szCs w:val="18"/>
              </w:rPr>
            </w:pPr>
          </w:p>
        </w:tc>
        <w:tc>
          <w:tcPr>
            <w:tcW w:w="776"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项目信息</w:t>
            </w:r>
          </w:p>
        </w:tc>
        <w:tc>
          <w:tcPr>
            <w:tcW w:w="3364"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34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300" w:lineRule="exact"/>
              <w:rPr>
                <w:rFonts w:hint="eastAsia" w:ascii="仿宋_GB2312" w:eastAsia="仿宋_GB2312"/>
                <w:sz w:val="18"/>
                <w:szCs w:val="18"/>
              </w:rPr>
            </w:pPr>
            <w:r>
              <w:rPr>
                <w:rFonts w:hint="eastAsia" w:ascii="仿宋_GB2312" w:eastAsia="仿宋_GB2312"/>
                <w:sz w:val="18"/>
                <w:szCs w:val="18"/>
              </w:rPr>
              <w:t>每年一季度集中公告</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县自然资源局</w:t>
            </w:r>
          </w:p>
        </w:tc>
        <w:tc>
          <w:tcPr>
            <w:tcW w:w="1856" w:type="dxa"/>
            <w:noWrap w:val="0"/>
            <w:vAlign w:val="center"/>
          </w:tcPr>
          <w:p>
            <w:pPr>
              <w:spacing w:line="300" w:lineRule="exact"/>
              <w:ind w:firstLine="270" w:firstLineChars="150"/>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p>
          <w:p>
            <w:pPr>
              <w:spacing w:line="300" w:lineRule="exact"/>
              <w:rPr>
                <w:rFonts w:ascii="仿宋_GB2312" w:eastAsia="仿宋_GB2312"/>
                <w:sz w:val="18"/>
                <w:szCs w:val="18"/>
              </w:rPr>
            </w:pPr>
          </w:p>
        </w:tc>
        <w:tc>
          <w:tcPr>
            <w:tcW w:w="720"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spacing w:line="30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300" w:lineRule="exact"/>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36</w:t>
            </w:r>
          </w:p>
        </w:tc>
        <w:tc>
          <w:tcPr>
            <w:tcW w:w="900" w:type="dxa"/>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国有企业产权转让信息预披露</w:t>
            </w:r>
          </w:p>
        </w:tc>
        <w:tc>
          <w:tcPr>
            <w:tcW w:w="3364"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856" w:type="dxa"/>
            <w:noWrap w:val="0"/>
            <w:vAlign w:val="center"/>
          </w:tcPr>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spacing w:line="240" w:lineRule="exact"/>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37</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国有企业产权转让信息披露</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noWrap w:val="0"/>
            <w:vAlign w:val="center"/>
          </w:tcPr>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38</w:t>
            </w:r>
          </w:p>
        </w:tc>
        <w:tc>
          <w:tcPr>
            <w:tcW w:w="900" w:type="dxa"/>
            <w:vMerge w:val="continue"/>
            <w:noWrap w:val="0"/>
            <w:vAlign w:val="center"/>
          </w:tcPr>
          <w:p>
            <w:pP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国有企业产权转让成交公告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及时公开，公告期不少于5个工作日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noWrap w:val="0"/>
            <w:vAlign w:val="center"/>
          </w:tcPr>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39</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noWrap w:val="0"/>
            <w:vAlign w:val="center"/>
          </w:tcPr>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40</w:t>
            </w:r>
          </w:p>
        </w:tc>
        <w:tc>
          <w:tcPr>
            <w:tcW w:w="900" w:type="dxa"/>
            <w:vMerge w:val="continue"/>
            <w:noWrap w:val="0"/>
            <w:vAlign w:val="center"/>
          </w:tcPr>
          <w:p>
            <w:pP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政府信息公开条例》</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noWrap w:val="0"/>
            <w:vAlign w:val="center"/>
          </w:tcPr>
          <w:p>
            <w:pPr>
              <w:spacing w:line="30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政府网站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pPr>
        <w:jc w:val="center"/>
        <w:rPr>
          <w:rFonts w:hint="eastAsia" w:ascii="Times New Roman" w:hAnsi="Times New Roman" w:eastAsia="方正小标宋_GBK"/>
          <w:sz w:val="30"/>
          <w:szCs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宋体-PUA"/>
    <w:panose1 w:val="05020102010507070707"/>
    <w:charset w:val="02"/>
    <w:family w:val="roman"/>
    <w:pitch w:val="default"/>
    <w:sig w:usb0="00000000" w:usb1="00000000" w:usb2="00000000" w:usb3="00000000" w:csb0="80000000" w:csb1="00000000"/>
  </w:font>
  <w:font w:name="宋体-PUA">
    <w:panose1 w:val="02010600030101010101"/>
    <w:charset w:val="86"/>
    <w:family w:val="auto"/>
    <w:pitch w:val="default"/>
    <w:sig w:usb0="00000000" w:usb1="1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425F3"/>
    <w:rsid w:val="723E7DF1"/>
    <w:rsid w:val="772C2B9A"/>
    <w:rsid w:val="EFBF0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2021-12-07T16:12:00Z</dcterms:created>
  <dc:creator>Administrator</dc:creator>
  <cp:lastModifiedBy>user</cp:lastModifiedBy>
  <dcterms:modified xsi:type="dcterms:W3CDTF">2024-12-25T17:42:44Z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8A1211A046C84A968A3F38D13D371E69</vt:lpwstr>
  </property>
</Properties>
</file>