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1D86B">
      <w:pPr>
        <w:spacing w:line="560" w:lineRule="exact"/>
        <w:jc w:val="center"/>
        <w:rPr>
          <w:rFonts w:ascii="宋体" w:hAnsi="宋体" w:eastAsia="仿宋_GB2312"/>
          <w:sz w:val="32"/>
          <w:szCs w:val="32"/>
        </w:rPr>
      </w:pPr>
      <w:bookmarkStart w:id="1" w:name="_GoBack"/>
      <w:r>
        <w:rPr>
          <w:rFonts w:hint="eastAsia" w:ascii="宋体" w:hAnsi="宋体" w:eastAsia="仿宋_GB2312"/>
          <w:sz w:val="32"/>
          <w:szCs w:val="32"/>
        </w:rPr>
        <w:t>上办发〔2025〕33号</w:t>
      </w:r>
    </w:p>
    <w:p w14:paraId="07155096">
      <w:pPr>
        <w:jc w:val="center"/>
        <w:rPr>
          <w:rFonts w:ascii="宋体" w:hAnsi="宋体"/>
        </w:rPr>
      </w:pPr>
    </w:p>
    <w:p w14:paraId="4445699E">
      <w:pPr>
        <w:tabs>
          <w:tab w:val="left" w:pos="3645"/>
        </w:tabs>
        <w:rPr>
          <w:rFonts w:ascii="宋体" w:hAnsi="宋体" w:eastAsia="方正小标宋简体" w:cs="方正小标宋简体"/>
          <w:sz w:val="44"/>
          <w:szCs w:val="44"/>
        </w:rPr>
      </w:pPr>
    </w:p>
    <w:p w14:paraId="3167916C">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pacing w:val="-17"/>
          <w:sz w:val="44"/>
          <w:szCs w:val="44"/>
        </w:rPr>
        <w:t>中共上犹县委办公室 上犹县人民政府办公室</w:t>
      </w:r>
      <w:r>
        <w:rPr>
          <w:rFonts w:hint="eastAsia" w:ascii="宋体" w:hAnsi="宋体" w:eastAsia="方正小标宋简体" w:cs="方正小标宋简体"/>
          <w:sz w:val="44"/>
          <w:szCs w:val="44"/>
        </w:rPr>
        <w:t>关于印发《上犹县提振消费构建文旅商贸</w:t>
      </w:r>
    </w:p>
    <w:p w14:paraId="11ABF1F4">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大商圈十五条措施（修订版）》的通知</w:t>
      </w:r>
    </w:p>
    <w:p w14:paraId="4CA4A061">
      <w:pPr>
        <w:spacing w:line="520" w:lineRule="exact"/>
        <w:jc w:val="left"/>
        <w:rPr>
          <w:rFonts w:ascii="宋体" w:hAnsi="宋体" w:eastAsia="仿宋_GB2312" w:cs="仿宋_GB2312"/>
          <w:sz w:val="32"/>
          <w:szCs w:val="32"/>
        </w:rPr>
      </w:pPr>
    </w:p>
    <w:p w14:paraId="345016F6">
      <w:pPr>
        <w:spacing w:line="520" w:lineRule="exact"/>
        <w:jc w:val="left"/>
        <w:rPr>
          <w:rFonts w:ascii="宋体" w:hAnsi="宋体" w:eastAsia="楷体_GB2312" w:cs="楷体_GB2312"/>
          <w:spacing w:val="-17"/>
          <w:sz w:val="32"/>
          <w:szCs w:val="32"/>
        </w:rPr>
      </w:pPr>
      <w:r>
        <w:rPr>
          <w:rFonts w:hint="eastAsia" w:ascii="宋体" w:hAnsi="宋体" w:eastAsia="楷体_GB2312" w:cs="楷体_GB2312"/>
          <w:spacing w:val="-17"/>
          <w:sz w:val="32"/>
          <w:szCs w:val="32"/>
        </w:rPr>
        <w:t>各乡（镇）党委、人民政府，县委各部门，县直、驻县各单位：</w:t>
      </w:r>
    </w:p>
    <w:p w14:paraId="55154A4D">
      <w:pPr>
        <w:spacing w:line="520" w:lineRule="exact"/>
        <w:ind w:firstLine="616" w:firstLineChars="200"/>
        <w:rPr>
          <w:rFonts w:ascii="宋体" w:hAnsi="宋体" w:eastAsia="楷体_GB2312" w:cs="楷体_GB2312"/>
          <w:spacing w:val="-6"/>
          <w:sz w:val="32"/>
          <w:szCs w:val="32"/>
        </w:rPr>
      </w:pPr>
      <w:r>
        <w:rPr>
          <w:rFonts w:hint="eastAsia" w:ascii="宋体" w:hAnsi="宋体" w:eastAsia="楷体_GB2312" w:cs="楷体_GB2312"/>
          <w:spacing w:val="-6"/>
          <w:sz w:val="32"/>
          <w:szCs w:val="32"/>
        </w:rPr>
        <w:t>经县委、县政府研究同意，现将</w:t>
      </w:r>
      <w:r>
        <w:rPr>
          <w:rFonts w:hint="eastAsia" w:ascii="宋体" w:hAnsi="宋体" w:eastAsia="楷体_GB2312" w:cs="楷体_GB2312"/>
          <w:sz w:val="32"/>
          <w:szCs w:val="32"/>
        </w:rPr>
        <w:t>《上犹县提振消费构建文旅商贸大商圈十五条措施（修订版）》印发给你们，请结合实际，认真抓好贯彻落实。</w:t>
      </w:r>
    </w:p>
    <w:p w14:paraId="2E0043F1">
      <w:pPr>
        <w:spacing w:line="520" w:lineRule="exact"/>
        <w:ind w:firstLine="640" w:firstLineChars="200"/>
        <w:rPr>
          <w:rFonts w:ascii="宋体" w:hAnsi="宋体" w:eastAsia="楷体_GB2312" w:cs="楷体_GB2312"/>
          <w:sz w:val="32"/>
          <w:szCs w:val="32"/>
        </w:rPr>
      </w:pPr>
    </w:p>
    <w:p w14:paraId="0EAD50C2">
      <w:pPr>
        <w:spacing w:line="520" w:lineRule="exact"/>
        <w:ind w:firstLine="640" w:firstLineChars="200"/>
        <w:rPr>
          <w:rFonts w:ascii="宋体" w:hAnsi="宋体" w:eastAsia="楷体_GB2312" w:cs="楷体_GB2312"/>
          <w:sz w:val="32"/>
          <w:szCs w:val="32"/>
        </w:rPr>
      </w:pPr>
    </w:p>
    <w:p w14:paraId="6BE344D0">
      <w:pPr>
        <w:spacing w:line="520" w:lineRule="exact"/>
        <w:ind w:firstLine="640" w:firstLineChars="200"/>
        <w:rPr>
          <w:rFonts w:ascii="宋体" w:hAnsi="宋体" w:eastAsia="楷体_GB2312" w:cs="楷体_GB2312"/>
          <w:sz w:val="32"/>
          <w:szCs w:val="32"/>
        </w:rPr>
      </w:pPr>
    </w:p>
    <w:p w14:paraId="58DBB729">
      <w:pPr>
        <w:spacing w:line="52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中共上犹县委办公室    上犹县人民政府办公室</w:t>
      </w:r>
    </w:p>
    <w:p w14:paraId="62CAEDBE">
      <w:pPr>
        <w:spacing w:line="520" w:lineRule="exact"/>
        <w:ind w:firstLine="4480" w:firstLineChars="1400"/>
        <w:rPr>
          <w:rFonts w:ascii="宋体" w:hAnsi="宋体" w:eastAsia="楷体_GB2312" w:cs="楷体_GB2312"/>
          <w:sz w:val="32"/>
          <w:szCs w:val="32"/>
        </w:rPr>
      </w:pPr>
      <w:r>
        <w:rPr>
          <w:rFonts w:hint="eastAsia" w:ascii="宋体" w:hAnsi="宋体" w:eastAsia="楷体_GB2312" w:cs="楷体_GB2312"/>
          <w:kern w:val="0"/>
          <w:sz w:val="32"/>
          <w:szCs w:val="32"/>
        </w:rPr>
        <w:t>2025年11月10日</w:t>
      </w:r>
    </w:p>
    <w:p w14:paraId="027BF251">
      <w:pPr>
        <w:spacing w:line="560" w:lineRule="exact"/>
        <w:jc w:val="center"/>
        <w:rPr>
          <w:rFonts w:ascii="宋体" w:hAnsi="宋体" w:eastAsia="方正小标宋简体" w:cs="方正小标宋简体"/>
          <w:sz w:val="44"/>
          <w:szCs w:val="44"/>
        </w:rPr>
      </w:pPr>
    </w:p>
    <w:p w14:paraId="288944AB">
      <w:pPr>
        <w:spacing w:line="560" w:lineRule="exact"/>
        <w:jc w:val="center"/>
        <w:rPr>
          <w:rFonts w:ascii="宋体" w:hAnsi="宋体" w:eastAsia="方正小标宋简体" w:cs="方正小标宋简体"/>
          <w:sz w:val="44"/>
          <w:szCs w:val="44"/>
        </w:rPr>
      </w:pPr>
    </w:p>
    <w:p w14:paraId="68A536FC">
      <w:pPr>
        <w:spacing w:line="560" w:lineRule="exact"/>
        <w:jc w:val="center"/>
        <w:rPr>
          <w:rFonts w:ascii="宋体" w:hAnsi="宋体" w:eastAsia="方正小标宋简体" w:cs="方正小标宋简体"/>
          <w:sz w:val="44"/>
          <w:szCs w:val="44"/>
        </w:rPr>
      </w:pPr>
    </w:p>
    <w:p w14:paraId="4262C0E2">
      <w:pPr>
        <w:spacing w:line="560" w:lineRule="exact"/>
        <w:jc w:val="center"/>
        <w:rPr>
          <w:rFonts w:ascii="宋体" w:hAnsi="宋体" w:eastAsia="方正小标宋简体" w:cs="方正小标宋简体"/>
          <w:sz w:val="44"/>
          <w:szCs w:val="44"/>
        </w:rPr>
      </w:pPr>
    </w:p>
    <w:p w14:paraId="04A443BD">
      <w:pPr>
        <w:spacing w:line="560" w:lineRule="exact"/>
        <w:jc w:val="center"/>
        <w:rPr>
          <w:rFonts w:ascii="宋体" w:hAnsi="宋体" w:eastAsia="方正小标宋简体" w:cs="方正小标宋简体"/>
          <w:sz w:val="44"/>
          <w:szCs w:val="44"/>
        </w:rPr>
      </w:pPr>
    </w:p>
    <w:p w14:paraId="5065BA7A">
      <w:pPr>
        <w:spacing w:line="560" w:lineRule="exact"/>
        <w:jc w:val="center"/>
        <w:rPr>
          <w:rFonts w:ascii="宋体" w:hAnsi="宋体" w:eastAsia="方正小标宋简体" w:cs="方正小标宋简体"/>
          <w:sz w:val="44"/>
          <w:szCs w:val="44"/>
        </w:rPr>
      </w:pPr>
    </w:p>
    <w:p w14:paraId="4FA25F24">
      <w:pPr>
        <w:spacing w:line="560" w:lineRule="exact"/>
        <w:jc w:val="center"/>
        <w:rPr>
          <w:rFonts w:ascii="宋体" w:hAnsi="宋体" w:eastAsia="方正小标宋简体" w:cs="方正小标宋简体"/>
          <w:sz w:val="44"/>
          <w:szCs w:val="44"/>
        </w:rPr>
      </w:pPr>
    </w:p>
    <w:p w14:paraId="7A989A47">
      <w:pPr>
        <w:spacing w:line="560" w:lineRule="exact"/>
        <w:jc w:val="center"/>
        <w:rPr>
          <w:rFonts w:ascii="宋体" w:hAnsi="宋体" w:eastAsia="方正小标宋简体" w:cs="方正小标宋简体"/>
          <w:sz w:val="44"/>
          <w:szCs w:val="44"/>
        </w:rPr>
      </w:pPr>
    </w:p>
    <w:p w14:paraId="0E647FA4">
      <w:pPr>
        <w:spacing w:line="560" w:lineRule="exact"/>
        <w:jc w:val="center"/>
        <w:rPr>
          <w:rFonts w:ascii="宋体" w:hAnsi="宋体" w:eastAsia="方正小标宋简体" w:cs="方正小标宋简体"/>
          <w:sz w:val="44"/>
          <w:szCs w:val="44"/>
        </w:rPr>
      </w:pPr>
    </w:p>
    <w:p w14:paraId="38C94854">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上犹县提振消费构建文旅商贸</w:t>
      </w:r>
    </w:p>
    <w:p w14:paraId="79A9E922">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大商圈十五条措施</w:t>
      </w:r>
    </w:p>
    <w:p w14:paraId="4465BD62">
      <w:pPr>
        <w:spacing w:line="560" w:lineRule="exact"/>
        <w:jc w:val="center"/>
        <w:rPr>
          <w:rFonts w:ascii="宋体" w:hAnsi="宋体" w:eastAsia="楷体_GB2312" w:cs="楷体_GB2312"/>
          <w:sz w:val="32"/>
          <w:szCs w:val="32"/>
        </w:rPr>
      </w:pPr>
      <w:r>
        <w:rPr>
          <w:rFonts w:hint="eastAsia" w:ascii="宋体" w:hAnsi="宋体" w:eastAsia="楷体_GB2312" w:cs="楷体_GB2312"/>
          <w:sz w:val="32"/>
          <w:szCs w:val="32"/>
        </w:rPr>
        <w:t>（修订版）</w:t>
      </w:r>
    </w:p>
    <w:p w14:paraId="3A43EADF">
      <w:pPr>
        <w:spacing w:line="560" w:lineRule="exact"/>
        <w:ind w:firstLine="480" w:firstLineChars="150"/>
        <w:rPr>
          <w:rFonts w:ascii="宋体" w:hAnsi="宋体" w:eastAsia="黑体" w:cs="黑体"/>
          <w:sz w:val="32"/>
          <w:szCs w:val="32"/>
        </w:rPr>
      </w:pPr>
    </w:p>
    <w:p w14:paraId="29F9DFF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为深入贯彻落实党中央、国务院关于大力提振消费的决策部署和省委、省政府，市委市政府工作要求</w:t>
      </w:r>
      <w:r>
        <w:rPr>
          <w:rFonts w:hint="eastAsia" w:ascii="宋体" w:hAnsi="宋体" w:cs="宋体"/>
          <w:sz w:val="32"/>
          <w:szCs w:val="32"/>
        </w:rPr>
        <w:t>,</w:t>
      </w:r>
      <w:r>
        <w:rPr>
          <w:rFonts w:hint="eastAsia" w:ascii="宋体" w:hAnsi="宋体" w:eastAsia="仿宋_GB2312" w:cs="仿宋_GB2312"/>
          <w:sz w:val="32"/>
          <w:szCs w:val="32"/>
        </w:rPr>
        <w:t>全方位推动我县消费扩量提质增效</w:t>
      </w:r>
      <w:r>
        <w:rPr>
          <w:rFonts w:hint="eastAsia" w:ascii="宋体" w:hAnsi="宋体" w:cs="宋体"/>
          <w:sz w:val="32"/>
          <w:szCs w:val="32"/>
        </w:rPr>
        <w:t>,</w:t>
      </w:r>
      <w:r>
        <w:rPr>
          <w:rFonts w:hint="eastAsia" w:ascii="宋体" w:hAnsi="宋体" w:eastAsia="仿宋_GB2312" w:cs="仿宋_GB2312"/>
          <w:sz w:val="32"/>
          <w:szCs w:val="32"/>
        </w:rPr>
        <w:t>围绕我县“三大产业集聚区、一个示范、一个后花园”目标定位，因地制宜、系统施策打造多业态新型商文旅体消费集聚区，充分发挥消费对经济发展的基础性作用</w:t>
      </w:r>
      <w:r>
        <w:rPr>
          <w:rFonts w:hint="eastAsia" w:ascii="宋体" w:hAnsi="宋体" w:cs="宋体"/>
          <w:sz w:val="32"/>
          <w:szCs w:val="32"/>
        </w:rPr>
        <w:t>,</w:t>
      </w:r>
      <w:r>
        <w:rPr>
          <w:rFonts w:hint="eastAsia" w:ascii="宋体" w:hAnsi="宋体" w:eastAsia="仿宋_GB2312" w:cs="仿宋_GB2312"/>
          <w:sz w:val="32"/>
          <w:szCs w:val="32"/>
        </w:rPr>
        <w:t>不断增强高质量发展的持久动力</w:t>
      </w:r>
      <w:r>
        <w:rPr>
          <w:rFonts w:hint="eastAsia" w:ascii="宋体" w:hAnsi="宋体" w:cs="宋体"/>
          <w:sz w:val="32"/>
          <w:szCs w:val="32"/>
        </w:rPr>
        <w:t>,</w:t>
      </w:r>
      <w:r>
        <w:rPr>
          <w:rFonts w:hint="eastAsia" w:ascii="宋体" w:hAnsi="宋体" w:eastAsia="仿宋_GB2312" w:cs="仿宋_GB2312"/>
          <w:sz w:val="32"/>
          <w:szCs w:val="32"/>
        </w:rPr>
        <w:t>制定本措施。</w:t>
      </w:r>
    </w:p>
    <w:p w14:paraId="1EED5FBE">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一、提振消费十五条措施</w:t>
      </w:r>
    </w:p>
    <w:p w14:paraId="124498B5">
      <w:pPr>
        <w:spacing w:line="560" w:lineRule="exact"/>
        <w:ind w:firstLine="643" w:firstLineChars="200"/>
        <w:rPr>
          <w:rFonts w:ascii="宋体" w:hAnsi="宋体" w:eastAsia="楷体_GB2312" w:cs="楷体_GB2312"/>
          <w:sz w:val="32"/>
          <w:szCs w:val="32"/>
        </w:rPr>
      </w:pPr>
      <w:r>
        <w:rPr>
          <w:rFonts w:hint="eastAsia" w:ascii="宋体" w:hAnsi="宋体" w:cs="宋体"/>
          <w:b/>
          <w:bCs/>
          <w:sz w:val="32"/>
          <w:szCs w:val="32"/>
        </w:rPr>
        <w:t>1.</w:t>
      </w:r>
      <w:r>
        <w:rPr>
          <w:rFonts w:hint="eastAsia" w:ascii="宋体" w:hAnsi="宋体" w:eastAsia="楷体_GB2312" w:cs="楷体_GB2312"/>
          <w:b/>
          <w:bCs/>
          <w:sz w:val="32"/>
          <w:szCs w:val="32"/>
        </w:rPr>
        <w:t>推出高速免通行费政策。</w:t>
      </w:r>
      <w:r>
        <w:rPr>
          <w:rFonts w:hint="eastAsia" w:ascii="宋体" w:hAnsi="宋体" w:eastAsia="仿宋_GB2312" w:cs="仿宋_GB2312"/>
          <w:sz w:val="32"/>
          <w:szCs w:val="32"/>
        </w:rPr>
        <w:t>大力开展“引客入犹”工程，支持“周末”经济发展，对在周五</w:t>
      </w:r>
      <w:r>
        <w:rPr>
          <w:rFonts w:hint="eastAsia" w:ascii="宋体" w:hAnsi="宋体" w:cs="宋体"/>
          <w:sz w:val="32"/>
          <w:szCs w:val="32"/>
        </w:rPr>
        <w:t>16:00</w:t>
      </w:r>
      <w:r>
        <w:rPr>
          <w:rFonts w:hint="eastAsia" w:ascii="宋体" w:hAnsi="宋体" w:eastAsia="仿宋_GB2312" w:cs="仿宋_GB2312"/>
          <w:sz w:val="32"/>
          <w:szCs w:val="32"/>
        </w:rPr>
        <w:t>至周日</w:t>
      </w:r>
      <w:r>
        <w:rPr>
          <w:rFonts w:hint="eastAsia" w:ascii="宋体" w:hAnsi="宋体" w:cs="宋体"/>
          <w:sz w:val="32"/>
          <w:szCs w:val="32"/>
        </w:rPr>
        <w:t>18:00</w:t>
      </w:r>
      <w:r>
        <w:rPr>
          <w:rFonts w:hint="eastAsia" w:ascii="宋体" w:hAnsi="宋体" w:eastAsia="仿宋_GB2312" w:cs="仿宋_GB2312"/>
          <w:sz w:val="32"/>
          <w:szCs w:val="32"/>
        </w:rPr>
        <w:t>时间段内从赣州东、赣州南、赣州西、赣州北四个高速收费站驶入，从上犹西高速收费站或上犹东高速收费站驶出，且在上犹境内停留</w:t>
      </w:r>
      <w:r>
        <w:rPr>
          <w:rFonts w:hint="eastAsia" w:ascii="宋体" w:hAnsi="宋体" w:cs="宋体"/>
          <w:sz w:val="32"/>
          <w:szCs w:val="32"/>
        </w:rPr>
        <w:t>2</w:t>
      </w:r>
      <w:r>
        <w:rPr>
          <w:rFonts w:hint="eastAsia" w:ascii="宋体" w:hAnsi="宋体" w:eastAsia="仿宋_GB2312" w:cs="仿宋_GB2312"/>
          <w:sz w:val="32"/>
          <w:szCs w:val="32"/>
        </w:rPr>
        <w:t>小时以上的所有使用</w:t>
      </w:r>
      <w:r>
        <w:rPr>
          <w:rFonts w:hint="eastAsia" w:ascii="宋体" w:hAnsi="宋体" w:cs="宋体"/>
          <w:sz w:val="32"/>
          <w:szCs w:val="32"/>
        </w:rPr>
        <w:t>ETC</w:t>
      </w:r>
      <w:r>
        <w:rPr>
          <w:rFonts w:hint="eastAsia" w:ascii="宋体" w:hAnsi="宋体" w:eastAsia="仿宋_GB2312" w:cs="仿宋_GB2312"/>
          <w:sz w:val="32"/>
          <w:szCs w:val="32"/>
        </w:rPr>
        <w:t>电子支付方式的七座及以下客车，实行免收高速通行费政策。</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责任单位：县交通运输局、文广旅局、犹江实业公司</w:t>
      </w:r>
      <w:r>
        <w:rPr>
          <w:rFonts w:hint="eastAsia" w:ascii="宋体" w:hAnsi="宋体" w:eastAsia="楷体_GB2312" w:cs="楷体_GB2312"/>
          <w:sz w:val="32"/>
          <w:szCs w:val="32"/>
        </w:rPr>
        <w:t>〕</w:t>
      </w:r>
    </w:p>
    <w:p w14:paraId="0106DAB2">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2.</w:t>
      </w:r>
      <w:r>
        <w:rPr>
          <w:rFonts w:hint="eastAsia" w:ascii="宋体" w:hAnsi="宋体" w:eastAsia="楷体_GB2312" w:cs="楷体_GB2312"/>
          <w:b/>
          <w:bCs/>
          <w:sz w:val="32"/>
          <w:szCs w:val="32"/>
        </w:rPr>
        <w:t>开通“森宿上犹”免费旅游公交专线。</w:t>
      </w:r>
      <w:r>
        <w:rPr>
          <w:rFonts w:hint="eastAsia" w:ascii="宋体" w:hAnsi="宋体" w:eastAsia="仿宋_GB2312" w:cs="仿宋_GB2312"/>
          <w:sz w:val="32"/>
          <w:szCs w:val="32"/>
        </w:rPr>
        <w:t>在每周五</w:t>
      </w:r>
      <w:r>
        <w:rPr>
          <w:rFonts w:hint="eastAsia" w:ascii="宋体" w:hAnsi="宋体" w:cs="宋体"/>
          <w:sz w:val="32"/>
          <w:szCs w:val="32"/>
        </w:rPr>
        <w:t>16:00</w:t>
      </w:r>
      <w:r>
        <w:rPr>
          <w:rFonts w:hint="eastAsia" w:ascii="宋体" w:hAnsi="宋体" w:eastAsia="仿宋_GB2312" w:cs="仿宋_GB2312"/>
          <w:sz w:val="32"/>
          <w:szCs w:val="32"/>
        </w:rPr>
        <w:t>至周日</w:t>
      </w:r>
      <w:r>
        <w:rPr>
          <w:rFonts w:hint="eastAsia" w:ascii="宋体" w:hAnsi="宋体" w:cs="宋体"/>
          <w:sz w:val="32"/>
          <w:szCs w:val="32"/>
        </w:rPr>
        <w:t>20:00</w:t>
      </w:r>
      <w:r>
        <w:rPr>
          <w:rFonts w:hint="eastAsia" w:ascii="宋体" w:hAnsi="宋体" w:eastAsia="仿宋_GB2312" w:cs="仿宋_GB2312"/>
          <w:sz w:val="32"/>
          <w:szCs w:val="32"/>
        </w:rPr>
        <w:t>及法定节假日，免费开通赣州中心城区长征广场至阳明湖碧水湾旅游公交专线，同步开通阳明小镇至梅水园村内循环旅游公交，游客提前在“森宿上犹”小程序预约后即可全程免费畅游上犹。</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责任单位：县交通运输局、文广旅局、犹江实业公司</w:t>
      </w:r>
      <w:r>
        <w:rPr>
          <w:rFonts w:hint="eastAsia" w:ascii="宋体" w:hAnsi="宋体" w:eastAsia="楷体_GB2312" w:cs="楷体_GB2312"/>
          <w:sz w:val="32"/>
          <w:szCs w:val="32"/>
        </w:rPr>
        <w:t>〕</w:t>
      </w:r>
    </w:p>
    <w:p w14:paraId="65612915">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3.</w:t>
      </w:r>
      <w:r>
        <w:rPr>
          <w:rFonts w:hint="eastAsia" w:ascii="宋体" w:hAnsi="宋体" w:eastAsia="楷体_GB2312" w:cs="楷体_GB2312"/>
          <w:b/>
          <w:bCs/>
          <w:sz w:val="32"/>
          <w:szCs w:val="32"/>
        </w:rPr>
        <w:t>推行景区免门票政策。</w:t>
      </w:r>
      <w:r>
        <w:rPr>
          <w:rFonts w:hint="eastAsia" w:ascii="宋体" w:hAnsi="宋体" w:eastAsia="仿宋_GB2312" w:cs="仿宋_GB2312"/>
          <w:sz w:val="32"/>
          <w:szCs w:val="32"/>
        </w:rPr>
        <w:t>对所有经我县进入国家</w:t>
      </w:r>
      <w:r>
        <w:rPr>
          <w:rFonts w:hint="eastAsia" w:ascii="宋体" w:hAnsi="宋体" w:cs="宋体"/>
          <w:sz w:val="32"/>
          <w:szCs w:val="32"/>
        </w:rPr>
        <w:t>4A</w:t>
      </w:r>
      <w:r>
        <w:rPr>
          <w:rFonts w:hint="eastAsia" w:ascii="宋体" w:hAnsi="宋体" w:eastAsia="仿宋_GB2312" w:cs="仿宋_GB2312"/>
          <w:sz w:val="32"/>
          <w:szCs w:val="32"/>
        </w:rPr>
        <w:t>级景区阳明湖的游客，实行免门票（不含船票）政策。</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责任单位：县犹江实业公司、文广旅局</w:t>
      </w:r>
      <w:r>
        <w:rPr>
          <w:rFonts w:hint="eastAsia" w:ascii="宋体" w:hAnsi="宋体" w:eastAsia="楷体_GB2312" w:cs="楷体_GB2312"/>
          <w:sz w:val="32"/>
          <w:szCs w:val="32"/>
        </w:rPr>
        <w:t>〕</w:t>
      </w:r>
    </w:p>
    <w:p w14:paraId="5387DDA6">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4.</w:t>
      </w:r>
      <w:r>
        <w:rPr>
          <w:rFonts w:hint="eastAsia" w:ascii="宋体" w:hAnsi="宋体" w:eastAsia="楷体_GB2312" w:cs="楷体_GB2312"/>
          <w:b/>
          <w:bCs/>
          <w:sz w:val="32"/>
          <w:szCs w:val="32"/>
        </w:rPr>
        <w:t>助力企业扩容提质。</w:t>
      </w:r>
      <w:r>
        <w:rPr>
          <w:rFonts w:hint="eastAsia" w:ascii="宋体" w:hAnsi="宋体" w:eastAsia="仿宋_GB2312" w:cs="仿宋_GB2312"/>
          <w:sz w:val="32"/>
          <w:szCs w:val="32"/>
        </w:rPr>
        <w:t>对年营业收入较上年增长</w:t>
      </w:r>
      <w:r>
        <w:rPr>
          <w:rFonts w:hint="eastAsia" w:ascii="宋体" w:hAnsi="宋体" w:cs="宋体"/>
          <w:sz w:val="32"/>
          <w:szCs w:val="32"/>
        </w:rPr>
        <w:t>300</w:t>
      </w:r>
      <w:r>
        <w:rPr>
          <w:rFonts w:hint="eastAsia" w:ascii="宋体" w:hAnsi="宋体" w:eastAsia="仿宋_GB2312" w:cs="仿宋_GB2312"/>
          <w:sz w:val="32"/>
          <w:szCs w:val="32"/>
        </w:rPr>
        <w:t>万元</w:t>
      </w:r>
      <w:r>
        <w:rPr>
          <w:rFonts w:hint="eastAsia" w:ascii="宋体" w:hAnsi="宋体" w:cs="宋体"/>
          <w:sz w:val="32"/>
          <w:szCs w:val="32"/>
        </w:rPr>
        <w:t>-500</w:t>
      </w:r>
      <w:r>
        <w:rPr>
          <w:rFonts w:hint="eastAsia" w:ascii="宋体" w:hAnsi="宋体" w:eastAsia="仿宋_GB2312" w:cs="仿宋_GB2312"/>
          <w:sz w:val="32"/>
          <w:szCs w:val="32"/>
        </w:rPr>
        <w:t>万元、</w:t>
      </w:r>
      <w:r>
        <w:rPr>
          <w:rFonts w:hint="eastAsia" w:ascii="宋体" w:hAnsi="宋体" w:cs="宋体"/>
          <w:sz w:val="32"/>
          <w:szCs w:val="32"/>
        </w:rPr>
        <w:t>500</w:t>
      </w:r>
      <w:r>
        <w:rPr>
          <w:rFonts w:hint="eastAsia" w:ascii="宋体" w:hAnsi="宋体" w:eastAsia="仿宋_GB2312" w:cs="仿宋_GB2312"/>
          <w:sz w:val="32"/>
          <w:szCs w:val="32"/>
        </w:rPr>
        <w:t>万元以上（上年度营业收入须为正增长）的服务业、批发业和零售业市场主体，分别奖励</w:t>
      </w:r>
      <w:r>
        <w:rPr>
          <w:rFonts w:hint="eastAsia" w:ascii="宋体" w:hAnsi="宋体" w:cs="宋体"/>
          <w:sz w:val="32"/>
          <w:szCs w:val="32"/>
        </w:rPr>
        <w:t>1</w:t>
      </w:r>
      <w:r>
        <w:rPr>
          <w:rFonts w:hint="eastAsia" w:ascii="宋体" w:hAnsi="宋体" w:eastAsia="仿宋_GB2312" w:cs="仿宋_GB2312"/>
          <w:sz w:val="32"/>
          <w:szCs w:val="32"/>
        </w:rPr>
        <w:t>万元</w:t>
      </w:r>
      <w:r>
        <w:rPr>
          <w:rFonts w:hint="eastAsia" w:ascii="宋体" w:hAnsi="宋体" w:cs="宋体"/>
          <w:sz w:val="32"/>
          <w:szCs w:val="32"/>
        </w:rPr>
        <w:t>/</w:t>
      </w:r>
      <w:r>
        <w:rPr>
          <w:rFonts w:hint="eastAsia" w:ascii="宋体" w:hAnsi="宋体" w:eastAsia="仿宋_GB2312" w:cs="仿宋_GB2312"/>
          <w:sz w:val="32"/>
          <w:szCs w:val="32"/>
        </w:rPr>
        <w:t>家、</w:t>
      </w:r>
      <w:r>
        <w:rPr>
          <w:rFonts w:hint="eastAsia" w:ascii="宋体" w:hAnsi="宋体" w:cs="宋体"/>
          <w:sz w:val="32"/>
          <w:szCs w:val="32"/>
        </w:rPr>
        <w:t>2</w:t>
      </w:r>
      <w:r>
        <w:rPr>
          <w:rFonts w:hint="eastAsia" w:ascii="宋体" w:hAnsi="宋体" w:eastAsia="仿宋_GB2312" w:cs="仿宋_GB2312"/>
          <w:sz w:val="32"/>
          <w:szCs w:val="32"/>
        </w:rPr>
        <w:t>万元</w:t>
      </w:r>
      <w:r>
        <w:rPr>
          <w:rFonts w:hint="eastAsia" w:ascii="宋体" w:hAnsi="宋体" w:cs="宋体"/>
          <w:sz w:val="32"/>
          <w:szCs w:val="32"/>
        </w:rPr>
        <w:t>/</w:t>
      </w:r>
      <w:r>
        <w:rPr>
          <w:rFonts w:hint="eastAsia" w:ascii="宋体" w:hAnsi="宋体" w:eastAsia="仿宋_GB2312" w:cs="仿宋_GB2312"/>
          <w:sz w:val="32"/>
          <w:szCs w:val="32"/>
        </w:rPr>
        <w:t>家。对年营业收入较上年增长</w:t>
      </w:r>
      <w:r>
        <w:rPr>
          <w:rFonts w:hint="eastAsia" w:ascii="宋体" w:hAnsi="宋体" w:cs="宋体"/>
          <w:sz w:val="32"/>
          <w:szCs w:val="32"/>
        </w:rPr>
        <w:t>50-100</w:t>
      </w:r>
      <w:r>
        <w:rPr>
          <w:rFonts w:hint="eastAsia" w:ascii="宋体" w:hAnsi="宋体" w:eastAsia="仿宋_GB2312" w:cs="仿宋_GB2312"/>
          <w:sz w:val="32"/>
          <w:szCs w:val="32"/>
        </w:rPr>
        <w:t>万元、</w:t>
      </w:r>
      <w:r>
        <w:rPr>
          <w:rFonts w:hint="eastAsia" w:ascii="宋体" w:hAnsi="宋体" w:cs="宋体"/>
          <w:sz w:val="32"/>
          <w:szCs w:val="32"/>
        </w:rPr>
        <w:t>100</w:t>
      </w:r>
      <w:r>
        <w:rPr>
          <w:rFonts w:hint="eastAsia" w:ascii="宋体" w:hAnsi="宋体" w:eastAsia="仿宋_GB2312" w:cs="仿宋_GB2312"/>
          <w:sz w:val="32"/>
          <w:szCs w:val="32"/>
        </w:rPr>
        <w:t>万元以上（上年度营业收入须为正增长）的住宿业、餐饮业和居民服务业市场主体，分别奖励</w:t>
      </w:r>
      <w:r>
        <w:rPr>
          <w:rFonts w:hint="eastAsia" w:ascii="宋体" w:hAnsi="宋体" w:cs="宋体"/>
          <w:sz w:val="32"/>
          <w:szCs w:val="32"/>
        </w:rPr>
        <w:t>0.5</w:t>
      </w:r>
      <w:r>
        <w:rPr>
          <w:rFonts w:hint="eastAsia" w:ascii="宋体" w:hAnsi="宋体" w:eastAsia="仿宋_GB2312" w:cs="仿宋_GB2312"/>
          <w:sz w:val="32"/>
          <w:szCs w:val="32"/>
        </w:rPr>
        <w:t>万元</w:t>
      </w:r>
      <w:r>
        <w:rPr>
          <w:rFonts w:hint="eastAsia" w:ascii="宋体" w:hAnsi="宋体" w:cs="宋体"/>
          <w:sz w:val="32"/>
          <w:szCs w:val="32"/>
        </w:rPr>
        <w:t>/</w:t>
      </w:r>
      <w:r>
        <w:rPr>
          <w:rFonts w:hint="eastAsia" w:ascii="宋体" w:hAnsi="宋体" w:eastAsia="仿宋_GB2312" w:cs="仿宋_GB2312"/>
          <w:sz w:val="32"/>
          <w:szCs w:val="32"/>
        </w:rPr>
        <w:t>家、</w:t>
      </w:r>
      <w:r>
        <w:rPr>
          <w:rFonts w:hint="eastAsia" w:ascii="宋体" w:hAnsi="宋体" w:cs="宋体"/>
          <w:sz w:val="32"/>
          <w:szCs w:val="32"/>
        </w:rPr>
        <w:t>1</w:t>
      </w:r>
      <w:r>
        <w:rPr>
          <w:rFonts w:hint="eastAsia" w:ascii="宋体" w:hAnsi="宋体" w:eastAsia="仿宋_GB2312" w:cs="仿宋_GB2312"/>
          <w:sz w:val="32"/>
          <w:szCs w:val="32"/>
        </w:rPr>
        <w:t>万元</w:t>
      </w:r>
      <w:r>
        <w:rPr>
          <w:rFonts w:hint="eastAsia" w:ascii="宋体" w:hAnsi="宋体" w:cs="宋体"/>
          <w:sz w:val="32"/>
          <w:szCs w:val="32"/>
        </w:rPr>
        <w:t>/</w:t>
      </w:r>
      <w:r>
        <w:rPr>
          <w:rFonts w:hint="eastAsia" w:ascii="宋体" w:hAnsi="宋体" w:eastAsia="仿宋_GB2312" w:cs="仿宋_GB2312"/>
          <w:sz w:val="32"/>
          <w:szCs w:val="32"/>
        </w:rPr>
        <w:t>家。</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责任单位：县商务局、发改委、行政审批局</w:t>
      </w:r>
      <w:r>
        <w:rPr>
          <w:rFonts w:hint="eastAsia" w:ascii="宋体" w:hAnsi="宋体" w:eastAsia="楷体_GB2312" w:cs="楷体_GB2312"/>
          <w:sz w:val="32"/>
          <w:szCs w:val="32"/>
        </w:rPr>
        <w:t>〕</w:t>
      </w:r>
    </w:p>
    <w:p w14:paraId="38A2AFDC">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5.</w:t>
      </w:r>
      <w:r>
        <w:rPr>
          <w:rFonts w:hint="eastAsia" w:ascii="宋体" w:hAnsi="宋体" w:eastAsia="楷体_GB2312" w:cs="楷体_GB2312"/>
          <w:b/>
          <w:bCs/>
          <w:sz w:val="32"/>
          <w:szCs w:val="32"/>
        </w:rPr>
        <w:t>促进数字商贸提速。</w:t>
      </w:r>
      <w:r>
        <w:rPr>
          <w:rFonts w:hint="eastAsia" w:ascii="宋体" w:hAnsi="宋体" w:eastAsia="仿宋_GB2312" w:cs="仿宋_GB2312"/>
          <w:sz w:val="32"/>
          <w:szCs w:val="32"/>
        </w:rPr>
        <w:t>鼓励商业综合体、商业街区、商品交易市场、连锁企业、商圈等转型升级，对搭建统一汇总结算数字消费平台、年营业收入达</w:t>
      </w:r>
      <w:r>
        <w:rPr>
          <w:rFonts w:hint="eastAsia" w:ascii="宋体" w:hAnsi="宋体" w:cs="宋体"/>
          <w:sz w:val="32"/>
          <w:szCs w:val="32"/>
        </w:rPr>
        <w:t>500</w:t>
      </w:r>
      <w:r>
        <w:rPr>
          <w:rFonts w:hint="eastAsia" w:ascii="宋体" w:hAnsi="宋体" w:eastAsia="仿宋_GB2312" w:cs="仿宋_GB2312"/>
          <w:sz w:val="32"/>
          <w:szCs w:val="32"/>
        </w:rPr>
        <w:t>万元、</w:t>
      </w:r>
      <w:r>
        <w:rPr>
          <w:rFonts w:hint="eastAsia" w:ascii="宋体" w:hAnsi="宋体" w:cs="宋体"/>
          <w:sz w:val="32"/>
          <w:szCs w:val="32"/>
        </w:rPr>
        <w:t>1000</w:t>
      </w:r>
      <w:r>
        <w:rPr>
          <w:rFonts w:hint="eastAsia" w:ascii="宋体" w:hAnsi="宋体" w:eastAsia="仿宋_GB2312" w:cs="仿宋_GB2312"/>
          <w:sz w:val="32"/>
          <w:szCs w:val="32"/>
        </w:rPr>
        <w:t>万元、</w:t>
      </w:r>
      <w:r>
        <w:rPr>
          <w:rFonts w:hint="eastAsia" w:ascii="宋体" w:hAnsi="宋体" w:cs="宋体"/>
          <w:sz w:val="32"/>
          <w:szCs w:val="32"/>
        </w:rPr>
        <w:t>2000</w:t>
      </w:r>
      <w:r>
        <w:rPr>
          <w:rFonts w:hint="eastAsia" w:ascii="宋体" w:hAnsi="宋体" w:eastAsia="仿宋_GB2312" w:cs="仿宋_GB2312"/>
          <w:sz w:val="32"/>
          <w:szCs w:val="32"/>
        </w:rPr>
        <w:t>万元的运营企业分别给予</w:t>
      </w:r>
      <w:r>
        <w:rPr>
          <w:rFonts w:hint="eastAsia" w:ascii="宋体" w:hAnsi="宋体" w:cs="宋体"/>
          <w:sz w:val="32"/>
          <w:szCs w:val="32"/>
        </w:rPr>
        <w:t>20</w:t>
      </w:r>
      <w:r>
        <w:rPr>
          <w:rFonts w:hint="eastAsia" w:ascii="宋体" w:hAnsi="宋体" w:eastAsia="仿宋_GB2312" w:cs="仿宋_GB2312"/>
          <w:sz w:val="32"/>
          <w:szCs w:val="32"/>
        </w:rPr>
        <w:t>万元、</w:t>
      </w:r>
      <w:r>
        <w:rPr>
          <w:rFonts w:hint="eastAsia" w:ascii="宋体" w:hAnsi="宋体" w:cs="宋体"/>
          <w:sz w:val="32"/>
          <w:szCs w:val="32"/>
        </w:rPr>
        <w:t>30</w:t>
      </w:r>
      <w:r>
        <w:rPr>
          <w:rFonts w:hint="eastAsia" w:ascii="宋体" w:hAnsi="宋体" w:eastAsia="仿宋_GB2312" w:cs="仿宋_GB2312"/>
          <w:sz w:val="32"/>
          <w:szCs w:val="32"/>
        </w:rPr>
        <w:t>万元、</w:t>
      </w:r>
      <w:r>
        <w:rPr>
          <w:rFonts w:hint="eastAsia" w:ascii="宋体" w:hAnsi="宋体" w:cs="宋体"/>
          <w:sz w:val="32"/>
          <w:szCs w:val="32"/>
        </w:rPr>
        <w:t>50</w:t>
      </w:r>
      <w:r>
        <w:rPr>
          <w:rFonts w:hint="eastAsia" w:ascii="宋体" w:hAnsi="宋体" w:eastAsia="仿宋_GB2312" w:cs="仿宋_GB2312"/>
          <w:sz w:val="32"/>
          <w:szCs w:val="32"/>
        </w:rPr>
        <w:t>万元一次性奖励。鼓励企业入规入统，对首次纳入样本监测且新增了收银系统的市场主体，给予一次性设备购买补贴，最高不超过</w:t>
      </w:r>
      <w:r>
        <w:rPr>
          <w:rFonts w:hint="eastAsia" w:ascii="宋体" w:hAnsi="宋体" w:cs="宋体"/>
          <w:sz w:val="32"/>
          <w:szCs w:val="32"/>
        </w:rPr>
        <w:t>5000</w:t>
      </w:r>
      <w:r>
        <w:rPr>
          <w:rFonts w:hint="eastAsia" w:ascii="宋体" w:hAnsi="宋体" w:eastAsia="仿宋_GB2312" w:cs="仿宋_GB2312"/>
          <w:sz w:val="32"/>
          <w:szCs w:val="32"/>
        </w:rPr>
        <w:t>元</w:t>
      </w:r>
      <w:r>
        <w:rPr>
          <w:rFonts w:hint="eastAsia" w:ascii="宋体" w:hAnsi="宋体" w:cs="宋体"/>
          <w:sz w:val="32"/>
          <w:szCs w:val="32"/>
        </w:rPr>
        <w:t>/</w:t>
      </w:r>
      <w:r>
        <w:rPr>
          <w:rFonts w:hint="eastAsia" w:ascii="宋体" w:hAnsi="宋体" w:eastAsia="仿宋_GB2312" w:cs="仿宋_GB2312"/>
          <w:sz w:val="32"/>
          <w:szCs w:val="32"/>
        </w:rPr>
        <w:t>家。</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责任单位：县商务局、行政审批局</w:t>
      </w:r>
      <w:r>
        <w:rPr>
          <w:rFonts w:hint="eastAsia" w:ascii="宋体" w:hAnsi="宋体" w:eastAsia="楷体_GB2312" w:cs="楷体_GB2312"/>
          <w:sz w:val="32"/>
          <w:szCs w:val="32"/>
        </w:rPr>
        <w:t>〕</w:t>
      </w:r>
    </w:p>
    <w:p w14:paraId="2622C44F">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6.</w:t>
      </w:r>
      <w:r>
        <w:rPr>
          <w:rFonts w:hint="eastAsia" w:ascii="宋体" w:hAnsi="宋体" w:eastAsia="楷体_GB2312" w:cs="楷体_GB2312"/>
          <w:b/>
          <w:bCs/>
          <w:sz w:val="32"/>
          <w:szCs w:val="32"/>
        </w:rPr>
        <w:t>打造高品质商圈。</w:t>
      </w:r>
      <w:r>
        <w:rPr>
          <w:rFonts w:hint="eastAsia" w:ascii="宋体" w:hAnsi="宋体" w:eastAsia="仿宋_GB2312" w:cs="仿宋_GB2312"/>
          <w:sz w:val="32"/>
          <w:szCs w:val="32"/>
        </w:rPr>
        <w:t>支持阳明宿集、笔架山产业园、平富乡燕子岩、五指峰黄沙坑、粮食大院、赛事服务中心、阳明小镇、梦幻奇遇城、园村村打造综合型高品质文旅商圈，新入驻以上特色文旅商圈、符合商圈业态的承租方</w:t>
      </w:r>
      <w:r>
        <w:rPr>
          <w:rFonts w:ascii="宋体" w:hAnsi="宋体" w:eastAsia="仿宋_GB2312" w:cs="仿宋_GB2312"/>
          <w:sz w:val="32"/>
          <w:szCs w:val="32"/>
        </w:rPr>
        <w:t>（包括但不限于民营企业、国有企业自营或合作项目</w:t>
      </w:r>
      <w:r>
        <w:rPr>
          <w:rFonts w:hint="eastAsia" w:ascii="宋体" w:hAnsi="宋体" w:eastAsia="仿宋_GB2312" w:cs="仿宋_GB2312"/>
          <w:sz w:val="32"/>
          <w:szCs w:val="32"/>
        </w:rPr>
        <w:t>），可享受第一年免租、第二年免租</w:t>
      </w:r>
      <w:r>
        <w:rPr>
          <w:rFonts w:hint="eastAsia" w:ascii="宋体" w:hAnsi="宋体" w:cs="宋体"/>
          <w:sz w:val="32"/>
          <w:szCs w:val="32"/>
        </w:rPr>
        <w:t>70%</w:t>
      </w:r>
      <w:r>
        <w:rPr>
          <w:rFonts w:hint="eastAsia" w:ascii="宋体" w:hAnsi="宋体" w:eastAsia="仿宋_GB2312" w:cs="仿宋_GB2312"/>
          <w:sz w:val="32"/>
          <w:szCs w:val="32"/>
        </w:rPr>
        <w:t>，同时给予店铺内部装修费</w:t>
      </w:r>
      <w:r>
        <w:rPr>
          <w:rFonts w:hint="eastAsia" w:ascii="宋体" w:hAnsi="宋体" w:cs="宋体"/>
          <w:sz w:val="32"/>
          <w:szCs w:val="32"/>
        </w:rPr>
        <w:t>40%</w:t>
      </w:r>
      <w:r>
        <w:rPr>
          <w:rFonts w:hint="eastAsia" w:ascii="宋体" w:hAnsi="宋体" w:eastAsia="仿宋_GB2312" w:cs="仿宋_GB2312"/>
          <w:sz w:val="32"/>
          <w:szCs w:val="32"/>
        </w:rPr>
        <w:t>、不超过</w:t>
      </w:r>
      <w:r>
        <w:rPr>
          <w:rFonts w:hint="eastAsia" w:ascii="宋体" w:hAnsi="宋体" w:cs="宋体"/>
          <w:sz w:val="32"/>
          <w:szCs w:val="32"/>
        </w:rPr>
        <w:t>10</w:t>
      </w:r>
      <w:r>
        <w:rPr>
          <w:rFonts w:hint="eastAsia" w:ascii="宋体" w:hAnsi="宋体" w:eastAsia="仿宋_GB2312" w:cs="仿宋_GB2312"/>
          <w:sz w:val="32"/>
          <w:szCs w:val="32"/>
        </w:rPr>
        <w:t>万元</w:t>
      </w:r>
      <w:r>
        <w:rPr>
          <w:rFonts w:hint="eastAsia" w:ascii="宋体" w:hAnsi="宋体" w:cs="宋体"/>
          <w:sz w:val="32"/>
          <w:szCs w:val="32"/>
        </w:rPr>
        <w:t>/</w:t>
      </w:r>
      <w:r>
        <w:rPr>
          <w:rFonts w:hint="eastAsia" w:ascii="宋体" w:hAnsi="宋体" w:eastAsia="仿宋_GB2312" w:cs="仿宋_GB2312"/>
          <w:sz w:val="32"/>
          <w:szCs w:val="32"/>
        </w:rPr>
        <w:t>家的门店装修补贴（不含阳明宿集自持项目）。对以上特色文旅商圈总经营店铺达到</w:t>
      </w:r>
      <w:r>
        <w:rPr>
          <w:rFonts w:hint="eastAsia" w:ascii="宋体" w:hAnsi="宋体" w:cs="宋体"/>
          <w:sz w:val="32"/>
          <w:szCs w:val="32"/>
        </w:rPr>
        <w:t>70%</w:t>
      </w:r>
      <w:r>
        <w:rPr>
          <w:rFonts w:hint="eastAsia" w:ascii="宋体" w:hAnsi="宋体" w:eastAsia="仿宋_GB2312" w:cs="仿宋_GB2312"/>
          <w:sz w:val="32"/>
          <w:szCs w:val="32"/>
        </w:rPr>
        <w:t>以上、集聚效果明显的给予一次性奖励</w:t>
      </w:r>
      <w:r>
        <w:rPr>
          <w:rFonts w:hint="eastAsia" w:ascii="宋体" w:hAnsi="宋体" w:cs="宋体"/>
          <w:sz w:val="32"/>
          <w:szCs w:val="32"/>
        </w:rPr>
        <w:t>20</w:t>
      </w:r>
      <w:r>
        <w:rPr>
          <w:rFonts w:hint="eastAsia" w:ascii="宋体" w:hAnsi="宋体" w:eastAsia="仿宋_GB2312" w:cs="仿宋_GB2312"/>
          <w:sz w:val="32"/>
          <w:szCs w:val="32"/>
        </w:rPr>
        <w:t>万元。</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责任单位：县商务局、文广旅局、市场监管局、行政审批局</w:t>
      </w:r>
      <w:r>
        <w:rPr>
          <w:rFonts w:hint="eastAsia" w:ascii="宋体" w:hAnsi="宋体" w:eastAsia="楷体_GB2312" w:cs="楷体_GB2312"/>
          <w:sz w:val="32"/>
          <w:szCs w:val="32"/>
        </w:rPr>
        <w:t>〕</w:t>
      </w:r>
    </w:p>
    <w:p w14:paraId="052A8892">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7.</w:t>
      </w:r>
      <w:r>
        <w:rPr>
          <w:rFonts w:hint="eastAsia" w:ascii="宋体" w:hAnsi="宋体" w:eastAsia="楷体_GB2312" w:cs="楷体_GB2312"/>
          <w:b/>
          <w:bCs/>
          <w:sz w:val="32"/>
          <w:szCs w:val="32"/>
        </w:rPr>
        <w:t>支持首店经济入驻。</w:t>
      </w:r>
      <w:r>
        <w:rPr>
          <w:rFonts w:hint="eastAsia" w:ascii="宋体" w:hAnsi="宋体" w:eastAsia="仿宋_GB2312" w:cs="仿宋_GB2312"/>
          <w:sz w:val="32"/>
          <w:szCs w:val="32"/>
        </w:rPr>
        <w:t>支持知名品牌、连锁品牌及其授权代理商在我县开设上犹首店、潮牌（旗舰店、概念店、新业态店等同）并依法办理登记注册，在实际经营满半年后给予一次性入驻支持</w:t>
      </w:r>
      <w:r>
        <w:rPr>
          <w:rFonts w:hint="eastAsia" w:ascii="宋体" w:hAnsi="宋体" w:cs="宋体"/>
          <w:sz w:val="32"/>
          <w:szCs w:val="32"/>
        </w:rPr>
        <w:t>10</w:t>
      </w:r>
      <w:r>
        <w:rPr>
          <w:rFonts w:hint="eastAsia" w:ascii="宋体" w:hAnsi="宋体" w:eastAsia="仿宋_GB2312" w:cs="仿宋_GB2312"/>
          <w:sz w:val="32"/>
          <w:szCs w:val="32"/>
        </w:rPr>
        <w:t>万元。其中国际连锁品牌、国内头部品牌可采取“一事一议”方式确定支持标准。</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责任单位：县商务局、文广旅局、市场监管局、行政审批局</w:t>
      </w:r>
      <w:r>
        <w:rPr>
          <w:rFonts w:hint="eastAsia" w:ascii="宋体" w:hAnsi="宋体" w:eastAsia="楷体_GB2312" w:cs="楷体_GB2312"/>
          <w:sz w:val="32"/>
          <w:szCs w:val="32"/>
        </w:rPr>
        <w:t>〕</w:t>
      </w:r>
    </w:p>
    <w:p w14:paraId="7EF7DBD1">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8.</w:t>
      </w:r>
      <w:r>
        <w:rPr>
          <w:rFonts w:hint="eastAsia" w:ascii="宋体" w:hAnsi="宋体" w:eastAsia="楷体_GB2312" w:cs="楷体_GB2312"/>
          <w:b/>
          <w:bCs/>
          <w:sz w:val="32"/>
          <w:szCs w:val="32"/>
        </w:rPr>
        <w:t>持续加大消费促销刺激。</w:t>
      </w:r>
      <w:r>
        <w:rPr>
          <w:rFonts w:hint="eastAsia" w:ascii="宋体" w:hAnsi="宋体" w:eastAsia="仿宋_GB2312" w:cs="仿宋_GB2312"/>
          <w:sz w:val="32"/>
          <w:szCs w:val="32"/>
        </w:rPr>
        <w:t>积极营造应季消费热潮，在</w:t>
      </w:r>
      <w:r>
        <w:rPr>
          <w:rFonts w:hint="eastAsia" w:ascii="宋体" w:hAnsi="宋体" w:cs="宋体"/>
          <w:sz w:val="32"/>
          <w:szCs w:val="32"/>
        </w:rPr>
        <w:t>2025</w:t>
      </w:r>
      <w:r>
        <w:rPr>
          <w:rFonts w:hint="eastAsia" w:ascii="宋体" w:hAnsi="宋体" w:eastAsia="仿宋_GB2312" w:cs="仿宋_GB2312"/>
          <w:sz w:val="32"/>
          <w:szCs w:val="32"/>
        </w:rPr>
        <w:t>年、</w:t>
      </w:r>
      <w:r>
        <w:rPr>
          <w:rFonts w:hint="eastAsia" w:ascii="宋体" w:hAnsi="宋体" w:cs="宋体"/>
          <w:sz w:val="32"/>
          <w:szCs w:val="32"/>
        </w:rPr>
        <w:t>2026</w:t>
      </w:r>
      <w:r>
        <w:rPr>
          <w:rFonts w:hint="eastAsia" w:ascii="宋体" w:hAnsi="宋体" w:eastAsia="仿宋_GB2312" w:cs="仿宋_GB2312"/>
          <w:sz w:val="32"/>
          <w:szCs w:val="32"/>
        </w:rPr>
        <w:t>年连续两年在“春节”、“五一”和“国庆”假期，由县级统筹通过“森宿上犹”小程序各发放</w:t>
      </w:r>
      <w:r>
        <w:rPr>
          <w:rFonts w:hint="eastAsia" w:ascii="宋体" w:hAnsi="宋体" w:cs="宋体"/>
          <w:sz w:val="32"/>
          <w:szCs w:val="32"/>
        </w:rPr>
        <w:t>100</w:t>
      </w:r>
      <w:r>
        <w:rPr>
          <w:rFonts w:hint="eastAsia" w:ascii="宋体" w:hAnsi="宋体" w:eastAsia="仿宋_GB2312" w:cs="仿宋_GB2312"/>
          <w:sz w:val="32"/>
          <w:szCs w:val="32"/>
        </w:rPr>
        <w:t>万元文旅商贸电子消费券，刺激撬动旅游景区（点）、住宿餐饮、文体娱乐、商贸等行业消费。</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责任单位：县犹江实业公司、文广旅局、商务局、市场监管局</w:t>
      </w:r>
      <w:r>
        <w:rPr>
          <w:rFonts w:hint="eastAsia" w:ascii="宋体" w:hAnsi="宋体" w:eastAsia="楷体_GB2312" w:cs="楷体_GB2312"/>
          <w:sz w:val="32"/>
          <w:szCs w:val="32"/>
        </w:rPr>
        <w:t>〕</w:t>
      </w:r>
    </w:p>
    <w:p w14:paraId="6E30B6E2">
      <w:pPr>
        <w:spacing w:line="560" w:lineRule="exact"/>
        <w:ind w:firstLine="643" w:firstLineChars="200"/>
        <w:rPr>
          <w:rFonts w:ascii="宋体" w:hAnsi="宋体" w:eastAsia="楷体_GB2312" w:cs="楷体_GB2312"/>
          <w:sz w:val="32"/>
          <w:szCs w:val="32"/>
        </w:rPr>
      </w:pPr>
      <w:r>
        <w:rPr>
          <w:rFonts w:hint="eastAsia" w:ascii="宋体" w:hAnsi="宋体" w:cs="宋体"/>
          <w:b/>
          <w:bCs/>
          <w:sz w:val="32"/>
          <w:szCs w:val="32"/>
        </w:rPr>
        <w:t>9.</w:t>
      </w:r>
      <w:r>
        <w:rPr>
          <w:rFonts w:hint="eastAsia" w:ascii="宋体" w:hAnsi="宋体" w:eastAsia="楷体_GB2312" w:cs="楷体_GB2312"/>
          <w:b/>
          <w:bCs/>
          <w:sz w:val="32"/>
          <w:szCs w:val="32"/>
        </w:rPr>
        <w:t>鼓励文旅赛事活动营销引流。</w:t>
      </w:r>
      <w:r>
        <w:rPr>
          <w:rFonts w:hint="eastAsia" w:ascii="宋体" w:hAnsi="宋体" w:eastAsia="仿宋_GB2312" w:cs="仿宋_GB2312"/>
          <w:sz w:val="32"/>
          <w:szCs w:val="32"/>
        </w:rPr>
        <w:t>对由乡</w:t>
      </w:r>
      <w:r>
        <w:rPr>
          <w:rFonts w:hint="eastAsia" w:ascii="宋体" w:hAnsi="宋体" w:cs="宋体"/>
          <w:sz w:val="32"/>
          <w:szCs w:val="32"/>
        </w:rPr>
        <w:t>(</w:t>
      </w:r>
      <w:r>
        <w:rPr>
          <w:rFonts w:hint="eastAsia" w:ascii="宋体" w:hAnsi="宋体" w:eastAsia="仿宋_GB2312" w:cs="仿宋_GB2312"/>
          <w:sz w:val="32"/>
          <w:szCs w:val="32"/>
        </w:rPr>
        <w:t>镇</w:t>
      </w:r>
      <w:r>
        <w:rPr>
          <w:rFonts w:hint="eastAsia" w:ascii="宋体" w:hAnsi="宋体" w:cs="宋体"/>
          <w:sz w:val="32"/>
          <w:szCs w:val="32"/>
        </w:rPr>
        <w:t>)</w:t>
      </w:r>
      <w:r>
        <w:rPr>
          <w:rFonts w:hint="eastAsia" w:ascii="宋体" w:hAnsi="宋体" w:eastAsia="仿宋_GB2312" w:cs="仿宋_GB2312"/>
          <w:sz w:val="32"/>
          <w:szCs w:val="32"/>
        </w:rPr>
        <w:t>或文旅体企业牵头组织主办，利用当地民俗和特色文旅资源、产品，举办节庆营销或文旅赛事消费活动，单场次活动总投入</w:t>
      </w:r>
      <w:r>
        <w:rPr>
          <w:rFonts w:hint="eastAsia" w:ascii="宋体" w:hAnsi="宋体" w:cs="宋体"/>
          <w:sz w:val="32"/>
          <w:szCs w:val="32"/>
        </w:rPr>
        <w:t>5</w:t>
      </w:r>
      <w:r>
        <w:rPr>
          <w:rFonts w:hint="eastAsia" w:ascii="宋体" w:hAnsi="宋体" w:eastAsia="仿宋_GB2312" w:cs="仿宋_GB2312"/>
          <w:sz w:val="32"/>
          <w:szCs w:val="32"/>
        </w:rPr>
        <w:t>万元以上（含</w:t>
      </w:r>
      <w:r>
        <w:rPr>
          <w:rFonts w:hint="eastAsia" w:ascii="宋体" w:hAnsi="宋体" w:cs="宋体"/>
          <w:sz w:val="32"/>
          <w:szCs w:val="32"/>
        </w:rPr>
        <w:t>5</w:t>
      </w:r>
      <w:r>
        <w:rPr>
          <w:rFonts w:hint="eastAsia" w:ascii="宋体" w:hAnsi="宋体" w:eastAsia="仿宋_GB2312" w:cs="仿宋_GB2312"/>
          <w:sz w:val="32"/>
          <w:szCs w:val="32"/>
        </w:rPr>
        <w:t>万元）的，按总投入（文旅活动针对美陈物料、展位、舞台搭建、演艺等，赛事活动针对赛事工作人员薪酬、赛事物料、奖品奖金、媒体宣传、工作人员食宿交通、县外运动员县内交通等）的</w:t>
      </w:r>
      <w:r>
        <w:rPr>
          <w:rFonts w:hint="eastAsia" w:ascii="宋体" w:hAnsi="宋体" w:cs="宋体"/>
          <w:sz w:val="32"/>
          <w:szCs w:val="32"/>
        </w:rPr>
        <w:t>50%</w:t>
      </w:r>
      <w:r>
        <w:rPr>
          <w:rFonts w:hint="eastAsia" w:ascii="宋体" w:hAnsi="宋体" w:eastAsia="仿宋_GB2312" w:cs="仿宋_GB2312"/>
          <w:sz w:val="32"/>
          <w:szCs w:val="32"/>
        </w:rPr>
        <w:t>给予一次性奖补，单场次活动最高奖补不超过</w:t>
      </w:r>
      <w:r>
        <w:rPr>
          <w:rFonts w:hint="eastAsia" w:ascii="宋体" w:hAnsi="宋体" w:cs="宋体"/>
          <w:sz w:val="32"/>
          <w:szCs w:val="32"/>
        </w:rPr>
        <w:t>30</w:t>
      </w:r>
      <w:r>
        <w:rPr>
          <w:rFonts w:hint="eastAsia" w:ascii="宋体" w:hAnsi="宋体" w:eastAsia="仿宋_GB2312" w:cs="仿宋_GB2312"/>
          <w:sz w:val="32"/>
          <w:szCs w:val="32"/>
        </w:rPr>
        <w:t>万元，每年累计奖补不超过</w:t>
      </w:r>
      <w:r>
        <w:rPr>
          <w:rFonts w:hint="eastAsia" w:ascii="宋体" w:hAnsi="宋体" w:cs="宋体"/>
          <w:sz w:val="32"/>
          <w:szCs w:val="32"/>
        </w:rPr>
        <w:t>300</w:t>
      </w:r>
      <w:r>
        <w:rPr>
          <w:rFonts w:hint="eastAsia" w:ascii="宋体" w:hAnsi="宋体" w:eastAsia="仿宋_GB2312" w:cs="仿宋_GB2312"/>
          <w:sz w:val="32"/>
          <w:szCs w:val="32"/>
        </w:rPr>
        <w:t>万元，按活动报备及实际举办时间先后顺序奖补完为止。</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责任单位：县文广旅局、教体局、行政审批局</w:t>
      </w:r>
      <w:r>
        <w:rPr>
          <w:rFonts w:hint="eastAsia" w:ascii="宋体" w:hAnsi="宋体" w:eastAsia="楷体_GB2312" w:cs="楷体_GB2312"/>
          <w:sz w:val="32"/>
          <w:szCs w:val="32"/>
        </w:rPr>
        <w:t>〕</w:t>
      </w:r>
    </w:p>
    <w:p w14:paraId="2115DAD2">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10.</w:t>
      </w:r>
      <w:r>
        <w:rPr>
          <w:rFonts w:hint="eastAsia" w:ascii="宋体" w:hAnsi="宋体" w:eastAsia="楷体_GB2312" w:cs="楷体_GB2312"/>
          <w:b/>
          <w:bCs/>
          <w:sz w:val="32"/>
          <w:szCs w:val="32"/>
        </w:rPr>
        <w:t>支持民宿集聚区培育业态。</w:t>
      </w:r>
      <w:r>
        <w:rPr>
          <w:rFonts w:hint="eastAsia" w:ascii="宋体" w:hAnsi="宋体" w:eastAsia="仿宋_GB2312" w:cs="仿宋_GB2312"/>
          <w:sz w:val="32"/>
          <w:szCs w:val="32"/>
        </w:rPr>
        <w:t>鼓励支持民宿集聚区（《上犹县民宿集聚区高质量发展扶持奖励办法（试行）》明确范围内）民宿企业结合自身实际，加大游乐体验产品供给，对新开发的户外拓展、文化体验、亲子乐园、无动力儿童乐园、艺术和手工艺品制作、咖啡酒吧、文创商店等业态（项目开工前，需由所在乡（镇）进行初审，再报县推进文旅产业高质量发展工作领导小组办公室组织相关单位进行联勘联审同意），实际投入金额达</w:t>
      </w:r>
      <w:r>
        <w:rPr>
          <w:rFonts w:hint="eastAsia" w:ascii="宋体" w:hAnsi="宋体" w:cs="宋体"/>
          <w:sz w:val="32"/>
          <w:szCs w:val="32"/>
        </w:rPr>
        <w:t>100</w:t>
      </w:r>
      <w:r>
        <w:rPr>
          <w:rFonts w:hint="eastAsia" w:ascii="宋体" w:hAnsi="宋体" w:eastAsia="仿宋_GB2312" w:cs="仿宋_GB2312"/>
          <w:sz w:val="32"/>
          <w:szCs w:val="32"/>
        </w:rPr>
        <w:t>万元（含）以上且实现对外正常营业的，按照业态实际投入（针对主体工程建设、内外部装修、固定设施设备等）金额的</w:t>
      </w:r>
      <w:r>
        <w:rPr>
          <w:rFonts w:hint="eastAsia" w:ascii="宋体" w:hAnsi="宋体" w:cs="宋体"/>
          <w:sz w:val="32"/>
          <w:szCs w:val="32"/>
        </w:rPr>
        <w:t>40%</w:t>
      </w:r>
      <w:r>
        <w:rPr>
          <w:rFonts w:hint="eastAsia" w:ascii="宋体" w:hAnsi="宋体" w:eastAsia="仿宋_GB2312" w:cs="仿宋_GB2312"/>
          <w:sz w:val="32"/>
          <w:szCs w:val="32"/>
        </w:rPr>
        <w:t>给予一次性奖补，单个项目奖补金额不超过</w:t>
      </w:r>
      <w:r>
        <w:rPr>
          <w:rFonts w:hint="eastAsia" w:ascii="宋体" w:hAnsi="宋体" w:cs="宋体"/>
          <w:sz w:val="32"/>
          <w:szCs w:val="32"/>
        </w:rPr>
        <w:t>300</w:t>
      </w:r>
      <w:r>
        <w:rPr>
          <w:rFonts w:hint="eastAsia" w:ascii="宋体" w:hAnsi="宋体" w:eastAsia="仿宋_GB2312" w:cs="仿宋_GB2312"/>
          <w:sz w:val="32"/>
          <w:szCs w:val="32"/>
        </w:rPr>
        <w:t>万元。实际投入金额以第三方审计评估机构出具的验资评估报告为准。</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责任单位：县文广旅局、自然资源局、林业局、水利局、行政审批局、各相关乡（镇）</w:t>
      </w:r>
      <w:r>
        <w:rPr>
          <w:rFonts w:hint="eastAsia" w:ascii="宋体" w:hAnsi="宋体" w:eastAsia="楷体_GB2312" w:cs="楷体_GB2312"/>
          <w:sz w:val="32"/>
          <w:szCs w:val="32"/>
        </w:rPr>
        <w:t>〕</w:t>
      </w:r>
    </w:p>
    <w:p w14:paraId="5988E878">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11.</w:t>
      </w:r>
      <w:r>
        <w:rPr>
          <w:rFonts w:hint="eastAsia" w:ascii="宋体" w:hAnsi="宋体" w:eastAsia="楷体_GB2312" w:cs="楷体_GB2312"/>
          <w:b/>
          <w:bCs/>
          <w:sz w:val="32"/>
          <w:szCs w:val="32"/>
        </w:rPr>
        <w:t>鼓励酒店民宿“引客留客”。</w:t>
      </w:r>
      <w:r>
        <w:rPr>
          <w:rFonts w:hint="eastAsia" w:ascii="宋体" w:hAnsi="宋体" w:eastAsia="仿宋_GB2312" w:cs="仿宋_GB2312"/>
          <w:sz w:val="32"/>
          <w:szCs w:val="32"/>
        </w:rPr>
        <w:t>鼓励支持酒店民宿市场主体积极自主开拓团建、年会、展会、会议、培训、研学市场，对单次接待县外企事业单位、社会机构在酒店民宿开展相关活动（不含旅行社组织）达</w:t>
      </w:r>
      <w:r>
        <w:rPr>
          <w:rFonts w:hint="eastAsia" w:ascii="宋体" w:hAnsi="宋体" w:cs="宋体"/>
          <w:sz w:val="32"/>
          <w:szCs w:val="32"/>
        </w:rPr>
        <w:t>30</w:t>
      </w:r>
      <w:r>
        <w:rPr>
          <w:rFonts w:hint="eastAsia" w:ascii="宋体" w:hAnsi="宋体" w:eastAsia="仿宋_GB2312" w:cs="仿宋_GB2312"/>
          <w:sz w:val="32"/>
          <w:szCs w:val="32"/>
        </w:rPr>
        <w:t>人（含</w:t>
      </w:r>
      <w:r>
        <w:rPr>
          <w:rFonts w:hint="eastAsia" w:ascii="宋体" w:hAnsi="宋体" w:cs="宋体"/>
          <w:sz w:val="32"/>
          <w:szCs w:val="32"/>
        </w:rPr>
        <w:t>30</w:t>
      </w:r>
      <w:r>
        <w:rPr>
          <w:rFonts w:hint="eastAsia" w:ascii="宋体" w:hAnsi="宋体" w:eastAsia="仿宋_GB2312" w:cs="仿宋_GB2312"/>
          <w:sz w:val="32"/>
          <w:szCs w:val="32"/>
        </w:rPr>
        <w:t>人）以上，在本酒店民宿入住一晚（含一晚）以上的，按</w:t>
      </w:r>
      <w:r>
        <w:rPr>
          <w:rFonts w:hint="eastAsia" w:ascii="宋体" w:hAnsi="宋体" w:cs="宋体"/>
          <w:sz w:val="32"/>
          <w:szCs w:val="32"/>
        </w:rPr>
        <w:t>100</w:t>
      </w:r>
      <w:r>
        <w:rPr>
          <w:rFonts w:hint="eastAsia" w:ascii="宋体" w:hAnsi="宋体" w:eastAsia="仿宋_GB2312" w:cs="仿宋_GB2312"/>
          <w:sz w:val="32"/>
          <w:szCs w:val="32"/>
        </w:rPr>
        <w:t>元</w:t>
      </w:r>
      <w:r>
        <w:rPr>
          <w:rFonts w:hint="eastAsia" w:ascii="宋体" w:hAnsi="宋体" w:cs="宋体"/>
          <w:sz w:val="32"/>
          <w:szCs w:val="32"/>
        </w:rPr>
        <w:t>/</w:t>
      </w:r>
      <w:r>
        <w:rPr>
          <w:rFonts w:hint="eastAsia" w:ascii="宋体" w:hAnsi="宋体" w:eastAsia="仿宋_GB2312" w:cs="仿宋_GB2312"/>
          <w:sz w:val="32"/>
          <w:szCs w:val="32"/>
        </w:rPr>
        <w:t>间客房标准给予一次性奖补（对确有违法或服务质量问题引起消费者投诉、造成不良影响的取消该次接待住宿奖补），每年累计奖补不超过</w:t>
      </w:r>
      <w:r>
        <w:rPr>
          <w:rFonts w:hint="eastAsia" w:ascii="宋体" w:hAnsi="宋体" w:cs="宋体"/>
          <w:sz w:val="32"/>
          <w:szCs w:val="32"/>
        </w:rPr>
        <w:t>200</w:t>
      </w:r>
      <w:r>
        <w:rPr>
          <w:rFonts w:hint="eastAsia" w:ascii="宋体" w:hAnsi="宋体" w:eastAsia="仿宋_GB2312" w:cs="仿宋_GB2312"/>
          <w:sz w:val="32"/>
          <w:szCs w:val="32"/>
        </w:rPr>
        <w:t>万元，按接待时间先后顺序奖补完为止。</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责任单位：县文广旅局、商务局、行政审批局</w:t>
      </w:r>
      <w:r>
        <w:rPr>
          <w:rFonts w:hint="eastAsia" w:ascii="宋体" w:hAnsi="宋体" w:eastAsia="楷体_GB2312" w:cs="楷体_GB2312"/>
          <w:sz w:val="32"/>
          <w:szCs w:val="32"/>
        </w:rPr>
        <w:t>〕</w:t>
      </w:r>
    </w:p>
    <w:p w14:paraId="7E735DFE">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12.</w:t>
      </w:r>
      <w:r>
        <w:rPr>
          <w:rFonts w:hint="eastAsia" w:ascii="宋体" w:hAnsi="宋体" w:eastAsia="楷体_GB2312" w:cs="楷体_GB2312"/>
          <w:b/>
          <w:bCs/>
          <w:sz w:val="32"/>
          <w:szCs w:val="32"/>
        </w:rPr>
        <w:t>促进演艺经济发展。</w:t>
      </w:r>
      <w:r>
        <w:rPr>
          <w:rFonts w:hint="eastAsia" w:ascii="宋体" w:hAnsi="宋体" w:eastAsia="仿宋_GB2312" w:cs="仿宋_GB2312"/>
          <w:sz w:val="32"/>
          <w:szCs w:val="32"/>
        </w:rPr>
        <w:t>鼓励支持演艺机构在上犹县境内组织举办演唱会、音乐节，售票规模</w:t>
      </w:r>
      <w:r>
        <w:rPr>
          <w:rFonts w:hint="eastAsia" w:ascii="宋体" w:hAnsi="宋体" w:cs="宋体"/>
          <w:sz w:val="32"/>
          <w:szCs w:val="32"/>
        </w:rPr>
        <w:t>3000</w:t>
      </w:r>
      <w:r>
        <w:rPr>
          <w:rFonts w:hint="eastAsia" w:ascii="宋体" w:hAnsi="宋体" w:eastAsia="仿宋_GB2312" w:cs="仿宋_GB2312"/>
          <w:sz w:val="32"/>
          <w:szCs w:val="32"/>
        </w:rPr>
        <w:t>人次以上且售票收入不低于</w:t>
      </w:r>
      <w:r>
        <w:rPr>
          <w:rFonts w:hint="eastAsia" w:ascii="宋体" w:hAnsi="宋体" w:cs="宋体"/>
          <w:sz w:val="32"/>
          <w:szCs w:val="32"/>
        </w:rPr>
        <w:t>60</w:t>
      </w:r>
      <w:r>
        <w:rPr>
          <w:rFonts w:hint="eastAsia" w:ascii="宋体" w:hAnsi="宋体" w:eastAsia="仿宋_GB2312" w:cs="仿宋_GB2312"/>
          <w:sz w:val="32"/>
          <w:szCs w:val="32"/>
        </w:rPr>
        <w:t>万元的，奖补</w:t>
      </w:r>
      <w:r>
        <w:rPr>
          <w:rFonts w:hint="eastAsia" w:ascii="宋体" w:hAnsi="宋体" w:cs="宋体"/>
          <w:sz w:val="32"/>
          <w:szCs w:val="32"/>
        </w:rPr>
        <w:t>30</w:t>
      </w:r>
      <w:r>
        <w:rPr>
          <w:rFonts w:hint="eastAsia" w:ascii="宋体" w:hAnsi="宋体" w:eastAsia="仿宋_GB2312" w:cs="仿宋_GB2312"/>
          <w:sz w:val="32"/>
          <w:szCs w:val="32"/>
        </w:rPr>
        <w:t>万元；售票规模</w:t>
      </w:r>
      <w:r>
        <w:rPr>
          <w:rFonts w:hint="eastAsia" w:ascii="宋体" w:hAnsi="宋体" w:cs="宋体"/>
          <w:sz w:val="32"/>
          <w:szCs w:val="32"/>
        </w:rPr>
        <w:t>2000</w:t>
      </w:r>
      <w:r>
        <w:rPr>
          <w:rFonts w:hint="eastAsia" w:ascii="宋体" w:hAnsi="宋体" w:eastAsia="仿宋_GB2312" w:cs="仿宋_GB2312"/>
          <w:sz w:val="32"/>
          <w:szCs w:val="32"/>
        </w:rPr>
        <w:t>人次以上且售票收入不低于</w:t>
      </w:r>
      <w:r>
        <w:rPr>
          <w:rFonts w:hint="eastAsia" w:ascii="宋体" w:hAnsi="宋体" w:cs="宋体"/>
          <w:sz w:val="32"/>
          <w:szCs w:val="32"/>
        </w:rPr>
        <w:t>40</w:t>
      </w:r>
      <w:r>
        <w:rPr>
          <w:rFonts w:hint="eastAsia" w:ascii="宋体" w:hAnsi="宋体" w:eastAsia="仿宋_GB2312" w:cs="仿宋_GB2312"/>
          <w:sz w:val="32"/>
          <w:szCs w:val="32"/>
        </w:rPr>
        <w:t>万元的，奖补</w:t>
      </w:r>
      <w:r>
        <w:rPr>
          <w:rFonts w:hint="eastAsia" w:ascii="宋体" w:hAnsi="宋体" w:cs="宋体"/>
          <w:sz w:val="32"/>
          <w:szCs w:val="32"/>
        </w:rPr>
        <w:t>15</w:t>
      </w:r>
      <w:r>
        <w:rPr>
          <w:rFonts w:hint="eastAsia" w:ascii="宋体" w:hAnsi="宋体" w:eastAsia="仿宋_GB2312" w:cs="仿宋_GB2312"/>
          <w:sz w:val="32"/>
          <w:szCs w:val="32"/>
        </w:rPr>
        <w:t>万元；售票规模</w:t>
      </w:r>
      <w:r>
        <w:rPr>
          <w:rFonts w:hint="eastAsia" w:ascii="宋体" w:hAnsi="宋体" w:cs="宋体"/>
          <w:sz w:val="32"/>
          <w:szCs w:val="32"/>
        </w:rPr>
        <w:t>1000</w:t>
      </w:r>
      <w:r>
        <w:rPr>
          <w:rFonts w:hint="eastAsia" w:ascii="宋体" w:hAnsi="宋体" w:eastAsia="仿宋_GB2312" w:cs="仿宋_GB2312"/>
          <w:sz w:val="32"/>
          <w:szCs w:val="32"/>
        </w:rPr>
        <w:t>人次以上且售票收入不低于</w:t>
      </w:r>
      <w:r>
        <w:rPr>
          <w:rFonts w:hint="eastAsia" w:ascii="宋体" w:hAnsi="宋体" w:cs="宋体"/>
          <w:sz w:val="32"/>
          <w:szCs w:val="32"/>
        </w:rPr>
        <w:t>20</w:t>
      </w:r>
      <w:r>
        <w:rPr>
          <w:rFonts w:hint="eastAsia" w:ascii="宋体" w:hAnsi="宋体" w:eastAsia="仿宋_GB2312" w:cs="仿宋_GB2312"/>
          <w:sz w:val="32"/>
          <w:szCs w:val="32"/>
        </w:rPr>
        <w:t>万元的，奖补</w:t>
      </w:r>
      <w:r>
        <w:rPr>
          <w:rFonts w:hint="eastAsia" w:ascii="宋体" w:hAnsi="宋体" w:cs="宋体"/>
          <w:sz w:val="32"/>
          <w:szCs w:val="32"/>
        </w:rPr>
        <w:t>10</w:t>
      </w:r>
      <w:r>
        <w:rPr>
          <w:rFonts w:hint="eastAsia" w:ascii="宋体" w:hAnsi="宋体" w:eastAsia="仿宋_GB2312" w:cs="仿宋_GB2312"/>
          <w:sz w:val="32"/>
          <w:szCs w:val="32"/>
        </w:rPr>
        <w:t>万元。以上奖补按“就高不重复”原则给予一次性奖补。</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责任单位：县文广旅局、犹江实业公司、行政审批局</w:t>
      </w:r>
      <w:r>
        <w:rPr>
          <w:rFonts w:hint="eastAsia" w:ascii="宋体" w:hAnsi="宋体" w:eastAsia="楷体_GB2312" w:cs="楷体_GB2312"/>
          <w:sz w:val="32"/>
          <w:szCs w:val="32"/>
        </w:rPr>
        <w:t>〕</w:t>
      </w:r>
    </w:p>
    <w:p w14:paraId="5D2064E8">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13.</w:t>
      </w:r>
      <w:r>
        <w:rPr>
          <w:rFonts w:hint="eastAsia" w:ascii="宋体" w:hAnsi="宋体" w:eastAsia="楷体_GB2312" w:cs="楷体_GB2312"/>
          <w:b/>
          <w:bCs/>
          <w:sz w:val="32"/>
          <w:szCs w:val="32"/>
        </w:rPr>
        <w:t>加大文创产品研发推广。</w:t>
      </w:r>
      <w:r>
        <w:rPr>
          <w:rFonts w:hint="eastAsia" w:ascii="宋体" w:hAnsi="宋体" w:eastAsia="仿宋_GB2312" w:cs="仿宋_GB2312"/>
          <w:sz w:val="32"/>
          <w:szCs w:val="32"/>
        </w:rPr>
        <w:t>鼓励文旅企业研发上犹主题文创产品，对新研发且拥有自主知识产权或商标使用权的文创产品，给予一次性</w:t>
      </w:r>
      <w:r>
        <w:rPr>
          <w:rFonts w:hint="eastAsia" w:ascii="宋体" w:hAnsi="宋体" w:cs="宋体"/>
          <w:sz w:val="32"/>
          <w:szCs w:val="32"/>
        </w:rPr>
        <w:t>1</w:t>
      </w:r>
      <w:r>
        <w:rPr>
          <w:rFonts w:hint="eastAsia" w:ascii="宋体" w:hAnsi="宋体" w:eastAsia="仿宋_GB2312" w:cs="仿宋_GB2312"/>
          <w:sz w:val="32"/>
          <w:szCs w:val="32"/>
        </w:rPr>
        <w:t>万元奖励。对经县文旅主管部门推荐，在国家级赛事获评金奖、银奖、铜奖的文创产品生产企业，每个奖项分别给予</w:t>
      </w:r>
      <w:r>
        <w:rPr>
          <w:rFonts w:hint="eastAsia" w:ascii="宋体" w:hAnsi="宋体" w:cs="宋体"/>
          <w:sz w:val="32"/>
          <w:szCs w:val="32"/>
        </w:rPr>
        <w:t>10</w:t>
      </w:r>
      <w:r>
        <w:rPr>
          <w:rFonts w:hint="eastAsia" w:ascii="宋体" w:hAnsi="宋体" w:eastAsia="仿宋_GB2312" w:cs="仿宋_GB2312"/>
          <w:sz w:val="32"/>
          <w:szCs w:val="32"/>
        </w:rPr>
        <w:t>万元、</w:t>
      </w:r>
      <w:r>
        <w:rPr>
          <w:rFonts w:hint="eastAsia" w:ascii="宋体" w:hAnsi="宋体" w:cs="宋体"/>
          <w:sz w:val="32"/>
          <w:szCs w:val="32"/>
        </w:rPr>
        <w:t>8</w:t>
      </w:r>
      <w:r>
        <w:rPr>
          <w:rFonts w:hint="eastAsia" w:ascii="宋体" w:hAnsi="宋体" w:eastAsia="仿宋_GB2312" w:cs="仿宋_GB2312"/>
          <w:sz w:val="32"/>
          <w:szCs w:val="32"/>
        </w:rPr>
        <w:t>万元、</w:t>
      </w:r>
      <w:r>
        <w:rPr>
          <w:rFonts w:hint="eastAsia" w:ascii="宋体" w:hAnsi="宋体" w:cs="宋体"/>
          <w:sz w:val="32"/>
          <w:szCs w:val="32"/>
        </w:rPr>
        <w:t>5</w:t>
      </w:r>
      <w:r>
        <w:rPr>
          <w:rFonts w:hint="eastAsia" w:ascii="宋体" w:hAnsi="宋体" w:eastAsia="仿宋_GB2312" w:cs="仿宋_GB2312"/>
          <w:sz w:val="32"/>
          <w:szCs w:val="32"/>
        </w:rPr>
        <w:t>万元一次性奖励；在省级赛事获评金奖、银奖、铜奖的文创产品生产企业，每个奖项分别给予</w:t>
      </w:r>
      <w:r>
        <w:rPr>
          <w:rFonts w:hint="eastAsia" w:ascii="宋体" w:hAnsi="宋体" w:cs="宋体"/>
          <w:sz w:val="32"/>
          <w:szCs w:val="32"/>
        </w:rPr>
        <w:t>5</w:t>
      </w:r>
      <w:r>
        <w:rPr>
          <w:rFonts w:hint="eastAsia" w:ascii="宋体" w:hAnsi="宋体" w:eastAsia="仿宋_GB2312" w:cs="仿宋_GB2312"/>
          <w:sz w:val="32"/>
          <w:szCs w:val="32"/>
        </w:rPr>
        <w:t>万元、</w:t>
      </w:r>
      <w:r>
        <w:rPr>
          <w:rFonts w:hint="eastAsia" w:ascii="宋体" w:hAnsi="宋体" w:cs="宋体"/>
          <w:sz w:val="32"/>
          <w:szCs w:val="32"/>
        </w:rPr>
        <w:t>3</w:t>
      </w:r>
      <w:r>
        <w:rPr>
          <w:rFonts w:hint="eastAsia" w:ascii="宋体" w:hAnsi="宋体" w:eastAsia="仿宋_GB2312" w:cs="仿宋_GB2312"/>
          <w:sz w:val="32"/>
          <w:szCs w:val="32"/>
        </w:rPr>
        <w:t>万元、</w:t>
      </w:r>
      <w:r>
        <w:rPr>
          <w:rFonts w:hint="eastAsia" w:ascii="宋体" w:hAnsi="宋体" w:cs="宋体"/>
          <w:sz w:val="32"/>
          <w:szCs w:val="32"/>
        </w:rPr>
        <w:t>1</w:t>
      </w:r>
      <w:r>
        <w:rPr>
          <w:rFonts w:hint="eastAsia" w:ascii="宋体" w:hAnsi="宋体" w:eastAsia="仿宋_GB2312" w:cs="仿宋_GB2312"/>
          <w:sz w:val="32"/>
          <w:szCs w:val="32"/>
        </w:rPr>
        <w:t>万元一次性奖励。</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责任单位：县文广旅局、犹江实业公司、行政审批局</w:t>
      </w:r>
      <w:r>
        <w:rPr>
          <w:rFonts w:hint="eastAsia" w:ascii="宋体" w:hAnsi="宋体" w:eastAsia="楷体_GB2312" w:cs="楷体_GB2312"/>
          <w:sz w:val="32"/>
          <w:szCs w:val="32"/>
        </w:rPr>
        <w:t>〕</w:t>
      </w:r>
    </w:p>
    <w:p w14:paraId="775347CE">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14.</w:t>
      </w:r>
      <w:r>
        <w:rPr>
          <w:rFonts w:hint="eastAsia" w:ascii="宋体" w:hAnsi="宋体" w:eastAsia="楷体_GB2312" w:cs="楷体_GB2312"/>
          <w:b/>
          <w:bCs/>
          <w:sz w:val="32"/>
          <w:szCs w:val="32"/>
        </w:rPr>
        <w:t>支持参加展销展会宣传推介。</w:t>
      </w:r>
      <w:r>
        <w:rPr>
          <w:rFonts w:hint="eastAsia" w:ascii="宋体" w:hAnsi="宋体" w:eastAsia="仿宋_GB2312" w:cs="仿宋_GB2312"/>
          <w:sz w:val="32"/>
          <w:szCs w:val="32"/>
        </w:rPr>
        <w:t>对经县级文旅、农业或商务主管部门同意，参加国家级、省级、市级或具有重要影响力的区域性旅游及消费品投资洽谈、商品博览、展览展销会的企业，给予展位费、人员费全额支持，给予布展费（含展品运输费）实际投入的</w:t>
      </w:r>
      <w:r>
        <w:rPr>
          <w:rFonts w:hint="eastAsia" w:ascii="宋体" w:hAnsi="宋体" w:cs="宋体"/>
          <w:sz w:val="32"/>
          <w:szCs w:val="32"/>
        </w:rPr>
        <w:t>40%</w:t>
      </w:r>
      <w:r>
        <w:rPr>
          <w:rFonts w:hint="eastAsia" w:ascii="宋体" w:hAnsi="宋体" w:eastAsia="仿宋_GB2312" w:cs="仿宋_GB2312"/>
          <w:sz w:val="32"/>
          <w:szCs w:val="32"/>
        </w:rPr>
        <w:t>支持，每个企业同一个展会最高支持不超过</w:t>
      </w:r>
      <w:r>
        <w:rPr>
          <w:rFonts w:hint="eastAsia" w:ascii="宋体" w:hAnsi="宋体" w:cs="宋体"/>
          <w:sz w:val="32"/>
          <w:szCs w:val="32"/>
        </w:rPr>
        <w:t>20</w:t>
      </w:r>
      <w:r>
        <w:rPr>
          <w:rFonts w:hint="eastAsia" w:ascii="宋体" w:hAnsi="宋体" w:eastAsia="仿宋_GB2312" w:cs="仿宋_GB2312"/>
          <w:sz w:val="32"/>
          <w:szCs w:val="32"/>
        </w:rPr>
        <w:t>万元。（按“就高不就低”的原则，同一活动若享受了省、市政策，本政策按县级标准进行补差。）</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责任单位：县文广旅局、农业农村局、商务局、行政审批局</w:t>
      </w:r>
      <w:r>
        <w:rPr>
          <w:rFonts w:hint="eastAsia" w:ascii="宋体" w:hAnsi="宋体" w:eastAsia="楷体_GB2312" w:cs="楷体_GB2312"/>
          <w:sz w:val="32"/>
          <w:szCs w:val="32"/>
        </w:rPr>
        <w:t>〕</w:t>
      </w:r>
    </w:p>
    <w:p w14:paraId="5E25C04D">
      <w:pPr>
        <w:spacing w:line="560" w:lineRule="exact"/>
        <w:ind w:firstLine="643" w:firstLineChars="200"/>
        <w:rPr>
          <w:rFonts w:ascii="宋体" w:hAnsi="宋体" w:eastAsia="楷体_GB2312" w:cs="楷体_GB2312"/>
          <w:b/>
          <w:bCs/>
          <w:sz w:val="32"/>
          <w:szCs w:val="32"/>
        </w:rPr>
      </w:pPr>
      <w:r>
        <w:rPr>
          <w:rFonts w:hint="eastAsia" w:ascii="宋体" w:hAnsi="宋体" w:cs="宋体"/>
          <w:b/>
          <w:bCs/>
          <w:sz w:val="32"/>
          <w:szCs w:val="32"/>
        </w:rPr>
        <w:t>15.</w:t>
      </w:r>
      <w:r>
        <w:rPr>
          <w:rFonts w:hint="eastAsia" w:ascii="宋体" w:hAnsi="宋体" w:eastAsia="楷体_GB2312" w:cs="楷体_GB2312"/>
          <w:b/>
          <w:bCs/>
          <w:sz w:val="32"/>
          <w:szCs w:val="32"/>
        </w:rPr>
        <w:t>品牌创评奖励</w:t>
      </w:r>
    </w:p>
    <w:p w14:paraId="14E4117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1</w:t>
      </w:r>
      <w:r>
        <w:rPr>
          <w:rFonts w:hint="eastAsia" w:ascii="宋体" w:hAnsi="宋体" w:eastAsia="仿宋_GB2312" w:cs="仿宋_GB2312"/>
          <w:sz w:val="32"/>
          <w:szCs w:val="32"/>
        </w:rPr>
        <w:t>）对新评定的国家</w:t>
      </w:r>
      <w:r>
        <w:rPr>
          <w:rFonts w:hint="eastAsia" w:ascii="宋体" w:hAnsi="宋体" w:cs="宋体"/>
          <w:sz w:val="32"/>
          <w:szCs w:val="32"/>
        </w:rPr>
        <w:t>A</w:t>
      </w:r>
      <w:r>
        <w:rPr>
          <w:rFonts w:hint="eastAsia" w:ascii="宋体" w:hAnsi="宋体" w:eastAsia="仿宋_GB2312" w:cs="仿宋_GB2312"/>
          <w:sz w:val="32"/>
          <w:szCs w:val="32"/>
        </w:rPr>
        <w:t>级旅游景区（点）一次性给予奖励，具体标准为：</w:t>
      </w:r>
      <w:r>
        <w:rPr>
          <w:rFonts w:hint="eastAsia" w:ascii="宋体" w:hAnsi="宋体" w:cs="宋体"/>
          <w:sz w:val="32"/>
          <w:szCs w:val="32"/>
        </w:rPr>
        <w:t>5A</w:t>
      </w:r>
      <w:r>
        <w:rPr>
          <w:rFonts w:hint="eastAsia" w:ascii="宋体" w:hAnsi="宋体" w:eastAsia="仿宋_GB2312" w:cs="仿宋_GB2312"/>
          <w:sz w:val="32"/>
          <w:szCs w:val="32"/>
        </w:rPr>
        <w:t>级</w:t>
      </w:r>
      <w:r>
        <w:rPr>
          <w:rFonts w:hint="eastAsia" w:ascii="宋体" w:hAnsi="宋体" w:cs="宋体"/>
          <w:sz w:val="32"/>
          <w:szCs w:val="32"/>
        </w:rPr>
        <w:t>300</w:t>
      </w:r>
      <w:r>
        <w:rPr>
          <w:rFonts w:hint="eastAsia" w:ascii="宋体" w:hAnsi="宋体" w:eastAsia="仿宋_GB2312" w:cs="仿宋_GB2312"/>
          <w:sz w:val="32"/>
          <w:szCs w:val="32"/>
        </w:rPr>
        <w:t>万元、</w:t>
      </w:r>
      <w:r>
        <w:rPr>
          <w:rFonts w:hint="eastAsia" w:ascii="宋体" w:hAnsi="宋体" w:cs="宋体"/>
          <w:sz w:val="32"/>
          <w:szCs w:val="32"/>
        </w:rPr>
        <w:t>4A</w:t>
      </w:r>
      <w:r>
        <w:rPr>
          <w:rFonts w:hint="eastAsia" w:ascii="宋体" w:hAnsi="宋体" w:eastAsia="仿宋_GB2312" w:cs="仿宋_GB2312"/>
          <w:sz w:val="32"/>
          <w:szCs w:val="32"/>
        </w:rPr>
        <w:t>级</w:t>
      </w:r>
      <w:r>
        <w:rPr>
          <w:rFonts w:hint="eastAsia" w:ascii="宋体" w:hAnsi="宋体" w:cs="宋体"/>
          <w:sz w:val="32"/>
          <w:szCs w:val="32"/>
        </w:rPr>
        <w:t>60</w:t>
      </w:r>
      <w:r>
        <w:rPr>
          <w:rFonts w:hint="eastAsia" w:ascii="宋体" w:hAnsi="宋体" w:eastAsia="仿宋_GB2312" w:cs="仿宋_GB2312"/>
          <w:sz w:val="32"/>
          <w:szCs w:val="32"/>
        </w:rPr>
        <w:t>万元、</w:t>
      </w:r>
      <w:r>
        <w:rPr>
          <w:rFonts w:hint="eastAsia" w:ascii="宋体" w:hAnsi="宋体" w:cs="宋体"/>
          <w:sz w:val="32"/>
          <w:szCs w:val="32"/>
        </w:rPr>
        <w:t>3A</w:t>
      </w:r>
      <w:r>
        <w:rPr>
          <w:rFonts w:hint="eastAsia" w:ascii="宋体" w:hAnsi="宋体" w:eastAsia="仿宋_GB2312" w:cs="仿宋_GB2312"/>
          <w:sz w:val="32"/>
          <w:szCs w:val="32"/>
        </w:rPr>
        <w:t>级</w:t>
      </w:r>
      <w:r>
        <w:rPr>
          <w:rFonts w:hint="eastAsia" w:ascii="宋体" w:hAnsi="宋体" w:cs="宋体"/>
          <w:sz w:val="32"/>
          <w:szCs w:val="32"/>
        </w:rPr>
        <w:t>40</w:t>
      </w:r>
      <w:r>
        <w:rPr>
          <w:rFonts w:hint="eastAsia" w:ascii="宋体" w:hAnsi="宋体" w:eastAsia="仿宋_GB2312" w:cs="仿宋_GB2312"/>
          <w:sz w:val="32"/>
          <w:szCs w:val="32"/>
        </w:rPr>
        <w:t>万元。</w:t>
      </w:r>
    </w:p>
    <w:p w14:paraId="5BD63E2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2</w:t>
      </w:r>
      <w:r>
        <w:rPr>
          <w:rFonts w:hint="eastAsia" w:ascii="宋体" w:hAnsi="宋体" w:eastAsia="仿宋_GB2312" w:cs="仿宋_GB2312"/>
          <w:sz w:val="32"/>
          <w:szCs w:val="32"/>
        </w:rPr>
        <w:t>）对新评定的旅游度假区一次性给予奖励，具体标准为：国家级</w:t>
      </w:r>
      <w:r>
        <w:rPr>
          <w:rFonts w:hint="eastAsia" w:ascii="宋体" w:hAnsi="宋体" w:cs="宋体"/>
          <w:sz w:val="32"/>
          <w:szCs w:val="32"/>
        </w:rPr>
        <w:t>200</w:t>
      </w:r>
      <w:r>
        <w:rPr>
          <w:rFonts w:hint="eastAsia" w:ascii="宋体" w:hAnsi="宋体" w:eastAsia="仿宋_GB2312" w:cs="仿宋_GB2312"/>
          <w:sz w:val="32"/>
          <w:szCs w:val="32"/>
        </w:rPr>
        <w:t>万元、省级</w:t>
      </w:r>
      <w:r>
        <w:rPr>
          <w:rFonts w:hint="eastAsia" w:ascii="宋体" w:hAnsi="宋体" w:cs="宋体"/>
          <w:sz w:val="32"/>
          <w:szCs w:val="32"/>
        </w:rPr>
        <w:t>50</w:t>
      </w:r>
      <w:r>
        <w:rPr>
          <w:rFonts w:hint="eastAsia" w:ascii="宋体" w:hAnsi="宋体" w:eastAsia="仿宋_GB2312" w:cs="仿宋_GB2312"/>
          <w:sz w:val="32"/>
          <w:szCs w:val="32"/>
        </w:rPr>
        <w:t xml:space="preserve">万元。 </w:t>
      </w:r>
    </w:p>
    <w:p w14:paraId="3D3EACD4">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以上所有品牌创评奖励均不含上级奖励资金。</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责任单位：县文广旅局、行政审批局</w:t>
      </w:r>
      <w:r>
        <w:rPr>
          <w:rFonts w:hint="eastAsia" w:ascii="宋体" w:hAnsi="宋体" w:eastAsia="楷体_GB2312" w:cs="楷体_GB2312"/>
          <w:sz w:val="32"/>
          <w:szCs w:val="32"/>
        </w:rPr>
        <w:t>〕</w:t>
      </w:r>
    </w:p>
    <w:p w14:paraId="43446E9C">
      <w:pPr>
        <w:spacing w:line="560" w:lineRule="exact"/>
        <w:ind w:firstLine="640" w:firstLineChars="200"/>
        <w:rPr>
          <w:rFonts w:ascii="宋体" w:hAnsi="宋体" w:eastAsia="黑体" w:cs="黑体"/>
          <w:bCs/>
          <w:sz w:val="32"/>
          <w:szCs w:val="32"/>
        </w:rPr>
      </w:pPr>
      <w:r>
        <w:rPr>
          <w:rFonts w:hint="eastAsia" w:ascii="宋体" w:hAnsi="宋体" w:eastAsia="黑体" w:cs="黑体"/>
          <w:bCs/>
          <w:sz w:val="32"/>
          <w:szCs w:val="32"/>
        </w:rPr>
        <w:t>二、附则</w:t>
      </w:r>
    </w:p>
    <w:p w14:paraId="37D2F1E4">
      <w:pPr>
        <w:spacing w:line="560" w:lineRule="exact"/>
        <w:ind w:firstLine="640" w:firstLineChars="200"/>
        <w:rPr>
          <w:rFonts w:ascii="宋体" w:hAnsi="宋体" w:eastAsia="仿宋_GB2312" w:cs="仿宋_GB2312"/>
          <w:sz w:val="32"/>
          <w:szCs w:val="32"/>
        </w:rPr>
      </w:pPr>
      <w:r>
        <w:rPr>
          <w:rFonts w:hint="eastAsia" w:ascii="宋体" w:hAnsi="宋体" w:cs="宋体"/>
          <w:sz w:val="32"/>
          <w:szCs w:val="32"/>
        </w:rPr>
        <w:t>1.2023</w:t>
      </w:r>
      <w:r>
        <w:rPr>
          <w:rFonts w:hint="eastAsia" w:ascii="宋体" w:hAnsi="宋体" w:eastAsia="仿宋_GB2312" w:cs="仿宋_GB2312"/>
          <w:sz w:val="32"/>
          <w:szCs w:val="32"/>
        </w:rPr>
        <w:t>年</w:t>
      </w:r>
      <w:r>
        <w:rPr>
          <w:rFonts w:hint="eastAsia" w:ascii="宋体" w:hAnsi="宋体" w:cs="宋体"/>
          <w:sz w:val="32"/>
          <w:szCs w:val="32"/>
        </w:rPr>
        <w:t>7</w:t>
      </w:r>
      <w:r>
        <w:rPr>
          <w:rFonts w:hint="eastAsia" w:ascii="宋体" w:hAnsi="宋体" w:eastAsia="仿宋_GB2312" w:cs="仿宋_GB2312"/>
          <w:sz w:val="32"/>
          <w:szCs w:val="32"/>
        </w:rPr>
        <w:t>月</w:t>
      </w:r>
      <w:r>
        <w:rPr>
          <w:rFonts w:hint="eastAsia" w:ascii="宋体" w:hAnsi="宋体" w:cs="宋体"/>
          <w:sz w:val="32"/>
          <w:szCs w:val="32"/>
        </w:rPr>
        <w:t>22</w:t>
      </w:r>
      <w:r>
        <w:rPr>
          <w:rFonts w:hint="eastAsia" w:ascii="宋体" w:hAnsi="宋体" w:eastAsia="仿宋_GB2312" w:cs="仿宋_GB2312"/>
          <w:sz w:val="32"/>
          <w:szCs w:val="32"/>
        </w:rPr>
        <w:t>日县政府办印发的《赛事经济扶持奖励办法（试行）》（上府办发〔</w:t>
      </w:r>
      <w:r>
        <w:rPr>
          <w:rFonts w:hint="eastAsia" w:ascii="宋体" w:hAnsi="宋体" w:cs="宋体"/>
          <w:sz w:val="32"/>
          <w:szCs w:val="32"/>
        </w:rPr>
        <w:t>2023</w:t>
      </w:r>
      <w:r>
        <w:rPr>
          <w:rFonts w:hint="eastAsia" w:ascii="宋体" w:hAnsi="宋体" w:eastAsia="仿宋_GB2312" w:cs="仿宋_GB2312"/>
          <w:sz w:val="32"/>
          <w:szCs w:val="32"/>
        </w:rPr>
        <w:t>〕</w:t>
      </w:r>
      <w:r>
        <w:rPr>
          <w:rFonts w:hint="eastAsia" w:ascii="宋体" w:hAnsi="宋体" w:cs="宋体"/>
          <w:sz w:val="32"/>
          <w:szCs w:val="32"/>
        </w:rPr>
        <w:t>31</w:t>
      </w:r>
      <w:r>
        <w:rPr>
          <w:rFonts w:hint="eastAsia" w:ascii="宋体" w:hAnsi="宋体" w:eastAsia="仿宋_GB2312" w:cs="仿宋_GB2312"/>
          <w:sz w:val="32"/>
          <w:szCs w:val="32"/>
        </w:rPr>
        <w:t>号）、《上犹县民宿集聚区高质量发展扶持奖励办法（试行）》（上府办发〔</w:t>
      </w:r>
      <w:r>
        <w:rPr>
          <w:rFonts w:hint="eastAsia" w:ascii="宋体" w:hAnsi="宋体" w:cs="宋体"/>
          <w:sz w:val="32"/>
          <w:szCs w:val="32"/>
        </w:rPr>
        <w:t>2023</w:t>
      </w:r>
      <w:r>
        <w:rPr>
          <w:rFonts w:hint="eastAsia" w:ascii="宋体" w:hAnsi="宋体" w:eastAsia="仿宋_GB2312" w:cs="仿宋_GB2312"/>
          <w:sz w:val="32"/>
          <w:szCs w:val="32"/>
        </w:rPr>
        <w:t>〕</w:t>
      </w:r>
      <w:r>
        <w:rPr>
          <w:rFonts w:hint="eastAsia" w:ascii="宋体" w:hAnsi="宋体" w:cs="宋体"/>
          <w:sz w:val="32"/>
          <w:szCs w:val="32"/>
        </w:rPr>
        <w:t>32</w:t>
      </w:r>
      <w:r>
        <w:rPr>
          <w:rFonts w:hint="eastAsia" w:ascii="宋体" w:hAnsi="宋体" w:eastAsia="仿宋_GB2312" w:cs="仿宋_GB2312"/>
          <w:sz w:val="32"/>
          <w:szCs w:val="32"/>
        </w:rPr>
        <w:t>号）、《上犹县引客入犹奖励办法（试行）》（上府办发〔</w:t>
      </w:r>
      <w:r>
        <w:rPr>
          <w:rFonts w:hint="eastAsia" w:ascii="宋体" w:hAnsi="宋体" w:cs="宋体"/>
          <w:sz w:val="32"/>
          <w:szCs w:val="32"/>
        </w:rPr>
        <w:t>2023</w:t>
      </w:r>
      <w:r>
        <w:rPr>
          <w:rFonts w:hint="eastAsia" w:ascii="宋体" w:hAnsi="宋体" w:eastAsia="仿宋_GB2312" w:cs="仿宋_GB2312"/>
          <w:sz w:val="32"/>
          <w:szCs w:val="32"/>
        </w:rPr>
        <w:t>〕</w:t>
      </w:r>
      <w:r>
        <w:rPr>
          <w:rFonts w:hint="eastAsia" w:ascii="宋体" w:hAnsi="宋体" w:cs="宋体"/>
          <w:sz w:val="32"/>
          <w:szCs w:val="32"/>
        </w:rPr>
        <w:t>33</w:t>
      </w:r>
      <w:r>
        <w:rPr>
          <w:rFonts w:hint="eastAsia" w:ascii="宋体" w:hAnsi="宋体" w:eastAsia="仿宋_GB2312" w:cs="仿宋_GB2312"/>
          <w:sz w:val="32"/>
          <w:szCs w:val="32"/>
        </w:rPr>
        <w:t>号）试行</w:t>
      </w:r>
      <w:r>
        <w:rPr>
          <w:rFonts w:hint="eastAsia" w:ascii="宋体" w:hAnsi="宋体" w:cs="宋体"/>
          <w:sz w:val="32"/>
          <w:szCs w:val="32"/>
        </w:rPr>
        <w:t>2</w:t>
      </w:r>
      <w:r>
        <w:rPr>
          <w:rFonts w:hint="eastAsia" w:ascii="宋体" w:hAnsi="宋体" w:eastAsia="仿宋_GB2312" w:cs="仿宋_GB2312"/>
          <w:sz w:val="32"/>
          <w:szCs w:val="32"/>
        </w:rPr>
        <w:t>年到期后，延期至</w:t>
      </w:r>
      <w:r>
        <w:rPr>
          <w:rFonts w:hint="eastAsia" w:ascii="宋体" w:hAnsi="宋体" w:cs="宋体"/>
          <w:sz w:val="32"/>
          <w:szCs w:val="32"/>
        </w:rPr>
        <w:t>2026</w:t>
      </w:r>
      <w:r>
        <w:rPr>
          <w:rFonts w:hint="eastAsia" w:ascii="宋体" w:hAnsi="宋体" w:eastAsia="仿宋_GB2312" w:cs="仿宋_GB2312"/>
          <w:sz w:val="32"/>
          <w:szCs w:val="32"/>
        </w:rPr>
        <w:t>年</w:t>
      </w:r>
      <w:r>
        <w:rPr>
          <w:rFonts w:hint="eastAsia" w:ascii="宋体" w:hAnsi="宋体" w:cs="宋体"/>
          <w:sz w:val="32"/>
          <w:szCs w:val="32"/>
        </w:rPr>
        <w:t>12</w:t>
      </w:r>
      <w:r>
        <w:rPr>
          <w:rFonts w:hint="eastAsia" w:ascii="宋体" w:hAnsi="宋体" w:eastAsia="仿宋_GB2312" w:cs="仿宋_GB2312"/>
          <w:sz w:val="32"/>
          <w:szCs w:val="32"/>
        </w:rPr>
        <w:t>月</w:t>
      </w:r>
      <w:r>
        <w:rPr>
          <w:rFonts w:hint="eastAsia" w:ascii="宋体" w:hAnsi="宋体" w:cs="宋体"/>
          <w:sz w:val="32"/>
          <w:szCs w:val="32"/>
        </w:rPr>
        <w:t>31</w:t>
      </w:r>
      <w:r>
        <w:rPr>
          <w:rFonts w:hint="eastAsia" w:ascii="宋体" w:hAnsi="宋体" w:eastAsia="仿宋_GB2312" w:cs="仿宋_GB2312"/>
          <w:sz w:val="32"/>
          <w:szCs w:val="32"/>
        </w:rPr>
        <w:t>日止。</w:t>
      </w:r>
    </w:p>
    <w:p w14:paraId="4F019F1B">
      <w:pPr>
        <w:spacing w:line="560" w:lineRule="exact"/>
        <w:ind w:firstLine="640" w:firstLineChars="200"/>
        <w:rPr>
          <w:rFonts w:ascii="宋体" w:hAnsi="宋体" w:eastAsia="仿宋_GB2312" w:cs="仿宋_GB2312"/>
          <w:sz w:val="32"/>
          <w:szCs w:val="32"/>
        </w:rPr>
      </w:pPr>
      <w:r>
        <w:rPr>
          <w:rFonts w:hint="eastAsia" w:ascii="宋体" w:hAnsi="宋体" w:cs="宋体"/>
          <w:sz w:val="32"/>
          <w:szCs w:val="32"/>
        </w:rPr>
        <w:t>2.</w:t>
      </w:r>
      <w:r>
        <w:rPr>
          <w:rFonts w:hint="eastAsia" w:ascii="宋体" w:hAnsi="宋体" w:eastAsia="仿宋_GB2312" w:cs="仿宋_GB2312"/>
          <w:sz w:val="32"/>
          <w:szCs w:val="32"/>
        </w:rPr>
        <w:t>设立文旅商贸消费惠企资金池</w:t>
      </w:r>
      <w:r>
        <w:rPr>
          <w:rFonts w:hint="eastAsia" w:ascii="宋体" w:hAnsi="宋体" w:cs="宋体"/>
          <w:sz w:val="32"/>
          <w:szCs w:val="32"/>
        </w:rPr>
        <w:t>3000</w:t>
      </w:r>
      <w:r>
        <w:rPr>
          <w:rFonts w:hint="eastAsia" w:ascii="宋体" w:hAnsi="宋体" w:eastAsia="仿宋_GB2312" w:cs="仿宋_GB2312"/>
          <w:sz w:val="32"/>
          <w:szCs w:val="32"/>
        </w:rPr>
        <w:t>万元，文旅商贸消费政策措施涉及资金从惠企资金池中支出，实行“申报</w:t>
      </w:r>
      <w:r>
        <w:rPr>
          <w:rFonts w:hint="eastAsia" w:ascii="宋体" w:hAnsi="宋体" w:cs="宋体"/>
          <w:sz w:val="32"/>
          <w:szCs w:val="32"/>
        </w:rPr>
        <w:t>-</w:t>
      </w:r>
      <w:r>
        <w:rPr>
          <w:rFonts w:hint="eastAsia" w:ascii="宋体" w:hAnsi="宋体" w:eastAsia="仿宋_GB2312" w:cs="仿宋_GB2312"/>
          <w:sz w:val="32"/>
          <w:szCs w:val="32"/>
        </w:rPr>
        <w:t>评审</w:t>
      </w:r>
      <w:r>
        <w:rPr>
          <w:rFonts w:hint="eastAsia" w:ascii="宋体" w:hAnsi="宋体" w:cs="宋体"/>
          <w:sz w:val="32"/>
          <w:szCs w:val="32"/>
        </w:rPr>
        <w:t>-</w:t>
      </w:r>
      <w:r>
        <w:rPr>
          <w:rFonts w:hint="eastAsia" w:ascii="宋体" w:hAnsi="宋体" w:eastAsia="仿宋_GB2312" w:cs="仿宋_GB2312"/>
          <w:sz w:val="32"/>
          <w:szCs w:val="32"/>
        </w:rPr>
        <w:t>公示</w:t>
      </w:r>
      <w:r>
        <w:rPr>
          <w:rFonts w:hint="eastAsia" w:ascii="宋体" w:hAnsi="宋体" w:cs="宋体"/>
          <w:sz w:val="32"/>
          <w:szCs w:val="32"/>
        </w:rPr>
        <w:t>-</w:t>
      </w:r>
      <w:r>
        <w:rPr>
          <w:rFonts w:hint="eastAsia" w:ascii="宋体" w:hAnsi="宋体" w:eastAsia="仿宋_GB2312" w:cs="仿宋_GB2312"/>
          <w:sz w:val="32"/>
          <w:szCs w:val="32"/>
        </w:rPr>
        <w:t>拨付”管理，由县财政局做好经费保障工作。</w:t>
      </w:r>
    </w:p>
    <w:p w14:paraId="0834FD04">
      <w:pPr>
        <w:spacing w:line="560" w:lineRule="exact"/>
        <w:ind w:firstLine="640" w:firstLineChars="200"/>
        <w:rPr>
          <w:rFonts w:ascii="宋体" w:hAnsi="宋体" w:eastAsia="仿宋_GB2312" w:cs="仿宋_GB2312"/>
          <w:sz w:val="32"/>
          <w:szCs w:val="32"/>
        </w:rPr>
      </w:pPr>
      <w:r>
        <w:rPr>
          <w:rFonts w:hint="eastAsia" w:ascii="宋体" w:hAnsi="宋体" w:cs="宋体"/>
          <w:sz w:val="32"/>
          <w:szCs w:val="32"/>
        </w:rPr>
        <w:t>3.</w:t>
      </w:r>
      <w:r>
        <w:rPr>
          <w:rFonts w:hint="eastAsia" w:ascii="宋体" w:hAnsi="宋体" w:eastAsia="仿宋_GB2312" w:cs="仿宋_GB2312"/>
          <w:sz w:val="32"/>
          <w:szCs w:val="32"/>
        </w:rPr>
        <w:t>本政策措施自</w:t>
      </w:r>
      <w:r>
        <w:rPr>
          <w:rFonts w:hint="eastAsia" w:ascii="宋体" w:hAnsi="宋体" w:cs="宋体"/>
          <w:sz w:val="32"/>
          <w:szCs w:val="32"/>
        </w:rPr>
        <w:t>2025</w:t>
      </w:r>
      <w:r>
        <w:rPr>
          <w:rFonts w:hint="eastAsia" w:ascii="宋体" w:hAnsi="宋体" w:eastAsia="仿宋_GB2312" w:cs="仿宋_GB2312"/>
          <w:sz w:val="32"/>
          <w:szCs w:val="32"/>
        </w:rPr>
        <w:t>年</w:t>
      </w:r>
      <w:r>
        <w:rPr>
          <w:rFonts w:hint="eastAsia" w:ascii="宋体" w:hAnsi="宋体" w:cs="宋体"/>
          <w:sz w:val="32"/>
          <w:szCs w:val="32"/>
        </w:rPr>
        <w:t>5</w:t>
      </w:r>
      <w:r>
        <w:rPr>
          <w:rFonts w:hint="eastAsia" w:ascii="宋体" w:hAnsi="宋体" w:eastAsia="仿宋_GB2312" w:cs="仿宋_GB2312"/>
          <w:sz w:val="32"/>
          <w:szCs w:val="32"/>
        </w:rPr>
        <w:t>月</w:t>
      </w:r>
      <w:r>
        <w:rPr>
          <w:rFonts w:hint="eastAsia" w:ascii="宋体" w:hAnsi="宋体" w:cs="宋体"/>
          <w:sz w:val="32"/>
          <w:szCs w:val="32"/>
        </w:rPr>
        <w:t>1</w:t>
      </w:r>
      <w:r>
        <w:rPr>
          <w:rFonts w:hint="eastAsia" w:ascii="宋体" w:hAnsi="宋体" w:eastAsia="仿宋_GB2312" w:cs="仿宋_GB2312"/>
          <w:sz w:val="32"/>
          <w:szCs w:val="32"/>
        </w:rPr>
        <w:t>日起实施，至</w:t>
      </w:r>
      <w:r>
        <w:rPr>
          <w:rFonts w:hint="eastAsia" w:ascii="宋体" w:hAnsi="宋体" w:cs="宋体"/>
          <w:sz w:val="32"/>
          <w:szCs w:val="32"/>
        </w:rPr>
        <w:t>2026</w:t>
      </w:r>
      <w:r>
        <w:rPr>
          <w:rFonts w:hint="eastAsia" w:ascii="宋体" w:hAnsi="宋体" w:eastAsia="仿宋_GB2312" w:cs="仿宋_GB2312"/>
          <w:sz w:val="32"/>
          <w:szCs w:val="32"/>
        </w:rPr>
        <w:t>年</w:t>
      </w:r>
      <w:r>
        <w:rPr>
          <w:rFonts w:hint="eastAsia" w:ascii="宋体" w:hAnsi="宋体" w:cs="宋体"/>
          <w:sz w:val="32"/>
          <w:szCs w:val="32"/>
        </w:rPr>
        <w:t>12</w:t>
      </w:r>
      <w:r>
        <w:rPr>
          <w:rFonts w:hint="eastAsia" w:ascii="宋体" w:hAnsi="宋体" w:eastAsia="仿宋_GB2312" w:cs="仿宋_GB2312"/>
          <w:sz w:val="32"/>
          <w:szCs w:val="32"/>
        </w:rPr>
        <w:t>月</w:t>
      </w:r>
      <w:r>
        <w:rPr>
          <w:rFonts w:hint="eastAsia" w:ascii="宋体" w:hAnsi="宋体" w:cs="宋体"/>
          <w:sz w:val="32"/>
          <w:szCs w:val="32"/>
        </w:rPr>
        <w:t>31</w:t>
      </w:r>
      <w:r>
        <w:rPr>
          <w:rFonts w:hint="eastAsia" w:ascii="宋体" w:hAnsi="宋体" w:eastAsia="仿宋_GB2312" w:cs="仿宋_GB2312"/>
          <w:sz w:val="32"/>
          <w:szCs w:val="32"/>
        </w:rPr>
        <w:t>日止。</w:t>
      </w:r>
    </w:p>
    <w:p w14:paraId="64903140">
      <w:pPr>
        <w:spacing w:line="560" w:lineRule="exact"/>
        <w:ind w:firstLine="640" w:firstLineChars="200"/>
        <w:rPr>
          <w:rFonts w:ascii="宋体" w:hAnsi="宋体" w:eastAsia="仿宋_GB2312" w:cs="仿宋_GB2312"/>
          <w:sz w:val="32"/>
          <w:szCs w:val="32"/>
        </w:rPr>
      </w:pPr>
      <w:r>
        <w:rPr>
          <w:rFonts w:hint="eastAsia" w:ascii="宋体" w:hAnsi="宋体" w:cs="宋体"/>
          <w:sz w:val="32"/>
          <w:szCs w:val="32"/>
        </w:rPr>
        <w:t>4.</w:t>
      </w:r>
      <w:r>
        <w:rPr>
          <w:rFonts w:hint="eastAsia" w:ascii="宋体" w:hAnsi="宋体" w:eastAsia="仿宋_GB2312" w:cs="仿宋_GB2312"/>
          <w:sz w:val="32"/>
          <w:szCs w:val="32"/>
        </w:rPr>
        <w:t>如遇上级政策调整，以上级政策为准；与县级其他政策措施重复时按“就高不就低、不重复享受”原则执行。</w:t>
      </w:r>
    </w:p>
    <w:p w14:paraId="5D289E48">
      <w:pPr>
        <w:spacing w:line="560" w:lineRule="exact"/>
        <w:ind w:firstLine="640" w:firstLineChars="200"/>
        <w:rPr>
          <w:rFonts w:ascii="宋体" w:hAnsi="宋体" w:eastAsia="仿宋_GB2312" w:cs="仿宋_GB2312"/>
          <w:sz w:val="32"/>
          <w:szCs w:val="32"/>
        </w:rPr>
      </w:pPr>
      <w:r>
        <w:rPr>
          <w:rFonts w:hint="eastAsia" w:ascii="宋体" w:hAnsi="宋体" w:cs="宋体"/>
          <w:sz w:val="32"/>
          <w:szCs w:val="32"/>
        </w:rPr>
        <w:t>5.</w:t>
      </w:r>
      <w:r>
        <w:rPr>
          <w:rFonts w:hint="eastAsia" w:ascii="宋体" w:hAnsi="宋体" w:eastAsia="仿宋_GB2312" w:cs="仿宋_GB2312"/>
          <w:sz w:val="32"/>
          <w:szCs w:val="32"/>
        </w:rPr>
        <w:t>设立消费投诉举报热线：</w:t>
      </w:r>
      <w:r>
        <w:rPr>
          <w:rFonts w:hint="eastAsia" w:ascii="宋体" w:hAnsi="宋体" w:cs="宋体"/>
          <w:sz w:val="32"/>
          <w:szCs w:val="32"/>
        </w:rPr>
        <w:t>0797-8536990</w:t>
      </w:r>
      <w:r>
        <w:rPr>
          <w:rFonts w:hint="eastAsia" w:ascii="宋体" w:hAnsi="宋体" w:eastAsia="仿宋_GB2312" w:cs="仿宋_GB2312"/>
          <w:sz w:val="32"/>
          <w:szCs w:val="32"/>
        </w:rPr>
        <w:t>，切实维护消费者合法权益，营造公平、公正、透明的市场消费环境。各行业主管部门加大监管力度，引导经营者自觉树立诚信经营理念、主动落实明码标价义务、全面优化市场服务举措。</w:t>
      </w:r>
    </w:p>
    <w:p w14:paraId="57342D43">
      <w:pPr>
        <w:spacing w:line="560" w:lineRule="exact"/>
        <w:ind w:firstLine="420" w:firstLineChars="200"/>
        <w:rPr>
          <w:rFonts w:ascii="宋体" w:hAnsi="宋体" w:cs="宋体"/>
        </w:rPr>
      </w:pPr>
      <w:r>
        <w:rPr>
          <w:rFonts w:hint="eastAsia" w:ascii="宋体" w:hAnsi="宋体" w:cs="宋体"/>
        </w:rPr>
        <w:t xml:space="preserve"> </w:t>
      </w:r>
    </w:p>
    <w:p w14:paraId="133F96EE">
      <w:pPr>
        <w:spacing w:line="560" w:lineRule="exact"/>
        <w:ind w:left="1598" w:leftChars="304" w:hanging="960" w:hangingChars="300"/>
        <w:rPr>
          <w:rFonts w:ascii="宋体" w:hAnsi="宋体" w:eastAsia="仿宋_GB2312" w:cs="仿宋_GB2312"/>
          <w:sz w:val="32"/>
          <w:szCs w:val="32"/>
        </w:rPr>
      </w:pPr>
      <w:r>
        <w:rPr>
          <w:rFonts w:hint="eastAsia" w:ascii="宋体" w:hAnsi="宋体" w:eastAsia="仿宋_GB2312" w:cs="仿宋_GB2312"/>
          <w:sz w:val="32"/>
          <w:szCs w:val="32"/>
        </w:rPr>
        <w:t>附件：《上犹县提振消费构建文旅商贸大商圈十五条措施》实施细则</w:t>
      </w:r>
    </w:p>
    <w:p w14:paraId="69DC0605">
      <w:pPr>
        <w:pStyle w:val="5"/>
        <w:ind w:left="460" w:firstLine="680"/>
        <w:rPr>
          <w:rFonts w:ascii="宋体" w:hAnsi="宋体" w:eastAsia="仿宋_GB2312" w:cs="仿宋_GB2312"/>
          <w:sz w:val="32"/>
          <w:szCs w:val="32"/>
        </w:rPr>
      </w:pPr>
    </w:p>
    <w:p w14:paraId="040E2C99">
      <w:pPr>
        <w:pStyle w:val="4"/>
        <w:ind w:firstLine="680"/>
        <w:rPr>
          <w:rFonts w:ascii="宋体" w:hAnsi="宋体" w:eastAsia="仿宋_GB2312" w:cs="仿宋_GB2312"/>
          <w:szCs w:val="32"/>
        </w:rPr>
      </w:pPr>
    </w:p>
    <w:p w14:paraId="15B03E3B">
      <w:pPr>
        <w:rPr>
          <w:rFonts w:ascii="宋体" w:hAnsi="宋体" w:eastAsia="仿宋_GB2312" w:cs="仿宋_GB2312"/>
          <w:sz w:val="32"/>
          <w:szCs w:val="32"/>
        </w:rPr>
      </w:pPr>
    </w:p>
    <w:p w14:paraId="49552D9D">
      <w:pPr>
        <w:spacing w:line="560" w:lineRule="exact"/>
        <w:rPr>
          <w:rFonts w:ascii="宋体" w:hAnsi="宋体" w:eastAsia="黑体" w:cs="黑体"/>
          <w:sz w:val="32"/>
          <w:szCs w:val="32"/>
        </w:rPr>
      </w:pPr>
      <w:r>
        <w:rPr>
          <w:rFonts w:hint="eastAsia" w:ascii="宋体" w:hAnsi="宋体" w:eastAsia="黑体" w:cs="黑体"/>
          <w:sz w:val="32"/>
          <w:szCs w:val="32"/>
        </w:rPr>
        <w:t>附件</w:t>
      </w:r>
    </w:p>
    <w:p w14:paraId="16F3AE3B">
      <w:pPr>
        <w:spacing w:line="560" w:lineRule="exact"/>
        <w:rPr>
          <w:rFonts w:ascii="宋体" w:hAnsi="宋体" w:eastAsia="黑体" w:cs="黑体"/>
          <w:sz w:val="32"/>
          <w:szCs w:val="32"/>
        </w:rPr>
      </w:pPr>
    </w:p>
    <w:p w14:paraId="23D6170A">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《上犹县提振消费构建文旅商贸大商圈</w:t>
      </w:r>
    </w:p>
    <w:p w14:paraId="720722BE">
      <w:pPr>
        <w:spacing w:line="560" w:lineRule="exact"/>
        <w:jc w:val="center"/>
        <w:rPr>
          <w:rFonts w:ascii="宋体" w:hAnsi="宋体" w:eastAsia="方正小标宋简体" w:cs="方正小标宋简体"/>
          <w:sz w:val="44"/>
          <w:szCs w:val="44"/>
          <w:shd w:val="clear" w:color="auto" w:fill="FFFFFF"/>
        </w:rPr>
      </w:pPr>
      <w:r>
        <w:rPr>
          <w:rFonts w:hint="eastAsia" w:ascii="宋体" w:hAnsi="宋体" w:eastAsia="方正小标宋简体" w:cs="方正小标宋简体"/>
          <w:sz w:val="44"/>
          <w:szCs w:val="44"/>
        </w:rPr>
        <w:t>十五条措施》</w:t>
      </w:r>
      <w:r>
        <w:rPr>
          <w:rFonts w:hint="eastAsia" w:ascii="宋体" w:hAnsi="宋体" w:eastAsia="方正小标宋简体" w:cs="方正小标宋简体"/>
          <w:sz w:val="44"/>
          <w:szCs w:val="44"/>
          <w:shd w:val="clear" w:color="auto" w:fill="FFFFFF"/>
        </w:rPr>
        <w:t>实施细则</w:t>
      </w:r>
    </w:p>
    <w:p w14:paraId="14DC895F">
      <w:pPr>
        <w:spacing w:line="560" w:lineRule="exact"/>
        <w:ind w:firstLine="640" w:firstLineChars="200"/>
        <w:rPr>
          <w:rFonts w:ascii="宋体" w:hAnsi="宋体" w:eastAsia="仿宋_GB2312" w:cs="仿宋_GB2312"/>
          <w:sz w:val="32"/>
          <w:szCs w:val="32"/>
        </w:rPr>
      </w:pPr>
    </w:p>
    <w:p w14:paraId="102ABC5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深入贯彻落实党中央、国务院关于大力提振消费的决策部署和省委、省政府，市委市政府工作要求,全方位推动我县消费扩量提质增效，根据《上犹县提振消费构建文旅商贸大商圈十五条措施》，特制定本实施细则，明确各项政策的申报主体、申报材料及申报流程，确保政策落实到位，充分发挥消费对经济发展的基础性作用,不断增强高质量发展的持久动力。</w:t>
      </w:r>
    </w:p>
    <w:p w14:paraId="5DDEADB9">
      <w:pPr>
        <w:spacing w:line="560" w:lineRule="exact"/>
        <w:ind w:left="420" w:leftChars="200"/>
        <w:rPr>
          <w:rFonts w:ascii="宋体" w:hAnsi="宋体" w:eastAsia="黑体" w:cs="黑体"/>
          <w:sz w:val="32"/>
          <w:szCs w:val="32"/>
        </w:rPr>
      </w:pPr>
      <w:r>
        <w:rPr>
          <w:rFonts w:hint="eastAsia" w:ascii="宋体" w:hAnsi="宋体" w:eastAsia="黑体" w:cs="黑体"/>
          <w:sz w:val="32"/>
          <w:szCs w:val="32"/>
        </w:rPr>
        <w:t>一、推出高速免通行费政策</w:t>
      </w:r>
    </w:p>
    <w:p w14:paraId="1183C4DF">
      <w:pPr>
        <w:numPr>
          <w:ilvl w:val="0"/>
          <w:numId w:val="1"/>
        </w:num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政策内容</w:t>
      </w:r>
    </w:p>
    <w:p w14:paraId="6DFDDD5B">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大力开展“引客入犹”工程，支持“周末”经济发展，对在周五16:00至周日18:00时间段内从赣州东、赣州南、赣州西、赣州北四个高速收费站驶入，从上犹西高速收费站或上犹东高速收费站驶出，且在上犹境内停留2小时以上的所有使用ETC电子支付方式的七座及以下客车，实行免收高速通行费政策。</w:t>
      </w:r>
      <w:r>
        <w:rPr>
          <w:rFonts w:hint="eastAsia" w:ascii="宋体" w:hAnsi="宋体" w:eastAsia="楷体_GB2312" w:cs="楷体_GB2312"/>
          <w:sz w:val="32"/>
          <w:szCs w:val="32"/>
        </w:rPr>
        <w:t>〔责任单位：县交通运输局、文广旅局、犹江实业公司〕</w:t>
      </w:r>
    </w:p>
    <w:p w14:paraId="22591F02">
      <w:pPr>
        <w:numPr>
          <w:ilvl w:val="0"/>
          <w:numId w:val="1"/>
        </w:num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政策执行</w:t>
      </w:r>
    </w:p>
    <w:p w14:paraId="041381FB">
      <w:pPr>
        <w:pStyle w:val="19"/>
        <w:spacing w:line="560" w:lineRule="exact"/>
        <w:ind w:left="0"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1.免费时间：</w:t>
      </w:r>
      <w:r>
        <w:rPr>
          <w:rFonts w:hint="eastAsia" w:ascii="宋体" w:hAnsi="宋体" w:eastAsia="仿宋_GB2312" w:cs="仿宋_GB2312"/>
          <w:sz w:val="32"/>
          <w:szCs w:val="32"/>
        </w:rPr>
        <w:t>每周五16:00至周日18:00时间段内（指驶入时间）；七座及以下小型客车在高速免通行费的国家法定节假日期间（春节、清明节、劳动节、国庆节）按国家规定执行。</w:t>
      </w:r>
    </w:p>
    <w:p w14:paraId="4323E005">
      <w:pPr>
        <w:pStyle w:val="19"/>
        <w:spacing w:line="560" w:lineRule="exact"/>
        <w:ind w:left="0"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2.免费区间：</w:t>
      </w:r>
      <w:r>
        <w:rPr>
          <w:rFonts w:hint="eastAsia" w:ascii="宋体" w:hAnsi="宋体" w:eastAsia="仿宋_GB2312" w:cs="仿宋_GB2312"/>
          <w:sz w:val="32"/>
          <w:szCs w:val="32"/>
        </w:rPr>
        <w:t>赣州（驶入站：赣州东收费站、赣州南收费站、赣州北收费站、赣州西收费站）至上犹（驶出站：上犹东站、上犹西站）单程免费。</w:t>
      </w:r>
    </w:p>
    <w:p w14:paraId="044DDA44">
      <w:pPr>
        <w:pStyle w:val="19"/>
        <w:spacing w:line="560" w:lineRule="exact"/>
        <w:ind w:left="0" w:firstLine="643" w:firstLineChars="200"/>
        <w:rPr>
          <w:rFonts w:ascii="宋体" w:hAnsi="宋体" w:eastAsia="楷体_GB2312" w:cs="楷体_GB2312"/>
          <w:b/>
          <w:bCs/>
          <w:sz w:val="32"/>
          <w:szCs w:val="32"/>
        </w:rPr>
      </w:pPr>
      <w:r>
        <w:rPr>
          <w:rFonts w:hint="eastAsia" w:ascii="宋体" w:hAnsi="宋体" w:eastAsia="仿宋_GB2312" w:cs="仿宋_GB2312"/>
          <w:b/>
          <w:bCs/>
          <w:sz w:val="32"/>
          <w:szCs w:val="32"/>
        </w:rPr>
        <w:t>3.免费对象：</w:t>
      </w:r>
      <w:r>
        <w:rPr>
          <w:rFonts w:hint="eastAsia" w:ascii="宋体" w:hAnsi="宋体" w:eastAsia="仿宋_GB2312" w:cs="仿宋_GB2312"/>
          <w:sz w:val="32"/>
          <w:szCs w:val="32"/>
        </w:rPr>
        <w:t>在上犹境内停留2小时以上的所有使用ETC电子支付方式的七座及以下客车。</w:t>
      </w:r>
    </w:p>
    <w:p w14:paraId="71DF1DE7">
      <w:pPr>
        <w:spacing w:line="560" w:lineRule="exact"/>
        <w:ind w:left="420" w:leftChars="200"/>
        <w:rPr>
          <w:rFonts w:ascii="宋体" w:hAnsi="宋体" w:eastAsia="黑体" w:cs="黑体"/>
          <w:sz w:val="32"/>
          <w:szCs w:val="32"/>
        </w:rPr>
      </w:pPr>
      <w:r>
        <w:rPr>
          <w:rFonts w:hint="eastAsia" w:ascii="宋体" w:hAnsi="宋体" w:eastAsia="黑体" w:cs="黑体"/>
          <w:sz w:val="32"/>
          <w:szCs w:val="32"/>
        </w:rPr>
        <w:t>二、开通“森宿上犹”免费旅游公交专线</w:t>
      </w:r>
    </w:p>
    <w:p w14:paraId="4905F66C">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BFA88C1">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在每周五16:00至周日20:00及法定节假日，免费开通赣州中心城区长征广场至阳明湖碧水湾旅游公交专线，同步开通阳明小镇至梅水园村内循环旅游公交，游客提前在“森宿上犹”小程序预约后即可全程免费畅游上犹。</w:t>
      </w:r>
      <w:r>
        <w:rPr>
          <w:rFonts w:hint="eastAsia" w:ascii="宋体" w:hAnsi="宋体" w:eastAsia="楷体_GB2312" w:cs="楷体_GB2312"/>
          <w:sz w:val="32"/>
          <w:szCs w:val="32"/>
        </w:rPr>
        <w:t>〔责任单位：县交通运输局、文广旅局、犹江实业公司〕</w:t>
      </w:r>
    </w:p>
    <w:p w14:paraId="360FB9BE">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（二）政策执行</w:t>
      </w:r>
    </w:p>
    <w:p w14:paraId="68212900">
      <w:pPr>
        <w:spacing w:line="560" w:lineRule="exact"/>
        <w:ind w:firstLine="640" w:firstLineChars="200"/>
        <w:rPr>
          <w:rFonts w:ascii="宋体" w:hAnsi="宋体" w:eastAsia="仿宋_GB2312" w:cs="仿宋_GB2312"/>
          <w:b/>
          <w:bCs/>
          <w:sz w:val="32"/>
          <w:szCs w:val="32"/>
        </w:rPr>
      </w:pPr>
      <w:r>
        <w:rPr>
          <w:rFonts w:hint="eastAsia" w:ascii="宋体" w:hAnsi="宋体" w:eastAsia="仿宋_GB2312" w:cs="仿宋_GB2312"/>
          <w:sz w:val="32"/>
          <w:szCs w:val="32"/>
        </w:rPr>
        <w:t>长征广场至阳明湖碧水湾，原则上1小时1趟；内循环阳明小镇至梅水园村，原则上半小时一趟。</w:t>
      </w:r>
    </w:p>
    <w:p w14:paraId="64438FF6">
      <w:pPr>
        <w:spacing w:line="560" w:lineRule="exact"/>
        <w:ind w:left="420" w:leftChars="200" w:firstLine="321" w:firstLineChars="100"/>
        <w:rPr>
          <w:rFonts w:ascii="宋体" w:hAnsi="宋体" w:eastAsia="楷体_GB2312" w:cs="楷体_GB2312"/>
          <w:b/>
          <w:bCs/>
          <w:sz w:val="32"/>
          <w:szCs w:val="32"/>
        </w:rPr>
      </w:pPr>
      <w:r>
        <w:rPr>
          <w:rFonts w:hint="eastAsia" w:ascii="宋体" w:hAnsi="宋体" w:eastAsia="楷体_GB2312" w:cs="楷体_GB2312"/>
          <w:b/>
          <w:bCs/>
          <w:sz w:val="32"/>
          <w:szCs w:val="32"/>
        </w:rPr>
        <w:t>1.长征广场至阳明湖碧水湾旅游公交专线</w:t>
      </w:r>
    </w:p>
    <w:p w14:paraId="2CB6B201">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（1）线路走向：</w:t>
      </w:r>
      <w:r>
        <w:rPr>
          <w:rFonts w:hint="eastAsia" w:ascii="宋体" w:hAnsi="宋体" w:eastAsia="仿宋_GB2312" w:cs="仿宋_GB2312"/>
          <w:sz w:val="32"/>
          <w:szCs w:val="32"/>
        </w:rPr>
        <w:t>赣州长征广场（起点）--飞龙大桥--迎宾高架文山路出口--赣州西出口--厦蓉高速--上犹西高速入口--南湖公路--阳明湖碧水湾停车场（讫点）(双向对开)。</w:t>
      </w:r>
    </w:p>
    <w:p w14:paraId="3AC07B2F">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（2）站点设置：</w:t>
      </w:r>
      <w:r>
        <w:rPr>
          <w:rFonts w:hint="eastAsia" w:ascii="宋体" w:hAnsi="宋体" w:eastAsia="仿宋_GB2312" w:cs="仿宋_GB2312"/>
          <w:sz w:val="32"/>
          <w:szCs w:val="32"/>
        </w:rPr>
        <w:t>赣州长征广场、趣野南湖野奢营地、南湖数字旅游驿站、南湖大桥、阳明国际垂钓基地、"工业+文旅"清酒旅游基地（清湖红色教育基地）、陡水民宿小镇(陡水桥头)、碧水湾停车场。</w:t>
      </w:r>
    </w:p>
    <w:p w14:paraId="1D082030">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（3）运营时间：</w:t>
      </w:r>
      <w:r>
        <w:rPr>
          <w:rFonts w:hint="eastAsia" w:ascii="宋体" w:hAnsi="宋体" w:eastAsia="仿宋_GB2312" w:cs="仿宋_GB2312"/>
          <w:sz w:val="32"/>
          <w:szCs w:val="32"/>
        </w:rPr>
        <w:t>每周五下午首班16：00至末班20：00；周六、周日首班08：00至末班20：00；法定节假日期间按双休日方式施行，即放假前一天下午开通。（双向对开，赣州发车点为长征广场，上犹发车点为阳明湖碧水湾停车场。）</w:t>
      </w:r>
    </w:p>
    <w:p w14:paraId="6EF8CC2D">
      <w:pPr>
        <w:spacing w:line="560" w:lineRule="exact"/>
        <w:ind w:left="420" w:leftChars="200" w:firstLine="321" w:firstLineChars="100"/>
        <w:rPr>
          <w:rFonts w:ascii="宋体" w:hAnsi="宋体" w:eastAsia="楷体_GB2312" w:cs="楷体_GB2312"/>
          <w:b/>
          <w:bCs/>
          <w:sz w:val="32"/>
          <w:szCs w:val="32"/>
        </w:rPr>
      </w:pPr>
      <w:r>
        <w:rPr>
          <w:rFonts w:hint="eastAsia" w:ascii="宋体" w:hAnsi="宋体" w:eastAsia="楷体_GB2312" w:cs="楷体_GB2312"/>
          <w:b/>
          <w:bCs/>
          <w:sz w:val="32"/>
          <w:szCs w:val="32"/>
        </w:rPr>
        <w:t>2.阳明小镇至梅水园村旅游公交专线</w:t>
      </w:r>
    </w:p>
    <w:p w14:paraId="14481807">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（1）线路走向及站点设置：</w:t>
      </w:r>
      <w:r>
        <w:rPr>
          <w:rFonts w:hint="eastAsia" w:ascii="宋体" w:hAnsi="宋体" w:eastAsia="仿宋_GB2312" w:cs="仿宋_GB2312"/>
          <w:sz w:val="32"/>
          <w:szCs w:val="32"/>
        </w:rPr>
        <w:t>阳明小镇--趣野南湖野奢营地--南湖数字旅游驿站--南湖大桥--阳明国际垂钓基地--"工业+文旅"清酒旅游基地（清湖红色教育基地）--陡水民宿小镇(陡水桥头)--碧水湾停车场</w:t>
      </w:r>
      <w:r>
        <w:rPr>
          <w:rFonts w:hint="eastAsia" w:ascii="宋体" w:hAnsi="宋体" w:eastAsia="仿宋_GB2312" w:cs="仿宋_GB2312"/>
          <w:b/>
          <w:bCs/>
          <w:sz w:val="32"/>
          <w:szCs w:val="32"/>
        </w:rPr>
        <w:t>--</w:t>
      </w:r>
      <w:r>
        <w:rPr>
          <w:rFonts w:hint="eastAsia" w:ascii="宋体" w:hAnsi="宋体" w:eastAsia="仿宋_GB2312" w:cs="仿宋_GB2312"/>
          <w:sz w:val="32"/>
          <w:szCs w:val="32"/>
        </w:rPr>
        <w:t>赏石文化城--梅水园村游客中心。</w:t>
      </w:r>
    </w:p>
    <w:p w14:paraId="06011C38">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（2）时间安排：</w:t>
      </w:r>
      <w:r>
        <w:rPr>
          <w:rFonts w:hint="eastAsia" w:ascii="宋体" w:hAnsi="宋体" w:eastAsia="仿宋_GB2312" w:cs="仿宋_GB2312"/>
          <w:sz w:val="32"/>
          <w:szCs w:val="32"/>
        </w:rPr>
        <w:t>周五下午首班17：00至末班20：00；周六、周日首班08：00至末班20：00；法定节假日期间按双休日方式施行，即放假前一天下午开通。</w:t>
      </w:r>
    </w:p>
    <w:p w14:paraId="23F317D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以上发车时间及趟次均为试行安排，试行一段时间后将适时进行优化调整。</w:t>
      </w:r>
    </w:p>
    <w:p w14:paraId="09A8CCEC">
      <w:pPr>
        <w:spacing w:line="560" w:lineRule="exact"/>
        <w:ind w:left="420" w:leftChars="200"/>
        <w:rPr>
          <w:rFonts w:ascii="宋体" w:hAnsi="宋体" w:eastAsia="黑体" w:cs="黑体"/>
          <w:sz w:val="32"/>
          <w:szCs w:val="32"/>
        </w:rPr>
      </w:pPr>
      <w:r>
        <w:rPr>
          <w:rFonts w:hint="eastAsia" w:ascii="宋体" w:hAnsi="宋体" w:eastAsia="黑体" w:cs="黑体"/>
          <w:sz w:val="32"/>
          <w:szCs w:val="32"/>
        </w:rPr>
        <w:t>三、推行景区免门票政策</w:t>
      </w:r>
    </w:p>
    <w:p w14:paraId="65E6222D">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2E612528">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对所有经我县进入国家4A级景区阳明湖的游客，实行免门票（不含船票）政策。</w:t>
      </w:r>
      <w:r>
        <w:rPr>
          <w:rFonts w:hint="eastAsia" w:ascii="宋体" w:hAnsi="宋体" w:eastAsia="楷体_GB2312" w:cs="楷体_GB2312"/>
          <w:sz w:val="32"/>
          <w:szCs w:val="32"/>
        </w:rPr>
        <w:t>〔责任单位：县犹江实业公司、文广旅局〕</w:t>
      </w:r>
    </w:p>
    <w:p w14:paraId="7643794F">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（二）政策解读</w:t>
      </w:r>
    </w:p>
    <w:p w14:paraId="3EA48DE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阳明湖景区船票价格为40元/人次（含往返和保险），游客可从“森宿上犹”小程序（可对接美团、携程、抖音等线上平台）进行网上购船票，也可到阳明湖景区坝面和碧水湾游客服务中心现场购买船票。</w:t>
      </w:r>
    </w:p>
    <w:p w14:paraId="55A738FE">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（三）政策执行</w:t>
      </w:r>
    </w:p>
    <w:p w14:paraId="60C509A6">
      <w:pPr>
        <w:spacing w:line="560" w:lineRule="exact"/>
        <w:ind w:firstLine="640" w:firstLineChars="200"/>
        <w:rPr>
          <w:rFonts w:ascii="宋体" w:hAnsi="宋体" w:eastAsia="黑体" w:cs="黑体"/>
        </w:rPr>
      </w:pPr>
      <w:r>
        <w:rPr>
          <w:rFonts w:hint="eastAsia" w:ascii="宋体" w:hAnsi="宋体" w:eastAsia="仿宋_GB2312" w:cs="仿宋_GB2312"/>
          <w:sz w:val="32"/>
          <w:szCs w:val="32"/>
        </w:rPr>
        <w:t>对风月岛、民俗风情苑</w:t>
      </w:r>
      <w:r>
        <w:rPr>
          <w:rFonts w:ascii="宋体" w:hAnsi="宋体" w:eastAsia="仿宋_GB2312" w:cs="仿宋_GB2312"/>
          <w:sz w:val="32"/>
          <w:szCs w:val="32"/>
        </w:rPr>
        <w:t>等景点</w:t>
      </w:r>
      <w:r>
        <w:rPr>
          <w:rFonts w:hint="eastAsia" w:ascii="宋体" w:hAnsi="宋体" w:eastAsia="仿宋_GB2312" w:cs="仿宋_GB2312"/>
          <w:sz w:val="32"/>
          <w:szCs w:val="32"/>
        </w:rPr>
        <w:t>按入湖购买船票客流闸机统计游客数给予10元/人次的免申即享资金补助，所需资金从县文旅商贸消费惠企资金池支出。</w:t>
      </w:r>
    </w:p>
    <w:p w14:paraId="3E0D1CCA">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68FDDFF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1.每季度由犹江实业牵头，按入湖购买船票数据比对游客进入每个景点客流闸机数据统计核对上季度入湖游客数量；</w:t>
      </w:r>
    </w:p>
    <w:p w14:paraId="5B0403A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2.犹江实业将资金申请表和经风月岛、民俗风情苑</w:t>
      </w:r>
      <w:r>
        <w:rPr>
          <w:rFonts w:ascii="宋体" w:hAnsi="宋体" w:eastAsia="仿宋_GB2312" w:cs="仿宋_GB2312"/>
          <w:sz w:val="32"/>
          <w:szCs w:val="32"/>
        </w:rPr>
        <w:t>等</w:t>
      </w:r>
      <w:r>
        <w:rPr>
          <w:rFonts w:hint="eastAsia" w:ascii="宋体" w:hAnsi="宋体" w:eastAsia="仿宋_GB2312" w:cs="仿宋_GB2312"/>
          <w:sz w:val="32"/>
          <w:szCs w:val="32"/>
        </w:rPr>
        <w:t>景</w:t>
      </w:r>
      <w:r>
        <w:rPr>
          <w:rFonts w:ascii="宋体" w:hAnsi="宋体" w:eastAsia="仿宋_GB2312" w:cs="仿宋_GB2312"/>
          <w:sz w:val="32"/>
          <w:szCs w:val="32"/>
        </w:rPr>
        <w:t>点</w:t>
      </w:r>
      <w:r>
        <w:rPr>
          <w:rFonts w:hint="eastAsia" w:ascii="宋体" w:hAnsi="宋体" w:eastAsia="仿宋_GB2312" w:cs="仿宋_GB2312"/>
          <w:sz w:val="32"/>
          <w:szCs w:val="32"/>
        </w:rPr>
        <w:t xml:space="preserve">确认无误并盖章的游客数统计佐证材料提交县文广旅局进行审核；  </w:t>
      </w:r>
    </w:p>
    <w:p w14:paraId="09D0D9F4">
      <w:pPr>
        <w:spacing w:line="52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3.审核后报县行政审批局，县行政审批局从惠企资金池中拨付奖补。</w:t>
      </w:r>
    </w:p>
    <w:p w14:paraId="28F813A4">
      <w:pPr>
        <w:numPr>
          <w:ilvl w:val="0"/>
          <w:numId w:val="2"/>
        </w:num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助力企业扩容提质</w:t>
      </w:r>
    </w:p>
    <w:p w14:paraId="5FD9BFB2">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7D511B57">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对年营业收入较上年增长300万元-500万元、500万元以上（上年度营业收入须为正增长）的服务业、批发业和零售业市场主体，分别奖励1万元/家、2万元/家。对年营业收入较上年增长50-100万元、100万元以上（上年度营业收入须为正增长）的住宿业、餐饮业和居民服务业市场主体，分别奖励0.5万元/家、1万元/家。</w:t>
      </w:r>
      <w:r>
        <w:rPr>
          <w:rFonts w:hint="eastAsia" w:ascii="宋体" w:hAnsi="宋体" w:eastAsia="楷体_GB2312" w:cs="楷体_GB2312"/>
          <w:sz w:val="32"/>
          <w:szCs w:val="32"/>
        </w:rPr>
        <w:t>〔责任单位：县商务局、发改委、行政审批局〕</w:t>
      </w:r>
    </w:p>
    <w:p w14:paraId="6E22A5C6">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1920C7DE">
      <w:pPr>
        <w:spacing w:line="560" w:lineRule="exact"/>
        <w:ind w:firstLine="640" w:firstLineChars="200"/>
        <w:rPr>
          <w:rFonts w:ascii="宋体" w:hAnsi="宋体" w:eastAsia="黑体" w:cs="黑体"/>
        </w:rPr>
      </w:pPr>
      <w:r>
        <w:rPr>
          <w:rFonts w:hint="eastAsia" w:ascii="宋体" w:hAnsi="宋体" w:eastAsia="仿宋_GB2312" w:cs="仿宋_GB2312"/>
          <w:sz w:val="32"/>
          <w:szCs w:val="32"/>
        </w:rPr>
        <w:t>符合营业收入增长额要求的商贸和服务业市场主体。</w:t>
      </w:r>
    </w:p>
    <w:p w14:paraId="71D282E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（三）申报资料</w:t>
      </w:r>
    </w:p>
    <w:p w14:paraId="3B252FA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免申即享，市场主体无需提交资料。</w:t>
      </w:r>
    </w:p>
    <w:p w14:paraId="21D34CC6">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18CF8028">
      <w:pPr>
        <w:pStyle w:val="3"/>
        <w:keepNext w:val="0"/>
        <w:keepLines w:val="0"/>
        <w:ind w:firstLine="680"/>
        <w:rPr>
          <w:rFonts w:ascii="宋体" w:hAnsi="宋体" w:eastAsia="仿宋_GB2312" w:cs="仿宋_GB2312"/>
        </w:rPr>
      </w:pPr>
      <w:r>
        <w:rPr>
          <w:rFonts w:hint="eastAsia" w:ascii="宋体" w:hAnsi="宋体" w:eastAsia="仿宋_GB2312" w:cs="仿宋_GB2312"/>
        </w:rPr>
        <w:t>1.县发改委联合统计局对服务业企业进行采数，县商务局联合统计局对批发、零售、住宿、餐饮业企业进行采数;</w:t>
      </w:r>
    </w:p>
    <w:p w14:paraId="7DDCFBDA">
      <w:pPr>
        <w:pStyle w:val="3"/>
        <w:keepNext w:val="0"/>
        <w:keepLines w:val="0"/>
        <w:ind w:firstLine="680"/>
        <w:rPr>
          <w:rFonts w:ascii="宋体" w:hAnsi="宋体" w:eastAsia="仿宋_GB2312" w:cs="仿宋_GB2312"/>
        </w:rPr>
      </w:pPr>
      <w:r>
        <w:rPr>
          <w:rFonts w:hint="eastAsia" w:ascii="宋体" w:hAnsi="宋体" w:eastAsia="仿宋_GB2312" w:cs="仿宋_GB2312"/>
        </w:rPr>
        <w:t>2.县发改委、商务局每年一季度分别对上一年度符合要求的资金申请表和企业补助明细进行审核；</w:t>
      </w:r>
    </w:p>
    <w:p w14:paraId="0F1D0397">
      <w:pPr>
        <w:pStyle w:val="3"/>
        <w:keepNext w:val="0"/>
        <w:keepLines w:val="0"/>
        <w:ind w:firstLine="680"/>
        <w:rPr>
          <w:rFonts w:ascii="宋体" w:hAnsi="宋体" w:eastAsia="仿宋_GB2312" w:cs="仿宋_GB2312"/>
        </w:rPr>
      </w:pPr>
      <w:r>
        <w:rPr>
          <w:rFonts w:hint="eastAsia" w:ascii="宋体" w:hAnsi="宋体" w:eastAsia="仿宋_GB2312" w:cs="仿宋_GB2312"/>
        </w:rPr>
        <w:t>3.审核后报县行政审批局，县行政审批局从惠企资金池中拨付奖补。</w:t>
      </w:r>
    </w:p>
    <w:p w14:paraId="2B98B8F6">
      <w:pPr>
        <w:pStyle w:val="3"/>
        <w:keepNext w:val="0"/>
        <w:keepLines w:val="0"/>
        <w:ind w:firstLine="680"/>
        <w:rPr>
          <w:rFonts w:ascii="宋体" w:hAnsi="宋体"/>
        </w:rPr>
      </w:pPr>
      <w:r>
        <w:rPr>
          <w:rFonts w:hint="eastAsia" w:ascii="宋体" w:hAnsi="宋体"/>
        </w:rPr>
        <w:t>五、促进数字商贸提速</w:t>
      </w:r>
    </w:p>
    <w:p w14:paraId="2C4723A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201FC2A7">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鼓励商业综合体、商业街区、商品交易市场、连锁企业、商圈等转型升级，对搭建统一汇总结算数字消费平台、年营业收入达500万元、1000万元、2000万元的运营企业分别给予20万元、30万元、50万元一次性奖励。鼓励企业入规入统，对首次纳入样本监测且新增了收银系统的市场主体给予一次性设备购买补贴，最高不超过5000元/家。</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责任单位：县商务局、行政审批局</w:t>
      </w:r>
      <w:r>
        <w:rPr>
          <w:rFonts w:hint="eastAsia" w:ascii="宋体" w:hAnsi="宋体" w:eastAsia="楷体_GB2312" w:cs="楷体_GB2312"/>
          <w:sz w:val="32"/>
          <w:szCs w:val="32"/>
        </w:rPr>
        <w:t>〕</w:t>
      </w:r>
    </w:p>
    <w:p w14:paraId="21E5EB2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12DC9C51">
      <w:pPr>
        <w:spacing w:line="560" w:lineRule="exact"/>
        <w:ind w:firstLine="640" w:firstLineChars="200"/>
        <w:rPr>
          <w:rFonts w:ascii="宋体" w:hAnsi="宋体" w:eastAsia="楷体_GB2312" w:cs="楷体_GB2312"/>
          <w:b/>
          <w:bCs/>
        </w:rPr>
      </w:pPr>
      <w:r>
        <w:rPr>
          <w:rFonts w:hint="eastAsia" w:ascii="宋体" w:hAnsi="宋体" w:eastAsia="仿宋_GB2312" w:cs="仿宋_GB2312"/>
          <w:sz w:val="32"/>
          <w:szCs w:val="32"/>
        </w:rPr>
        <w:t>搭建统一汇总结算数字消费平台且符合不同营业收入区间的企业；首次纳入样本监测且新增收银系统的市场主体。</w:t>
      </w:r>
    </w:p>
    <w:p w14:paraId="700F2B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（三）申报资料</w:t>
      </w:r>
    </w:p>
    <w:p w14:paraId="75E16EA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0D0F68B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2.数字消费平台或收银系统购置合同、发票、支付凭证等佐证；</w:t>
      </w:r>
    </w:p>
    <w:p w14:paraId="0ACC194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3.市场主体营业执照复印件（加盖公章）。</w:t>
      </w:r>
    </w:p>
    <w:p w14:paraId="6B70C4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2320ACA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1.符合条件的市场主体向县商务局提交申报材料（数字消费平台由县商务局联合县统计局采数）；  </w:t>
      </w:r>
    </w:p>
    <w:p w14:paraId="4B23A1C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2.县商务局每半年对收到的申报资料进行审核；  </w:t>
      </w:r>
    </w:p>
    <w:p w14:paraId="53B5B60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3.审核后报县行政审批局，县行政审批局从惠企资金池中拨付奖补。  </w:t>
      </w:r>
    </w:p>
    <w:p w14:paraId="25188BC3">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六、打造高品质商圈</w:t>
      </w:r>
    </w:p>
    <w:p w14:paraId="11F1BDFF">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64367615">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支持阳明宿集、笔架山产业园、平富乡燕子岩、五指峰黄沙坑、粮食大院、赛事服务中心、阳明小镇、梦幻奇遇城、园村村打造综合型高品质文旅商圈，新入驻以上特色文旅商圈、符合商圈业态的承租方，可享受第一年免租、第二年免租70%，同时给予店铺内部装修费40%、不超过10万元/家的门店装修补贴（不含阳明宿集自持项目）。对以上特色文旅商圈总经营店铺达到70%以上、集聚效果明显的给予一次性奖励20万元。</w:t>
      </w:r>
      <w:r>
        <w:rPr>
          <w:rFonts w:hint="eastAsia" w:ascii="宋体" w:hAnsi="宋体" w:eastAsia="楷体_GB2312" w:cs="楷体_GB2312"/>
          <w:sz w:val="32"/>
          <w:szCs w:val="32"/>
        </w:rPr>
        <w:t>〔责任单位：县商务局、县文广旅局、市场监管局、行政审批局〕</w:t>
      </w:r>
    </w:p>
    <w:p w14:paraId="3899EE28">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616C4EEA">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1.租金补贴：</w:t>
      </w:r>
      <w:r>
        <w:rPr>
          <w:rFonts w:hint="eastAsia" w:ascii="宋体" w:hAnsi="宋体" w:eastAsia="仿宋_GB2312" w:cs="仿宋_GB2312"/>
          <w:sz w:val="32"/>
          <w:szCs w:val="32"/>
        </w:rPr>
        <w:t>由支持范围内特色文旅商圈运营主体（含国有企业）统一申报；符合条件的承租方无需单独申报，经运营主体认定同意后入驻即享，无需先交后补。</w:t>
      </w:r>
    </w:p>
    <w:p w14:paraId="1FCA8C73">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2.店铺内部装修补贴：</w:t>
      </w:r>
      <w:r>
        <w:rPr>
          <w:rFonts w:hint="eastAsia" w:ascii="宋体" w:hAnsi="宋体" w:eastAsia="仿宋_GB2312" w:cs="仿宋_GB2312"/>
          <w:sz w:val="32"/>
          <w:szCs w:val="32"/>
        </w:rPr>
        <w:t>由入驻支持范围内特色文旅商圈、符合商圈业态且实际投入店铺内部装修费用的承租方申报；国有企业自主装修部分由国企申报（承租方需在装修前10个工作日向县商务局进行申报，并提交装修费用预算。开业后稳定经营3个月拨付核定装修补贴的50%；稳定经营1年后拨付核定装修补贴剩下的50%）。</w:t>
      </w:r>
    </w:p>
    <w:p w14:paraId="6C7C687C">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3.综合型高品质文旅商圈补贴：</w:t>
      </w:r>
      <w:r>
        <w:rPr>
          <w:rFonts w:hint="eastAsia" w:ascii="宋体" w:hAnsi="宋体" w:eastAsia="仿宋_GB2312" w:cs="仿宋_GB2312"/>
          <w:sz w:val="32"/>
          <w:szCs w:val="32"/>
        </w:rPr>
        <w:t>由支持范围内业态结构合理、集聚效果明显、总经营店铺首次达到70%以上的综合型高品质文旅商圈运营主体申报。</w:t>
      </w:r>
    </w:p>
    <w:p w14:paraId="206BFD49">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（三）申报资料</w:t>
      </w:r>
    </w:p>
    <w:p w14:paraId="6FE8594D">
      <w:pPr>
        <w:spacing w:line="560" w:lineRule="exact"/>
        <w:ind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1.租金补贴：</w:t>
      </w:r>
    </w:p>
    <w:p w14:paraId="1A338D3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5DA3FB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（2）新入驻市场主体营业执照、租赁合同及带时间水印的门头及开业运营照片；</w:t>
      </w:r>
    </w:p>
    <w:p w14:paraId="30AFB1E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（3）新入驻市场主体开业后第一季度的收银截图或流水。</w:t>
      </w:r>
    </w:p>
    <w:p w14:paraId="494A8075">
      <w:pPr>
        <w:spacing w:line="560" w:lineRule="exact"/>
        <w:ind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2.店铺内部装修补贴：</w:t>
      </w:r>
    </w:p>
    <w:p w14:paraId="7F1EA31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7BB08CC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（2）店铺装修合同、发票、支付凭证、装修前后对比照片等佐证；</w:t>
      </w:r>
    </w:p>
    <w:p w14:paraId="6403DE2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（3）带时间水印的门头及开业运营照片；</w:t>
      </w:r>
    </w:p>
    <w:p w14:paraId="624AB6E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（4）开业后第一季度或第一年的收银截图或流水（加盖对应经营主体公章）。</w:t>
      </w:r>
    </w:p>
    <w:p w14:paraId="04F52533">
      <w:pPr>
        <w:spacing w:line="560" w:lineRule="exact"/>
        <w:ind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3.综合型高品质文旅商圈：</w:t>
      </w:r>
    </w:p>
    <w:p w14:paraId="4915E02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1BEE483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（2）商圈整体经营情况报告（含入驻店铺数占比、业态分布、经营情况分析及商圈图纸）；</w:t>
      </w:r>
    </w:p>
    <w:p w14:paraId="4E542A6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（3）相关店铺租赁合同、营业执照复印件及带时间水印的门头及开业运营照片（加盖对应经营主体公章）。</w:t>
      </w:r>
    </w:p>
    <w:p w14:paraId="134881C3">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10B07D5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1.符合条件的市场主体向县商务局提交申报材料；  </w:t>
      </w:r>
    </w:p>
    <w:p w14:paraId="7BF4F7C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2.商务局按季度审核申报资料，经市场监管局核对后提交县行政审批局；  </w:t>
      </w:r>
    </w:p>
    <w:p w14:paraId="45B6C870">
      <w:pPr>
        <w:spacing w:line="560" w:lineRule="exact"/>
        <w:ind w:firstLine="640" w:firstLineChars="200"/>
        <w:rPr>
          <w:rFonts w:ascii="宋体" w:hAnsi="宋体" w:eastAsia="楷体_GB2312" w:cs="楷体_GB2312"/>
          <w:b/>
          <w:bCs/>
        </w:rPr>
      </w:pPr>
      <w:r>
        <w:rPr>
          <w:rFonts w:hint="eastAsia" w:ascii="宋体" w:hAnsi="宋体" w:eastAsia="仿宋_GB2312" w:cs="仿宋_GB2312"/>
          <w:sz w:val="32"/>
          <w:szCs w:val="32"/>
        </w:rPr>
        <w:t xml:space="preserve">3.县行政审批局从惠企资金池中拨付奖补。  </w:t>
      </w:r>
    </w:p>
    <w:p w14:paraId="14F78FC4">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七、支持首店经济入驻</w:t>
      </w:r>
    </w:p>
    <w:p w14:paraId="08B510C8">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B86E811">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支持知名品牌、连锁品牌及其授权代理商在我县开设上犹首店、潮牌（旗舰店、概念店、新业态店等同）并依法办理登记注册，在实际经营满半年后给予一次性入驻支持10万元。其中国际连锁品牌、国内头部品牌可采取“一事一议”方式确定支持标准。</w:t>
      </w:r>
      <w:r>
        <w:rPr>
          <w:rFonts w:hint="eastAsia" w:ascii="宋体" w:hAnsi="宋体" w:eastAsia="楷体_GB2312" w:cs="楷体_GB2312"/>
          <w:sz w:val="32"/>
          <w:szCs w:val="32"/>
        </w:rPr>
        <w:t>〔责任单位：县商务局、县文广旅局、市场监管局、行政审批局〕</w:t>
      </w:r>
    </w:p>
    <w:p w14:paraId="01159316">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4D5C77A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对在我县依法办理登记注册，开业后合法经营满半年以上，经认定为上犹首店、潮牌的法人企业。</w:t>
      </w:r>
    </w:p>
    <w:p w14:paraId="53ECD33C">
      <w:pPr>
        <w:spacing w:line="560" w:lineRule="exact"/>
        <w:ind w:firstLine="640" w:firstLineChars="200"/>
        <w:rPr>
          <w:rFonts w:ascii="宋体" w:hAnsi="宋体" w:eastAsia="仿宋_GB2312" w:cs="仿宋_GB2312"/>
          <w:sz w:val="32"/>
          <w:szCs w:val="32"/>
        </w:rPr>
      </w:pPr>
      <w:r>
        <w:rPr>
          <w:rFonts w:ascii="宋体" w:hAnsi="宋体" w:eastAsia="仿宋_GB2312" w:cs="仿宋_GB2312"/>
          <w:sz w:val="32"/>
          <w:szCs w:val="32"/>
        </w:rPr>
        <w:t>应具备如下条件:须拥有商标及品牌的所有权或使用权;品牌原则上已运营三年及以上，美誉度高，属于在行业内具有一定影响力和代表性;入驻</w:t>
      </w:r>
      <w:r>
        <w:rPr>
          <w:rFonts w:hint="eastAsia" w:ascii="宋体" w:hAnsi="宋体" w:eastAsia="仿宋_GB2312" w:cs="仿宋_GB2312"/>
          <w:sz w:val="32"/>
          <w:szCs w:val="32"/>
        </w:rPr>
        <w:t>我县重点商业</w:t>
      </w:r>
      <w:r>
        <w:rPr>
          <w:rFonts w:ascii="宋体" w:hAnsi="宋体" w:eastAsia="仿宋_GB2312" w:cs="仿宋_GB2312"/>
          <w:sz w:val="32"/>
          <w:szCs w:val="32"/>
        </w:rPr>
        <w:t>街区、重点商圈(综合体)和业态提升重点片区等区域。</w:t>
      </w:r>
    </w:p>
    <w:p w14:paraId="5D6B830C">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（三）相关概念说明</w:t>
      </w:r>
    </w:p>
    <w:p w14:paraId="7ED1A79B">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1.国际知名品牌、国内头部品牌:</w:t>
      </w:r>
      <w:r>
        <w:rPr>
          <w:rFonts w:hint="eastAsia" w:ascii="宋体" w:hAnsi="宋体" w:eastAsia="仿宋_GB2312" w:cs="仿宋_GB2312"/>
          <w:sz w:val="32"/>
          <w:szCs w:val="32"/>
        </w:rPr>
        <w:t>(1)原则上须入选以下权威机构或单位发布的品牌榜单之一(近5年即可，包含但不限于):世界品牌实验室发布的《世界品牌500强榜单》;美国《财富》杂志发布的《世界500强》;胡润研究院发布的《胡润品牌榜》;德勤发布的《全球奢侈品力量排行榜》品牌金融发布的《全球最有价值零售品牌榜》;LA LISTE发布的《全球最佳餐厅》《全球最佳酒店》;米其林发布的《米其林餐厅》星级餐厅，不含必比登推荐餐厅及指南入选餐厅，并获得全国性媒体平台或知名时尚媒体(包括但不限于:21世纪经济报道、中国商报、每日经济新闻、第一财经、新周刊、联商网、赢商网、Vogue、时尚COSM0、时尚芭莎、TMagazine、BLLE世界时装之苑、GQ、嘉人、B0F等等)对该品牌宣传5次以上。(2)在2个(含)以上全球知名消费城市(纽约、洛杉矶、伦敦、巴黎、米兰、迪拜、日内瓦、苏黎世、都柏林、哥本哈根、悉尼、东京、中国香港、新加坡、首尔)开设2家(含)以上实体门店，并获得全国性媒体平台或知名时尚媒体对该品牌宣传5次以上。(3)品牌在赣州市市以外的3个(含)以上省会城市或副省级城市(及以上)开设3家(含)以上实体门店，并获得全国性媒体平台或知名时尚媒体对该品牌宣传5次以上；(以上条件满足其一即可)</w:t>
      </w:r>
    </w:p>
    <w:p w14:paraId="35ED4BB2">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2.国内知名品牌、连锁品牌:</w:t>
      </w:r>
      <w:r>
        <w:rPr>
          <w:rFonts w:hint="eastAsia" w:ascii="宋体" w:hAnsi="宋体" w:eastAsia="仿宋_GB2312" w:cs="仿宋_GB2312"/>
          <w:sz w:val="32"/>
          <w:szCs w:val="32"/>
        </w:rPr>
        <w:t>(1)原则上须入选以下权威机构或单位发布的品牌榜单之一(近5年即可，包含但不限于):中国企业联合会、中国企业家协会发布的《中国服务业企业500强榜单》;中国连锁经营协会发布的《中国时尚零售百强榜单》《中国特许连锁百强榜单》《中国超市百强榜单》;胡润研究院发布的《中国瞪羚企业榜》《中国最具历史文化底蕴品牌榜》《胡润中国餐饮连锁企业投资价值榜》;品牌联盟发布的《中国品牌500强》;赢商网发布的《季度热搜品牌榜》《年度中国领军品牌百强榜》《年度新兴品牌百强榜》美团发布的《黑珍珠餐厅指南》。(2)商务部发布的中华老字号名单，各省发布的省级老字号名单。(3)我县自主生产、创建或重点扶持品牌。</w:t>
      </w:r>
    </w:p>
    <w:p w14:paraId="75F377E8">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3.首店认定:</w:t>
      </w:r>
      <w:r>
        <w:rPr>
          <w:rFonts w:hint="eastAsia" w:ascii="宋体" w:hAnsi="宋体" w:eastAsia="仿宋_GB2312" w:cs="仿宋_GB2312"/>
          <w:sz w:val="32"/>
          <w:szCs w:val="32"/>
        </w:rPr>
        <w:t>商业品牌同类型门店在上犹首次开业经营，开业时间以品牌首店实际开业时间为准。若品牌撤出上犹市场后，品牌同类型门店重回上犹市场的不算作首店。非法人企业的品牌门店转为企业法人，传统门店（标准店）改造升级为旗舰首店或品牌首店视为开业。</w:t>
      </w:r>
    </w:p>
    <w:p w14:paraId="336346AB">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（四）申报资料</w:t>
      </w:r>
    </w:p>
    <w:p w14:paraId="62B9EF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358C97FF">
      <w:pPr>
        <w:pStyle w:val="9"/>
        <w:spacing w:before="0" w:beforeAutospacing="0" w:after="0" w:afterAutospacing="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w:t>
      </w:r>
      <w:r>
        <w:rPr>
          <w:rFonts w:ascii="宋体" w:hAnsi="宋体" w:eastAsia="仿宋_GB2312" w:cs="仿宋_GB2312"/>
          <w:sz w:val="32"/>
          <w:szCs w:val="32"/>
        </w:rPr>
        <w:t>注册商标、品牌发展历程介绍</w:t>
      </w:r>
      <w:r>
        <w:rPr>
          <w:rFonts w:hint="eastAsia" w:ascii="宋体" w:hAnsi="宋体" w:eastAsia="仿宋_GB2312" w:cs="仿宋_GB2312"/>
          <w:sz w:val="32"/>
          <w:szCs w:val="32"/>
        </w:rPr>
        <w:t>（入选相关榜单的需附截图证明）</w:t>
      </w:r>
      <w:r>
        <w:rPr>
          <w:rFonts w:ascii="宋体" w:hAnsi="宋体" w:eastAsia="仿宋_GB2312" w:cs="仿宋_GB2312"/>
          <w:sz w:val="32"/>
          <w:szCs w:val="32"/>
        </w:rPr>
        <w:t>；</w:t>
      </w:r>
    </w:p>
    <w:p w14:paraId="5FAA3B86">
      <w:pPr>
        <w:pStyle w:val="9"/>
        <w:spacing w:before="0" w:beforeAutospacing="0" w:after="0" w:afterAutospacing="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w:t>
      </w:r>
      <w:r>
        <w:rPr>
          <w:rFonts w:ascii="宋体" w:hAnsi="宋体" w:eastAsia="仿宋_GB2312" w:cs="仿宋_GB2312"/>
          <w:sz w:val="32"/>
          <w:szCs w:val="32"/>
        </w:rPr>
        <w:t>品牌商授权证明；</w:t>
      </w:r>
    </w:p>
    <w:p w14:paraId="19CFC0A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4.品牌企业（申报主体）的营业执照和法定代表人身份证或护照复印件；</w:t>
      </w:r>
    </w:p>
    <w:p w14:paraId="23FAAEB0">
      <w:pPr>
        <w:pStyle w:val="9"/>
        <w:spacing w:before="0" w:beforeAutospacing="0" w:after="0" w:afterAutospacing="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5.品牌企业（申报主体）与商业设施主体签订的租赁协议（含商户楼层门牌号、经营面积、合作年限、租约信息等），自有产权提供产权证明；</w:t>
      </w:r>
    </w:p>
    <w:p w14:paraId="6E7C7C0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w:t>
      </w:r>
      <w:r>
        <w:rPr>
          <w:rFonts w:ascii="宋体" w:hAnsi="宋体" w:eastAsia="仿宋_GB2312" w:cs="仿宋_GB2312"/>
          <w:sz w:val="32"/>
          <w:szCs w:val="32"/>
        </w:rPr>
        <w:t>企业经营情况证明材料（</w:t>
      </w:r>
      <w:r>
        <w:rPr>
          <w:rFonts w:hint="eastAsia" w:ascii="宋体" w:hAnsi="宋体" w:eastAsia="仿宋_GB2312" w:cs="仿宋_GB2312"/>
          <w:sz w:val="32"/>
          <w:szCs w:val="32"/>
        </w:rPr>
        <w:t>带时间水印的开业照片，经营环境实景照片，</w:t>
      </w:r>
      <w:r>
        <w:rPr>
          <w:rFonts w:ascii="宋体" w:hAnsi="宋体" w:eastAsia="仿宋_GB2312" w:cs="仿宋_GB2312"/>
          <w:sz w:val="32"/>
          <w:szCs w:val="32"/>
        </w:rPr>
        <w:t>近</w:t>
      </w:r>
      <w:r>
        <w:rPr>
          <w:rFonts w:hint="eastAsia" w:ascii="宋体" w:hAnsi="宋体" w:eastAsia="仿宋_GB2312" w:cs="仿宋_GB2312"/>
          <w:sz w:val="32"/>
          <w:szCs w:val="32"/>
        </w:rPr>
        <w:t>半</w:t>
      </w:r>
      <w:r>
        <w:rPr>
          <w:rFonts w:ascii="宋体" w:hAnsi="宋体" w:eastAsia="仿宋_GB2312" w:cs="仿宋_GB2312"/>
          <w:sz w:val="32"/>
          <w:szCs w:val="32"/>
        </w:rPr>
        <w:t>年的纳税申报表或</w:t>
      </w:r>
      <w:r>
        <w:rPr>
          <w:rFonts w:hint="eastAsia" w:ascii="宋体" w:hAnsi="宋体" w:eastAsia="仿宋_GB2312" w:cs="仿宋_GB2312"/>
          <w:sz w:val="32"/>
          <w:szCs w:val="32"/>
        </w:rPr>
        <w:t>收银截图、</w:t>
      </w:r>
      <w:r>
        <w:rPr>
          <w:rFonts w:ascii="宋体" w:hAnsi="宋体" w:eastAsia="仿宋_GB2312" w:cs="仿宋_GB2312"/>
          <w:sz w:val="32"/>
          <w:szCs w:val="32"/>
        </w:rPr>
        <w:t>统计报表等）；</w:t>
      </w:r>
    </w:p>
    <w:p w14:paraId="5ADD84D7">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（五）申报流程</w:t>
      </w:r>
    </w:p>
    <w:p w14:paraId="5E8E789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1.符合条件的市场主体向县商务局提交申报材料；  </w:t>
      </w:r>
    </w:p>
    <w:p w14:paraId="18992C2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2.商务局每半年汇总审核申报资料，经市场监管局核对后提交县行政审批局；  </w:t>
      </w:r>
    </w:p>
    <w:p w14:paraId="664E612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3.县行政审批局从惠企资金池中拨付奖补。 </w:t>
      </w:r>
    </w:p>
    <w:p w14:paraId="3C586BAA">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八、持续加大消费促销刺激</w:t>
      </w:r>
    </w:p>
    <w:p w14:paraId="2892896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B8C1590">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积极营造应季消费热潮，在2025年、2026年连续两年在“春节”、“五一”和“国庆”假期，由县级统筹通过“森宿上犹”小程序各发放100万元文旅商贸电子消费券，刺激撬动旅游景区（点）、住宿餐饮、文体娱乐、商贸等行业消费。</w:t>
      </w:r>
      <w:r>
        <w:rPr>
          <w:rFonts w:hint="eastAsia" w:ascii="宋体" w:hAnsi="宋体" w:eastAsia="楷体_GB2312" w:cs="楷体_GB2312"/>
          <w:sz w:val="32"/>
          <w:szCs w:val="32"/>
        </w:rPr>
        <w:t>〔责任单位：县犹江实业公司、文广旅局、商务局、市场监管局〕</w:t>
      </w:r>
    </w:p>
    <w:p w14:paraId="41DCF603">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（二）政策执行</w:t>
      </w:r>
    </w:p>
    <w:p w14:paraId="3D58B475">
      <w:pPr>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春节”、“五一”和“国庆”假期前由县犹江实业公司牵头，与县商务局、文广旅局共同制定消费券发放方案，由县商务局报县政府审定后执行。所需资金从县文旅商贸消费惠企资金池支出，消费券活动开始前由县财政局从惠企资金池将费用拨付至上犹犹江赛事运营公司账户，后由上犹犹江赛事运营公司将消费券资金支付给各消费券参与商家。</w:t>
      </w:r>
    </w:p>
    <w:p w14:paraId="7AFB2576">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九、鼓励文旅赛事活动营销引流</w:t>
      </w:r>
    </w:p>
    <w:p w14:paraId="17462180">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732560AE">
      <w:pPr>
        <w:spacing w:line="560" w:lineRule="exact"/>
        <w:ind w:firstLine="640" w:firstLineChars="200"/>
        <w:rPr>
          <w:rFonts w:ascii="宋体" w:hAnsi="宋体" w:eastAsia="楷体_GB2312" w:cs="楷体_GB2312"/>
          <w:b/>
          <w:bCs/>
          <w:sz w:val="32"/>
          <w:szCs w:val="32"/>
        </w:rPr>
      </w:pPr>
      <w:bookmarkStart w:id="0" w:name="OLE_LINK2"/>
      <w:r>
        <w:rPr>
          <w:rFonts w:hint="eastAsia" w:ascii="宋体" w:hAnsi="宋体" w:eastAsia="仿宋_GB2312" w:cs="仿宋_GB2312"/>
          <w:sz w:val="32"/>
          <w:szCs w:val="32"/>
        </w:rPr>
        <w:t>对由乡(镇)或文旅体企业牵头组织主办，利用当地民俗和特色文旅资源、产品，举办节庆营销或文旅赛事消费活动，单场次活动总投入5万元以上（含5万元）的，按总投入（文旅活动针对美陈物料、展位、舞台搭建、演艺等，赛事活动针对赛事工作人员薪酬、赛事物料、奖品奖金、媒体宣传、工作人员食宿交通、县外运动员县内交通等）的50%给予一次性奖补，单场次活动最高奖补不超过30万元，每年累计奖补不超过300万元，按活动报备及实际举办时间先后顺序奖补完为止。</w:t>
      </w:r>
      <w:r>
        <w:rPr>
          <w:rFonts w:hint="eastAsia" w:ascii="宋体" w:hAnsi="宋体" w:eastAsia="楷体_GB2312" w:cs="楷体_GB2312"/>
          <w:sz w:val="32"/>
          <w:szCs w:val="32"/>
        </w:rPr>
        <w:t>〔责任单位：县文广旅局、教体局、行政审批局〕</w:t>
      </w:r>
    </w:p>
    <w:p w14:paraId="2300630D">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7F6612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文旅体企业和各乡（镇）</w:t>
      </w:r>
    </w:p>
    <w:p w14:paraId="26C3C63C">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0735C67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5CC350F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2.营业执照、法人代表身份证复印件；</w:t>
      </w:r>
    </w:p>
    <w:p w14:paraId="53CBA5C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3.县级文旅或教体主管部门同意后的报批表；</w:t>
      </w:r>
    </w:p>
    <w:p w14:paraId="728EA9B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活动执行落地方案及预算、相关支出税务发票（文旅活动针对美陈物料、展位、舞台搭建、演艺等，赛事活动针对赛事工作人员薪酬、赛事物料、奖品奖金、媒体宣传、工作人员食宿交通、县外运动员县内交通等）；</w:t>
      </w:r>
    </w:p>
    <w:p w14:paraId="6284811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5.活动结束并验收后的结算清单（含每项实物有时间、地点的水印照片）；</w:t>
      </w:r>
    </w:p>
    <w:p w14:paraId="221F9E8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6.活动现场含时间、地点的水印照片（不少于5张）。</w:t>
      </w:r>
    </w:p>
    <w:p w14:paraId="10225FC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bookmarkEnd w:id="0"/>
    <w:p w14:paraId="0EA7F55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1.申报主体在活动举办日提前10个工作日向县级文旅或教体主管部门报批，同意后方可享受奖补，报批资料包括活动执行落地方案以及预算等；</w:t>
      </w:r>
    </w:p>
    <w:p w14:paraId="77C8C93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2.活动结束后，由申报主体组织验收并编制结算清单；</w:t>
      </w:r>
    </w:p>
    <w:p w14:paraId="7BE22A6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符合条件的申报主体将申报资料提交县文旅或教体部门进行审核（文旅活动由县文旅部门组织审核，赛事活动由县教体部门组织审核），结算金额超过预算金额的，按不高于预算金额的审定金额按比例给予奖补；</w:t>
      </w:r>
    </w:p>
    <w:p w14:paraId="51A6CC3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4.审核后报县行政审批局，县行政审批局从惠企资金池中拨付奖补。（赛事活动与《上犹县赛事经济扶持奖励办法（试行）》政策不重复奖补，符合奖补条件的只能选取一项政策享受奖补）</w:t>
      </w:r>
    </w:p>
    <w:p w14:paraId="21CB5081">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十、支持民宿集聚区培育业态</w:t>
      </w:r>
    </w:p>
    <w:p w14:paraId="3C425387">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03A1A8B3">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鼓励支持民宿集聚区（《上犹县民宿集聚区高质量发展扶持奖励办法（试行）》明确范围内）民宿企业结合自身实际，加大游乐体验产品供给，对新开发的户外拓展、文化体验、亲子乐园、无动力儿童乐园、艺术和手工艺品制作、咖啡酒吧、文创商店等业态（项目开工前，需由所在乡（镇）进行初审，再报县推进文旅产业高质量发展工作领导小组办公室组织相关单位进行联勘联审同意），实际投入金额达100万元（含）以上且实现对外正常营业的，按照业态实际投入（针对主体工程建设、内外部装修、固定设施设备等）金额的40%给予一次性奖补，单个企业奖补金额不超过300万元。实际投入金额以第三方审计评估机构出具的验资评估报告为准。</w:t>
      </w:r>
      <w:r>
        <w:rPr>
          <w:rFonts w:hint="eastAsia" w:ascii="宋体" w:hAnsi="宋体" w:eastAsia="楷体_GB2312" w:cs="楷体_GB2312"/>
          <w:sz w:val="32"/>
          <w:szCs w:val="32"/>
        </w:rPr>
        <w:t>〔责任单位：县文广旅局、自然资源局、林业局、水利局、行政审批局、各相关乡（镇）〕</w:t>
      </w:r>
    </w:p>
    <w:p w14:paraId="014A74CF">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049DF550">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民宿集聚区（《上犹县民宿集聚区高质量发展扶持奖励办法（试行）》明确范围内）内的民宿企业。（与《上犹县民宿集聚区高质量发展扶持奖励办法（试行）》新开业的餐饮、购物等关联业态内部装修奖补政策不重复奖补）</w:t>
      </w:r>
    </w:p>
    <w:p w14:paraId="59CE9F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1457F16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1.资金奖补申请表（参照上犹县民宿集聚区项目扶持奖励申请表）；</w:t>
      </w:r>
    </w:p>
    <w:p w14:paraId="4855B87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2.联勘联审部门盖章同意实施的联勘联审表；</w:t>
      </w:r>
    </w:p>
    <w:p w14:paraId="18C5432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3.项目竣工结算书；</w:t>
      </w:r>
    </w:p>
    <w:p w14:paraId="34E8DDF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4.第三方结算审核机构出具的结算审核报告；</w:t>
      </w:r>
    </w:p>
    <w:p w14:paraId="1D4E0F5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5.民宿企业营业执照、法人身份证复印件，项目施工合同和采购合同复印件；</w:t>
      </w:r>
    </w:p>
    <w:p w14:paraId="193851F0">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6.业态项目规划整体及局部效果图（不少于5张）、建设前后带时间和地点水印的对比照片（内、外部各不少于5张）。</w:t>
      </w:r>
    </w:p>
    <w:p w14:paraId="06CC6BE6">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0473D6C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1.申报主体在业态项目开工前，向所在乡（镇）提请初审，由乡（镇）进行初审；</w:t>
      </w:r>
    </w:p>
    <w:p w14:paraId="45DBDB4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2.初审同意后由县推进文旅产业高质量发展工作领导小组办公室组织县自然资源、林业、水利、文旅等部门进行联勘联审同意后方可开工建设；</w:t>
      </w:r>
    </w:p>
    <w:p w14:paraId="2F6B9A2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3.项目竣工后，由民宿企业提交竣工结算书至县文旅产业办，由县文旅产业办聘请第三方结算审核机构进行结算审核，并出具结算审核报告；</w:t>
      </w:r>
    </w:p>
    <w:p w14:paraId="6504FD9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4.符合条件的申报主体将申报资料提交至县文旅产业办进行审核；</w:t>
      </w:r>
    </w:p>
    <w:p w14:paraId="6659304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5.审核后报县行政审批局，县行政审批局从惠企资金池中拨付奖补。</w:t>
      </w:r>
    </w:p>
    <w:p w14:paraId="69D3786E">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十一、鼓励酒店民宿“引客留客”</w:t>
      </w:r>
    </w:p>
    <w:p w14:paraId="3794631E">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081F1469">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鼓励支持酒店民宿市场主体积极自主开拓团建、年会、展会、会议、培训、研学市场，对单次接待县外企事业单位、社会机构在酒店民宿开展相关活动（不含旅行社组织）达30人（含30人）以上，在本酒店民宿入住一晚（含一晚）以上的，按100元/间客房标准给予一次性奖补（对确有违法或服务质量问题引起消费者投诉、造成不良影响的取消该次接待住宿奖补），每年累计奖补不超过200万元，按接待时间先后顺序奖补完为止。</w:t>
      </w:r>
      <w:r>
        <w:rPr>
          <w:rFonts w:hint="eastAsia" w:ascii="宋体" w:hAnsi="宋体" w:eastAsia="楷体_GB2312" w:cs="楷体_GB2312"/>
          <w:sz w:val="32"/>
          <w:szCs w:val="32"/>
        </w:rPr>
        <w:t>〔责任单位：县文广旅局、商务局、行政审批局〕</w:t>
      </w:r>
    </w:p>
    <w:p w14:paraId="79E7B1E8">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0BAAA83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酒店民宿市场主体。</w:t>
      </w:r>
    </w:p>
    <w:p w14:paraId="33CD8243">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5B4069B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1BF4FF6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2.酒店民宿企业营业执照及法人身份证复印件；</w:t>
      </w:r>
    </w:p>
    <w:p w14:paraId="49EA2E0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3.加盖县外企事业单位、社会机构公章的预订单（含预定事由以及预定时间、人数、客房数）；</w:t>
      </w:r>
    </w:p>
    <w:p w14:paraId="0461AB3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4.支付凭证（含餐饮、住宿、会务培训等发票）、入住流水清单（含住客姓名、房号以及入住时间）；</w:t>
      </w:r>
    </w:p>
    <w:p w14:paraId="77EF7579">
      <w:pPr>
        <w:spacing w:line="560" w:lineRule="exact"/>
        <w:ind w:firstLine="640" w:firstLineChars="200"/>
        <w:rPr>
          <w:rFonts w:ascii="宋体" w:hAnsi="宋体" w:eastAsia="仿宋_GB2312" w:cs="仿宋_GB2312"/>
          <w:b/>
          <w:bCs/>
          <w:sz w:val="32"/>
          <w:szCs w:val="32"/>
        </w:rPr>
      </w:pPr>
      <w:r>
        <w:rPr>
          <w:rFonts w:hint="eastAsia" w:ascii="宋体" w:hAnsi="宋体" w:eastAsia="仿宋_GB2312" w:cs="仿宋_GB2312"/>
          <w:sz w:val="32"/>
          <w:szCs w:val="32"/>
        </w:rPr>
        <w:t>5.酒店民宿开展相关活动含时间、地点水印照片（不少于2张）。</w:t>
      </w:r>
    </w:p>
    <w:p w14:paraId="0C30C8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0D8D6C8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1.符合条件的申报主体以月为单位，每月10日前向县级文旅部门提供申报资料申报上个月奖补资金，由旅行社组织的团队不给予奖补。</w:t>
      </w:r>
    </w:p>
    <w:p w14:paraId="4D57176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2.县文旅局、商务局进行审核；</w:t>
      </w:r>
    </w:p>
    <w:p w14:paraId="5B5D2FA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3.审核后报县行政审批局，县行政审批局从惠企资金池中拨付奖补。</w:t>
      </w:r>
    </w:p>
    <w:p w14:paraId="595F8446">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十二、促进演艺经济发展</w:t>
      </w:r>
    </w:p>
    <w:p w14:paraId="489BAF9A">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4BDE990D">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鼓励支持演艺机构在上犹县境内组织举办演唱会、音乐节，售票规模3000人次以上且售票收入不低于60万元的，奖补30万元；售票规模2000人次以上且售票收入不低于40万元的，奖补15万元；售票规模1000人次以上且售票收入不低于20万元的，奖补10万元。以上奖补按“就高不重复”原则给予一次性奖补。</w:t>
      </w:r>
      <w:r>
        <w:rPr>
          <w:rFonts w:hint="eastAsia" w:ascii="宋体" w:hAnsi="宋体" w:eastAsia="楷体_GB2312" w:cs="楷体_GB2312"/>
          <w:sz w:val="32"/>
          <w:szCs w:val="32"/>
        </w:rPr>
        <w:t>〔责任单位：县文广旅局、犹江实业公司、行政审批局〕</w:t>
      </w:r>
    </w:p>
    <w:p w14:paraId="3E32C660">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40FA22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在县内组织举办演唱会、音乐节的演艺机构。</w:t>
      </w:r>
    </w:p>
    <w:p w14:paraId="0485340D">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62EDBE6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5088516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2.演艺机构相关证件复印件（营业执照、营业性演出许可证、法人身份证）；</w:t>
      </w:r>
    </w:p>
    <w:p w14:paraId="145A7E9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3.县行政审批部门营业性演出活动许可相关手续；</w:t>
      </w:r>
    </w:p>
    <w:p w14:paraId="6AAB8AD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4.向县文旅和公安等部门报备的相关手续；</w:t>
      </w:r>
    </w:p>
    <w:p w14:paraId="5E788ED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5.票务销售相关证明（售票人数以及种类、收款流水等）、县内演艺场所租赁合同；</w:t>
      </w:r>
    </w:p>
    <w:p w14:paraId="12142E4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6.活动现场含时间、地点水印照片（不少于5张）。</w:t>
      </w:r>
    </w:p>
    <w:p w14:paraId="7CC93F3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4FEC533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1.申报主体在县行政审批部门取得的营业性演出活动许可；</w:t>
      </w:r>
    </w:p>
    <w:p w14:paraId="75045FF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2.活动举办日提前15天向县级文旅、公安等部门报备；</w:t>
      </w:r>
    </w:p>
    <w:p w14:paraId="7BB505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3.活动结束后，符合条件申报主体将申报资料提交至县文旅局进行审核；</w:t>
      </w:r>
    </w:p>
    <w:p w14:paraId="4C2FB3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4.审核后报县行政审批局，县行政审批局从惠企资金池中拨付奖补。</w:t>
      </w:r>
    </w:p>
    <w:p w14:paraId="2F2EC7CB">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十三、加大文创产品研发推广</w:t>
      </w:r>
    </w:p>
    <w:p w14:paraId="48E7F88F">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205EF230">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鼓励文旅企业研发上犹主题文创产品，对新研发且拥有自主知识产权或商标使用权的文创产品，给予一次性1万元奖励。对经县文旅主管部门推荐，在国家级赛事获评金奖、银奖、铜奖的文创产品生产企业，每个奖项分别给予10万元、8万元、5万元一次性奖励；在省级赛事获评金奖、银奖、铜奖的文创产品生产企业，每个奖项分别给予5万元、3万元、1万元一次性奖励。</w:t>
      </w:r>
      <w:r>
        <w:rPr>
          <w:rFonts w:hint="eastAsia" w:ascii="宋体" w:hAnsi="宋体" w:eastAsia="楷体_GB2312" w:cs="楷体_GB2312"/>
          <w:sz w:val="32"/>
          <w:szCs w:val="32"/>
        </w:rPr>
        <w:t>〔责任单位：县文广旅局、犹江实业公司、行政审批局〕</w:t>
      </w:r>
    </w:p>
    <w:p w14:paraId="56580DE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6EFBD35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文旅企业。</w:t>
      </w:r>
    </w:p>
    <w:p w14:paraId="3F4FB202">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3F61863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3D91000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2.企业营业执照、法人代表身份证复印件；</w:t>
      </w:r>
    </w:p>
    <w:p w14:paraId="4F6BB92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3.新研发文创产品自主知识产权或商标使用权证书；</w:t>
      </w:r>
    </w:p>
    <w:p w14:paraId="08C68DD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4.在国家级、省级赛事中获金奖、银奖、铜奖的正式文件或获奖证书。</w:t>
      </w:r>
    </w:p>
    <w:p w14:paraId="4DD6BD21">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2EA63E3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1.符合条件的申报主体将申报资料提交至县文旅局进行审核；</w:t>
      </w:r>
    </w:p>
    <w:p w14:paraId="2E55851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2.审核后报县行政审批局，县行政审批局从惠企资金池中拨付奖补。</w:t>
      </w:r>
    </w:p>
    <w:p w14:paraId="76A8F18D">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十四、支持参加展销展会宣传推介</w:t>
      </w:r>
    </w:p>
    <w:p w14:paraId="35BC88C1">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595B7ECB">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对经县级文旅、农业或商务主管部门同意，参加国家级、省级、市级或具有重要影响力的区域性旅游及消费品投资洽谈、商品博览、展览展销会的企业，给予展位费、人员费全额支持，给予布展费（含展品运输费）实际投入的40%支持，每个企业同一个展会最高支持不超过20万元。（按“就高不就低”的原则，同一活动若享受了省、市政策，本政策按县级标准进行补差。）</w:t>
      </w:r>
      <w:r>
        <w:rPr>
          <w:rFonts w:hint="eastAsia" w:ascii="宋体" w:hAnsi="宋体" w:eastAsia="楷体_GB2312" w:cs="楷体_GB2312"/>
          <w:sz w:val="32"/>
          <w:szCs w:val="32"/>
        </w:rPr>
        <w:t>〔责任单位：县文广旅局、农业农村局、商务局、行政审批局〕</w:t>
      </w:r>
    </w:p>
    <w:p w14:paraId="3BC4D87A">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4F1F91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参展企业。</w:t>
      </w:r>
    </w:p>
    <w:p w14:paraId="4EC58BE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2EE3D45F">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1.资金奖补申请表；</w:t>
      </w:r>
    </w:p>
    <w:p w14:paraId="7F7494A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2.县级文旅、农业或商务部门同意参加的相关证明、上级部门举办相关宣传推介活动的正式文件；</w:t>
      </w:r>
    </w:p>
    <w:p w14:paraId="368564B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3.参会企业营业执照、法人身份证复印件；</w:t>
      </w:r>
    </w:p>
    <w:p w14:paraId="66A4FC3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4.展位费以及人员费（指往返交通费、住宿费）支付凭证、布展费相关支付凭证；</w:t>
      </w:r>
    </w:p>
    <w:p w14:paraId="4015098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5.本企业宣传推介现场展位水印照片不少于5张（含时间、地点）等其它可以佐证的证明材料。</w:t>
      </w:r>
    </w:p>
    <w:p w14:paraId="7B29EB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5F34A17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1.申报主体参加相关宣传推介前，提前向县级文旅、农业或商务主管部门报批，同意后方可享受奖补；</w:t>
      </w:r>
    </w:p>
    <w:p w14:paraId="027A698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2.活动结束后，符合条件的申报主体将申报资料提交至县文旅、农业或商务部门进行审核；</w:t>
      </w:r>
    </w:p>
    <w:p w14:paraId="066A013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3.审核后报县行政审批局，县行政审批局从惠企资金池中拨付奖补。</w:t>
      </w:r>
    </w:p>
    <w:p w14:paraId="0004DB2D">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十五、品牌创评奖励</w:t>
      </w:r>
    </w:p>
    <w:p w14:paraId="0B01D120">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A6F86A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（1）对新评定的国家A级旅游景区（点）一次性给予奖励，具体标准为：5A级300万元、4A级60万元、3A级40万元。</w:t>
      </w:r>
    </w:p>
    <w:p w14:paraId="74223C8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（2）对新评定的旅游度假区一次性给予奖励，具体标准为：国家级200万元、省级50万元。</w:t>
      </w:r>
    </w:p>
    <w:p w14:paraId="57E3AE9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以上所有品牌创评奖励均不含上级奖励资金。</w:t>
      </w:r>
    </w:p>
    <w:p w14:paraId="3BB49BE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4308BF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文旅企业或景区、度假区。</w:t>
      </w:r>
    </w:p>
    <w:p w14:paraId="0C942D1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078A5D5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0F69D32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2.上级印发的有关创评成功的文件。</w:t>
      </w:r>
    </w:p>
    <w:p w14:paraId="171796F1">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01FDCBB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1.创评成功后，符合条件的申报主体将申报资料提交至县文旅局进行审核；</w:t>
      </w:r>
    </w:p>
    <w:p w14:paraId="2FEED9A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2.审核后报县行政审批局，县行政审批局从惠企资金中拨付奖补。</w:t>
      </w:r>
    </w:p>
    <w:p w14:paraId="31868535">
      <w:pPr>
        <w:spacing w:line="560" w:lineRule="exact"/>
        <w:rPr>
          <w:rFonts w:ascii="宋体" w:hAnsi="宋体" w:eastAsia="黑体" w:cs="黑体"/>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2E92791">
      <w:pPr>
        <w:spacing w:line="560" w:lineRule="exact"/>
        <w:jc w:val="center"/>
        <w:rPr>
          <w:rFonts w:ascii="宋体" w:hAnsi="宋体" w:eastAsia="方正小标宋简体" w:cs="方正小标宋简体"/>
          <w:spacing w:val="-6"/>
          <w:sz w:val="44"/>
          <w:szCs w:val="44"/>
        </w:rPr>
      </w:pPr>
      <w:r>
        <w:rPr>
          <w:rFonts w:hint="eastAsia" w:ascii="宋体" w:hAnsi="宋体" w:eastAsia="方正小标宋简体" w:cs="方正小标宋简体"/>
          <w:spacing w:val="-6"/>
          <w:sz w:val="44"/>
          <w:szCs w:val="44"/>
        </w:rPr>
        <w:t>上犹县提振消费构建文旅商贸大商圈十五条</w:t>
      </w:r>
    </w:p>
    <w:p w14:paraId="00094A07">
      <w:pPr>
        <w:spacing w:line="560" w:lineRule="exact"/>
        <w:jc w:val="center"/>
        <w:rPr>
          <w:rFonts w:ascii="宋体" w:hAnsi="宋体" w:eastAsia="方正小标宋简体" w:cs="方正小标宋简体"/>
          <w:spacing w:val="-6"/>
          <w:sz w:val="24"/>
        </w:rPr>
      </w:pPr>
      <w:r>
        <w:rPr>
          <w:rFonts w:hint="eastAsia" w:ascii="宋体" w:hAnsi="宋体" w:eastAsia="方正小标宋简体" w:cs="方正小标宋简体"/>
          <w:spacing w:val="-6"/>
          <w:sz w:val="44"/>
          <w:szCs w:val="44"/>
        </w:rPr>
        <w:t>措施资金奖补申请表</w:t>
      </w:r>
    </w:p>
    <w:p w14:paraId="380F43C5">
      <w:pPr>
        <w:rPr>
          <w:rFonts w:ascii="宋体" w:hAnsi="宋体" w:eastAsia="仿宋_GB2312" w:cs="仿宋_GB2312"/>
          <w:sz w:val="28"/>
          <w:szCs w:val="28"/>
        </w:rPr>
      </w:pPr>
      <w:r>
        <w:rPr>
          <w:rFonts w:hint="eastAsia" w:ascii="宋体" w:hAnsi="宋体" w:eastAsia="仿宋_GB2312" w:cs="仿宋_GB2312"/>
          <w:sz w:val="28"/>
          <w:szCs w:val="28"/>
        </w:rPr>
        <w:t>申请单位（盖章）：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259"/>
        <w:gridCol w:w="654"/>
        <w:gridCol w:w="831"/>
        <w:gridCol w:w="1785"/>
        <w:gridCol w:w="1855"/>
      </w:tblGrid>
      <w:tr w14:paraId="10B5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62" w:type="dxa"/>
            <w:vMerge w:val="restart"/>
            <w:noWrap/>
            <w:vAlign w:val="center"/>
          </w:tcPr>
          <w:p w14:paraId="509C0EFA">
            <w:pPr>
              <w:rPr>
                <w:rFonts w:ascii="宋体" w:hAnsi="宋体" w:eastAsia="仿宋_GB2312" w:cs="仿宋_GB2312"/>
                <w:sz w:val="28"/>
                <w:szCs w:val="28"/>
              </w:rPr>
            </w:pPr>
            <w:r>
              <w:rPr>
                <w:rFonts w:hint="eastAsia" w:ascii="宋体" w:hAnsi="宋体" w:eastAsia="仿宋_GB2312" w:cs="仿宋_GB2312"/>
                <w:sz w:val="28"/>
                <w:szCs w:val="28"/>
              </w:rPr>
              <w:t>申请主体基本情况</w:t>
            </w:r>
          </w:p>
        </w:tc>
        <w:tc>
          <w:tcPr>
            <w:tcW w:w="2259" w:type="dxa"/>
            <w:noWrap/>
            <w:vAlign w:val="center"/>
          </w:tcPr>
          <w:p w14:paraId="7132AD09">
            <w:pPr>
              <w:spacing w:line="400" w:lineRule="exact"/>
              <w:jc w:val="center"/>
              <w:rPr>
                <w:rFonts w:ascii="宋体" w:hAnsi="宋体" w:eastAsia="仿宋_GB2312" w:cs="仿宋_GB2312"/>
                <w:sz w:val="28"/>
                <w:szCs w:val="28"/>
              </w:rPr>
            </w:pPr>
            <w:r>
              <w:rPr>
                <w:rFonts w:hint="eastAsia" w:ascii="宋体" w:hAnsi="宋体" w:eastAsia="仿宋_GB2312" w:cs="仿宋_GB2312"/>
                <w:sz w:val="28"/>
                <w:szCs w:val="28"/>
              </w:rPr>
              <w:t>申请主体名称</w:t>
            </w:r>
          </w:p>
        </w:tc>
        <w:tc>
          <w:tcPr>
            <w:tcW w:w="5125" w:type="dxa"/>
            <w:gridSpan w:val="4"/>
            <w:noWrap/>
            <w:vAlign w:val="center"/>
          </w:tcPr>
          <w:p w14:paraId="74EDC4E1">
            <w:pPr>
              <w:jc w:val="center"/>
              <w:rPr>
                <w:rFonts w:ascii="宋体" w:hAnsi="宋体" w:eastAsia="仿宋_GB2312" w:cs="仿宋_GB2312"/>
                <w:sz w:val="28"/>
                <w:szCs w:val="28"/>
              </w:rPr>
            </w:pPr>
          </w:p>
        </w:tc>
      </w:tr>
      <w:tr w14:paraId="54C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62" w:type="dxa"/>
            <w:vMerge w:val="continue"/>
            <w:noWrap/>
            <w:vAlign w:val="center"/>
          </w:tcPr>
          <w:p w14:paraId="6E1E4E30">
            <w:pPr>
              <w:jc w:val="center"/>
              <w:rPr>
                <w:rFonts w:ascii="宋体" w:hAnsi="宋体" w:eastAsia="仿宋_GB2312" w:cs="仿宋_GB2312"/>
                <w:sz w:val="28"/>
                <w:szCs w:val="28"/>
              </w:rPr>
            </w:pPr>
          </w:p>
        </w:tc>
        <w:tc>
          <w:tcPr>
            <w:tcW w:w="2259" w:type="dxa"/>
            <w:noWrap/>
            <w:vAlign w:val="center"/>
          </w:tcPr>
          <w:p w14:paraId="01C2CC66">
            <w:pPr>
              <w:jc w:val="center"/>
              <w:rPr>
                <w:rFonts w:ascii="宋体" w:hAnsi="宋体" w:eastAsia="仿宋_GB2312" w:cs="仿宋_GB2312"/>
                <w:sz w:val="28"/>
                <w:szCs w:val="28"/>
              </w:rPr>
            </w:pPr>
            <w:r>
              <w:rPr>
                <w:rFonts w:hint="eastAsia" w:ascii="宋体" w:hAnsi="宋体" w:eastAsia="仿宋_GB2312" w:cs="仿宋_GB2312"/>
                <w:sz w:val="28"/>
                <w:szCs w:val="28"/>
              </w:rPr>
              <w:t>法人代表</w:t>
            </w:r>
          </w:p>
        </w:tc>
        <w:tc>
          <w:tcPr>
            <w:tcW w:w="1485" w:type="dxa"/>
            <w:gridSpan w:val="2"/>
            <w:noWrap/>
            <w:vAlign w:val="center"/>
          </w:tcPr>
          <w:p w14:paraId="3D719D6C">
            <w:pPr>
              <w:jc w:val="center"/>
              <w:rPr>
                <w:rFonts w:ascii="宋体" w:hAnsi="宋体" w:eastAsia="仿宋_GB2312" w:cs="仿宋_GB2312"/>
                <w:sz w:val="28"/>
                <w:szCs w:val="28"/>
              </w:rPr>
            </w:pPr>
          </w:p>
        </w:tc>
        <w:tc>
          <w:tcPr>
            <w:tcW w:w="1785" w:type="dxa"/>
            <w:noWrap/>
            <w:vAlign w:val="center"/>
          </w:tcPr>
          <w:p w14:paraId="23478B69">
            <w:pPr>
              <w:jc w:val="center"/>
              <w:rPr>
                <w:rFonts w:ascii="宋体" w:hAnsi="宋体" w:eastAsia="仿宋_GB2312" w:cs="仿宋_GB2312"/>
                <w:sz w:val="28"/>
                <w:szCs w:val="28"/>
              </w:rPr>
            </w:pPr>
            <w:r>
              <w:rPr>
                <w:rFonts w:hint="eastAsia" w:ascii="宋体" w:hAnsi="宋体" w:eastAsia="仿宋_GB2312" w:cs="仿宋_GB2312"/>
                <w:sz w:val="28"/>
                <w:szCs w:val="28"/>
              </w:rPr>
              <w:t>联系电话</w:t>
            </w:r>
          </w:p>
        </w:tc>
        <w:tc>
          <w:tcPr>
            <w:tcW w:w="1855" w:type="dxa"/>
            <w:noWrap/>
            <w:vAlign w:val="center"/>
          </w:tcPr>
          <w:p w14:paraId="336AA846">
            <w:pPr>
              <w:jc w:val="center"/>
              <w:rPr>
                <w:rFonts w:ascii="宋体" w:hAnsi="宋体" w:eastAsia="仿宋_GB2312" w:cs="仿宋_GB2312"/>
                <w:sz w:val="28"/>
                <w:szCs w:val="28"/>
              </w:rPr>
            </w:pPr>
          </w:p>
        </w:tc>
      </w:tr>
      <w:tr w14:paraId="600F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2" w:type="dxa"/>
            <w:vMerge w:val="continue"/>
            <w:noWrap/>
            <w:vAlign w:val="center"/>
          </w:tcPr>
          <w:p w14:paraId="4F93103A">
            <w:pPr>
              <w:jc w:val="center"/>
              <w:rPr>
                <w:rFonts w:ascii="宋体" w:hAnsi="宋体" w:eastAsia="仿宋_GB2312" w:cs="仿宋_GB2312"/>
                <w:sz w:val="28"/>
                <w:szCs w:val="28"/>
              </w:rPr>
            </w:pPr>
          </w:p>
        </w:tc>
        <w:tc>
          <w:tcPr>
            <w:tcW w:w="2259" w:type="dxa"/>
            <w:noWrap/>
            <w:vAlign w:val="center"/>
          </w:tcPr>
          <w:p w14:paraId="521FC398">
            <w:pPr>
              <w:jc w:val="center"/>
              <w:rPr>
                <w:rFonts w:ascii="宋体" w:hAnsi="宋体" w:eastAsia="仿宋_GB2312" w:cs="仿宋_GB2312"/>
                <w:sz w:val="28"/>
                <w:szCs w:val="28"/>
              </w:rPr>
            </w:pPr>
            <w:r>
              <w:rPr>
                <w:rFonts w:hint="eastAsia" w:ascii="宋体" w:hAnsi="宋体" w:eastAsia="仿宋_GB2312" w:cs="仿宋_GB2312"/>
                <w:sz w:val="28"/>
                <w:szCs w:val="28"/>
              </w:rPr>
              <w:t>联系人</w:t>
            </w:r>
          </w:p>
        </w:tc>
        <w:tc>
          <w:tcPr>
            <w:tcW w:w="1485" w:type="dxa"/>
            <w:gridSpan w:val="2"/>
            <w:noWrap/>
            <w:vAlign w:val="center"/>
          </w:tcPr>
          <w:p w14:paraId="2E65A3A9">
            <w:pPr>
              <w:jc w:val="center"/>
              <w:rPr>
                <w:rFonts w:ascii="宋体" w:hAnsi="宋体" w:eastAsia="仿宋_GB2312" w:cs="仿宋_GB2312"/>
                <w:sz w:val="28"/>
                <w:szCs w:val="28"/>
              </w:rPr>
            </w:pPr>
          </w:p>
        </w:tc>
        <w:tc>
          <w:tcPr>
            <w:tcW w:w="1785" w:type="dxa"/>
            <w:noWrap/>
            <w:vAlign w:val="center"/>
          </w:tcPr>
          <w:p w14:paraId="7EC74DBC">
            <w:pPr>
              <w:jc w:val="center"/>
              <w:rPr>
                <w:rFonts w:ascii="宋体" w:hAnsi="宋体" w:eastAsia="仿宋_GB2312" w:cs="仿宋_GB2312"/>
                <w:sz w:val="28"/>
                <w:szCs w:val="28"/>
              </w:rPr>
            </w:pPr>
            <w:r>
              <w:rPr>
                <w:rFonts w:hint="eastAsia" w:ascii="宋体" w:hAnsi="宋体" w:eastAsia="仿宋_GB2312" w:cs="仿宋_GB2312"/>
                <w:sz w:val="28"/>
                <w:szCs w:val="28"/>
              </w:rPr>
              <w:t>联系电话</w:t>
            </w:r>
          </w:p>
        </w:tc>
        <w:tc>
          <w:tcPr>
            <w:tcW w:w="1855" w:type="dxa"/>
            <w:noWrap/>
            <w:vAlign w:val="center"/>
          </w:tcPr>
          <w:p w14:paraId="2B22C9DB">
            <w:pPr>
              <w:jc w:val="center"/>
              <w:rPr>
                <w:rFonts w:ascii="宋体" w:hAnsi="宋体" w:eastAsia="仿宋_GB2312" w:cs="仿宋_GB2312"/>
                <w:sz w:val="28"/>
                <w:szCs w:val="28"/>
              </w:rPr>
            </w:pPr>
          </w:p>
        </w:tc>
      </w:tr>
      <w:tr w14:paraId="1BC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62" w:type="dxa"/>
            <w:vMerge w:val="continue"/>
            <w:noWrap/>
            <w:vAlign w:val="center"/>
          </w:tcPr>
          <w:p w14:paraId="0297FAAB">
            <w:pPr>
              <w:jc w:val="center"/>
              <w:rPr>
                <w:rFonts w:ascii="宋体" w:hAnsi="宋体" w:eastAsia="仿宋_GB2312" w:cs="仿宋_GB2312"/>
                <w:sz w:val="28"/>
                <w:szCs w:val="28"/>
              </w:rPr>
            </w:pPr>
          </w:p>
        </w:tc>
        <w:tc>
          <w:tcPr>
            <w:tcW w:w="2259" w:type="dxa"/>
            <w:noWrap/>
            <w:vAlign w:val="center"/>
          </w:tcPr>
          <w:p w14:paraId="32080F7A">
            <w:pPr>
              <w:ind w:firstLine="560" w:firstLineChars="200"/>
              <w:rPr>
                <w:rFonts w:ascii="宋体" w:hAnsi="宋体" w:eastAsia="仿宋_GB2312" w:cs="仿宋_GB2312"/>
                <w:sz w:val="28"/>
                <w:szCs w:val="28"/>
              </w:rPr>
            </w:pPr>
            <w:r>
              <w:rPr>
                <w:rFonts w:hint="eastAsia" w:ascii="宋体" w:hAnsi="宋体" w:eastAsia="仿宋_GB2312" w:cs="仿宋_GB2312"/>
                <w:sz w:val="28"/>
                <w:szCs w:val="28"/>
              </w:rPr>
              <w:t>地址</w:t>
            </w:r>
          </w:p>
        </w:tc>
        <w:tc>
          <w:tcPr>
            <w:tcW w:w="5125" w:type="dxa"/>
            <w:gridSpan w:val="4"/>
            <w:noWrap/>
            <w:vAlign w:val="center"/>
          </w:tcPr>
          <w:p w14:paraId="3A6DAB5B">
            <w:pPr>
              <w:jc w:val="center"/>
              <w:rPr>
                <w:rFonts w:ascii="宋体" w:hAnsi="宋体" w:eastAsia="仿宋_GB2312" w:cs="仿宋_GB2312"/>
                <w:sz w:val="28"/>
                <w:szCs w:val="28"/>
              </w:rPr>
            </w:pPr>
          </w:p>
        </w:tc>
      </w:tr>
      <w:tr w14:paraId="5D47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2" w:type="dxa"/>
            <w:vMerge w:val="continue"/>
            <w:noWrap/>
            <w:vAlign w:val="center"/>
          </w:tcPr>
          <w:p w14:paraId="340F41B9">
            <w:pPr>
              <w:jc w:val="center"/>
              <w:rPr>
                <w:rFonts w:ascii="宋体" w:hAnsi="宋体" w:eastAsia="仿宋_GB2312" w:cs="仿宋_GB2312"/>
                <w:sz w:val="28"/>
                <w:szCs w:val="28"/>
              </w:rPr>
            </w:pPr>
          </w:p>
        </w:tc>
        <w:tc>
          <w:tcPr>
            <w:tcW w:w="2259" w:type="dxa"/>
            <w:noWrap/>
            <w:vAlign w:val="center"/>
          </w:tcPr>
          <w:p w14:paraId="7AD180A2">
            <w:pPr>
              <w:jc w:val="center"/>
              <w:rPr>
                <w:rFonts w:ascii="宋体" w:hAnsi="宋体" w:eastAsia="仿宋_GB2312" w:cs="仿宋_GB2312"/>
                <w:sz w:val="28"/>
                <w:szCs w:val="28"/>
              </w:rPr>
            </w:pPr>
            <w:r>
              <w:rPr>
                <w:rFonts w:hint="eastAsia" w:ascii="宋体" w:hAnsi="宋体" w:eastAsia="仿宋_GB2312" w:cs="仿宋_GB2312"/>
                <w:sz w:val="28"/>
                <w:szCs w:val="28"/>
              </w:rPr>
              <w:t>开户行</w:t>
            </w:r>
          </w:p>
        </w:tc>
        <w:tc>
          <w:tcPr>
            <w:tcW w:w="5125" w:type="dxa"/>
            <w:gridSpan w:val="4"/>
            <w:noWrap/>
            <w:vAlign w:val="center"/>
          </w:tcPr>
          <w:p w14:paraId="5FC94E93">
            <w:pPr>
              <w:jc w:val="center"/>
              <w:rPr>
                <w:rFonts w:ascii="宋体" w:hAnsi="宋体" w:eastAsia="仿宋_GB2312" w:cs="仿宋_GB2312"/>
                <w:sz w:val="28"/>
                <w:szCs w:val="28"/>
              </w:rPr>
            </w:pPr>
          </w:p>
        </w:tc>
      </w:tr>
      <w:tr w14:paraId="0FD9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2" w:type="dxa"/>
            <w:vMerge w:val="continue"/>
            <w:noWrap/>
            <w:vAlign w:val="center"/>
          </w:tcPr>
          <w:p w14:paraId="6447DDF1">
            <w:pPr>
              <w:jc w:val="center"/>
              <w:rPr>
                <w:rFonts w:ascii="宋体" w:hAnsi="宋体" w:eastAsia="仿宋_GB2312" w:cs="仿宋_GB2312"/>
                <w:sz w:val="28"/>
                <w:szCs w:val="28"/>
              </w:rPr>
            </w:pPr>
          </w:p>
        </w:tc>
        <w:tc>
          <w:tcPr>
            <w:tcW w:w="2259" w:type="dxa"/>
            <w:noWrap/>
            <w:vAlign w:val="center"/>
          </w:tcPr>
          <w:p w14:paraId="7D5CA64A">
            <w:pPr>
              <w:ind w:firstLine="560" w:firstLineChars="200"/>
              <w:rPr>
                <w:rFonts w:ascii="宋体" w:hAnsi="宋体" w:eastAsia="仿宋_GB2312" w:cs="仿宋_GB2312"/>
                <w:sz w:val="28"/>
                <w:szCs w:val="28"/>
              </w:rPr>
            </w:pPr>
            <w:r>
              <w:rPr>
                <w:rFonts w:hint="eastAsia" w:ascii="宋体" w:hAnsi="宋体" w:eastAsia="仿宋_GB2312" w:cs="仿宋_GB2312"/>
                <w:sz w:val="28"/>
                <w:szCs w:val="28"/>
              </w:rPr>
              <w:t>账号</w:t>
            </w:r>
          </w:p>
        </w:tc>
        <w:tc>
          <w:tcPr>
            <w:tcW w:w="5125" w:type="dxa"/>
            <w:gridSpan w:val="4"/>
            <w:noWrap/>
            <w:vAlign w:val="center"/>
          </w:tcPr>
          <w:p w14:paraId="163F6C00">
            <w:pPr>
              <w:jc w:val="center"/>
              <w:rPr>
                <w:rFonts w:ascii="宋体" w:hAnsi="宋体" w:eastAsia="仿宋_GB2312" w:cs="仿宋_GB2312"/>
                <w:sz w:val="28"/>
                <w:szCs w:val="28"/>
              </w:rPr>
            </w:pPr>
          </w:p>
        </w:tc>
      </w:tr>
      <w:tr w14:paraId="060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821" w:type="dxa"/>
            <w:gridSpan w:val="2"/>
            <w:noWrap/>
            <w:vAlign w:val="center"/>
          </w:tcPr>
          <w:p w14:paraId="73356F06">
            <w:pPr>
              <w:jc w:val="center"/>
              <w:rPr>
                <w:rFonts w:ascii="宋体" w:hAnsi="宋体" w:eastAsia="仿宋_GB2312" w:cs="仿宋_GB2312"/>
                <w:sz w:val="28"/>
                <w:szCs w:val="28"/>
              </w:rPr>
            </w:pPr>
            <w:r>
              <w:rPr>
                <w:rFonts w:hint="eastAsia" w:ascii="宋体" w:hAnsi="宋体" w:eastAsia="仿宋_GB2312" w:cs="仿宋_GB2312"/>
                <w:sz w:val="28"/>
                <w:szCs w:val="28"/>
              </w:rPr>
              <w:t>申请类别</w:t>
            </w:r>
          </w:p>
        </w:tc>
        <w:tc>
          <w:tcPr>
            <w:tcW w:w="5125" w:type="dxa"/>
            <w:gridSpan w:val="4"/>
            <w:noWrap/>
            <w:vAlign w:val="center"/>
          </w:tcPr>
          <w:p w14:paraId="226D8781">
            <w:pPr>
              <w:jc w:val="center"/>
              <w:rPr>
                <w:rFonts w:ascii="宋体" w:hAnsi="宋体" w:eastAsia="仿宋_GB2312" w:cs="仿宋_GB2312"/>
                <w:sz w:val="28"/>
                <w:szCs w:val="28"/>
              </w:rPr>
            </w:pPr>
          </w:p>
        </w:tc>
      </w:tr>
      <w:tr w14:paraId="209F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821" w:type="dxa"/>
            <w:gridSpan w:val="2"/>
            <w:noWrap/>
            <w:vAlign w:val="center"/>
          </w:tcPr>
          <w:p w14:paraId="7A43F094">
            <w:pPr>
              <w:tabs>
                <w:tab w:val="left" w:pos="748"/>
                <w:tab w:val="center" w:pos="1493"/>
              </w:tabs>
              <w:jc w:val="center"/>
              <w:rPr>
                <w:rFonts w:ascii="宋体" w:hAnsi="宋体" w:eastAsia="仿宋_GB2312" w:cs="仿宋_GB2312"/>
                <w:sz w:val="28"/>
                <w:szCs w:val="28"/>
              </w:rPr>
            </w:pPr>
            <w:r>
              <w:rPr>
                <w:rFonts w:hint="eastAsia" w:ascii="宋体" w:hAnsi="宋体" w:eastAsia="仿宋_GB2312" w:cs="仿宋_GB2312"/>
                <w:sz w:val="28"/>
                <w:szCs w:val="28"/>
              </w:rPr>
              <w:t>申请金额（万元）</w:t>
            </w:r>
          </w:p>
        </w:tc>
        <w:tc>
          <w:tcPr>
            <w:tcW w:w="5125" w:type="dxa"/>
            <w:gridSpan w:val="4"/>
            <w:noWrap/>
            <w:vAlign w:val="center"/>
          </w:tcPr>
          <w:p w14:paraId="7B7B1DCE">
            <w:pPr>
              <w:jc w:val="center"/>
              <w:rPr>
                <w:rFonts w:ascii="宋体" w:hAnsi="宋体" w:eastAsia="仿宋_GB2312" w:cs="仿宋_GB2312"/>
                <w:sz w:val="28"/>
                <w:szCs w:val="28"/>
              </w:rPr>
            </w:pPr>
          </w:p>
        </w:tc>
      </w:tr>
      <w:tr w14:paraId="0AEC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62" w:type="dxa"/>
            <w:noWrap/>
            <w:vAlign w:val="center"/>
          </w:tcPr>
          <w:p w14:paraId="52999683">
            <w:pPr>
              <w:rPr>
                <w:rFonts w:ascii="宋体" w:hAnsi="宋体" w:eastAsia="仿宋_GB2312" w:cs="仿宋_GB2312"/>
                <w:sz w:val="28"/>
                <w:szCs w:val="28"/>
              </w:rPr>
            </w:pPr>
            <w:r>
              <w:rPr>
                <w:rFonts w:hint="eastAsia" w:ascii="宋体" w:hAnsi="宋体" w:eastAsia="仿宋_GB2312" w:cs="仿宋_GB2312"/>
                <w:sz w:val="28"/>
                <w:szCs w:val="28"/>
              </w:rPr>
              <w:t>申请理由</w:t>
            </w:r>
            <w:r>
              <w:rPr>
                <w:rFonts w:hint="eastAsia" w:ascii="宋体" w:hAnsi="宋体" w:eastAsia="仿宋_GB2312" w:cs="仿宋_GB2312"/>
                <w:sz w:val="24"/>
              </w:rPr>
              <w:t>（佐证资料另附）</w:t>
            </w:r>
          </w:p>
        </w:tc>
        <w:tc>
          <w:tcPr>
            <w:tcW w:w="7384" w:type="dxa"/>
            <w:gridSpan w:val="5"/>
            <w:noWrap/>
          </w:tcPr>
          <w:p w14:paraId="6EF4AC5B">
            <w:pPr>
              <w:rPr>
                <w:rFonts w:ascii="宋体" w:hAnsi="宋体" w:eastAsia="仿宋_GB2312" w:cs="仿宋_GB2312"/>
                <w:sz w:val="28"/>
                <w:szCs w:val="28"/>
              </w:rPr>
            </w:pPr>
          </w:p>
        </w:tc>
      </w:tr>
      <w:tr w14:paraId="6884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1562" w:type="dxa"/>
            <w:noWrap/>
            <w:vAlign w:val="center"/>
          </w:tcPr>
          <w:p w14:paraId="225BAFA6">
            <w:pPr>
              <w:rPr>
                <w:rFonts w:ascii="宋体" w:hAnsi="宋体" w:eastAsia="仿宋_GB2312" w:cs="仿宋_GB2312"/>
                <w:sz w:val="28"/>
                <w:szCs w:val="28"/>
              </w:rPr>
            </w:pPr>
            <w:r>
              <w:rPr>
                <w:rFonts w:hint="eastAsia" w:ascii="宋体" w:hAnsi="宋体" w:eastAsia="仿宋_GB2312" w:cs="仿宋_GB2312"/>
                <w:sz w:val="28"/>
                <w:szCs w:val="28"/>
              </w:rPr>
              <w:t>申报承诺</w:t>
            </w:r>
          </w:p>
        </w:tc>
        <w:tc>
          <w:tcPr>
            <w:tcW w:w="7384" w:type="dxa"/>
            <w:gridSpan w:val="5"/>
            <w:noWrap/>
          </w:tcPr>
          <w:p w14:paraId="2D3900EB">
            <w:pPr>
              <w:spacing w:line="400" w:lineRule="exact"/>
              <w:rPr>
                <w:rFonts w:ascii="宋体" w:hAnsi="宋体" w:eastAsia="仿宋_GB2312" w:cs="仿宋_GB2312"/>
                <w:sz w:val="28"/>
                <w:szCs w:val="28"/>
              </w:rPr>
            </w:pPr>
            <w:r>
              <w:rPr>
                <w:rFonts w:hint="eastAsia" w:ascii="宋体" w:hAnsi="宋体" w:eastAsia="仿宋_GB2312" w:cs="仿宋_GB2312"/>
                <w:sz w:val="28"/>
                <w:szCs w:val="28"/>
              </w:rPr>
              <w:t xml:space="preserve">  本单位/个人承诺：申报材料所涉及的文件、证明及有关附件真实有效，复印件与原件一致，对因申报材料弄虚作假所引发的一切后果承担全部法律责任。                       </w:t>
            </w:r>
          </w:p>
          <w:p w14:paraId="36A4931A">
            <w:pPr>
              <w:spacing w:line="560" w:lineRule="exact"/>
              <w:ind w:firstLine="2520" w:firstLineChars="900"/>
              <w:rPr>
                <w:rFonts w:ascii="宋体" w:hAnsi="宋体" w:eastAsia="仿宋_GB2312" w:cs="仿宋_GB2312"/>
                <w:sz w:val="28"/>
                <w:szCs w:val="28"/>
              </w:rPr>
            </w:pPr>
            <w:r>
              <w:rPr>
                <w:rFonts w:hint="eastAsia" w:ascii="宋体" w:hAnsi="宋体" w:eastAsia="仿宋_GB2312" w:cs="仿宋_GB2312"/>
                <w:sz w:val="28"/>
                <w:szCs w:val="28"/>
              </w:rPr>
              <w:t>签字：</w:t>
            </w:r>
          </w:p>
          <w:p w14:paraId="4FE54B88">
            <w:pPr>
              <w:jc w:val="center"/>
              <w:rPr>
                <w:rFonts w:ascii="宋体" w:hAnsi="宋体" w:eastAsia="仿宋_GB2312" w:cs="仿宋_GB2312"/>
                <w:sz w:val="28"/>
                <w:szCs w:val="28"/>
              </w:rPr>
            </w:pPr>
            <w:r>
              <w:rPr>
                <w:rFonts w:hint="eastAsia" w:ascii="宋体" w:hAnsi="宋体" w:eastAsia="仿宋_GB2312" w:cs="仿宋_GB2312"/>
                <w:sz w:val="28"/>
                <w:szCs w:val="28"/>
              </w:rPr>
              <w:t xml:space="preserve">                  年   月   日</w:t>
            </w:r>
          </w:p>
        </w:tc>
      </w:tr>
      <w:tr w14:paraId="6C03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475" w:type="dxa"/>
            <w:gridSpan w:val="3"/>
            <w:noWrap/>
          </w:tcPr>
          <w:p w14:paraId="4B638D46">
            <w:pPr>
              <w:rPr>
                <w:rFonts w:ascii="宋体" w:hAnsi="宋体" w:eastAsia="仿宋_GB2312" w:cs="仿宋_GB2312"/>
                <w:sz w:val="28"/>
                <w:szCs w:val="28"/>
              </w:rPr>
            </w:pPr>
            <w:r>
              <w:rPr>
                <w:rFonts w:hint="eastAsia" w:ascii="宋体" w:hAnsi="宋体" w:eastAsia="仿宋_GB2312" w:cs="仿宋_GB2312"/>
                <w:sz w:val="28"/>
                <w:szCs w:val="28"/>
              </w:rPr>
              <w:t>核定金额（万元）：</w:t>
            </w:r>
          </w:p>
          <w:p w14:paraId="2163735A">
            <w:pPr>
              <w:rPr>
                <w:rFonts w:ascii="宋体" w:hAnsi="宋体" w:eastAsia="仿宋_GB2312" w:cs="仿宋_GB2312"/>
                <w:sz w:val="28"/>
                <w:szCs w:val="28"/>
              </w:rPr>
            </w:pPr>
            <w:r>
              <w:rPr>
                <w:rFonts w:hint="eastAsia" w:ascii="宋体" w:hAnsi="宋体" w:eastAsia="仿宋_GB2312" w:cs="仿宋_GB2312"/>
                <w:sz w:val="28"/>
                <w:szCs w:val="28"/>
              </w:rPr>
              <w:t>牵头单位审核意见：</w:t>
            </w:r>
          </w:p>
          <w:p w14:paraId="1E2C0E54">
            <w:pPr>
              <w:ind w:firstLine="2520" w:firstLineChars="900"/>
              <w:rPr>
                <w:rFonts w:ascii="宋体" w:hAnsi="宋体" w:eastAsia="仿宋_GB2312" w:cs="仿宋_GB2312"/>
                <w:sz w:val="28"/>
                <w:szCs w:val="28"/>
              </w:rPr>
            </w:pPr>
            <w:r>
              <w:rPr>
                <w:rFonts w:hint="eastAsia" w:ascii="宋体" w:hAnsi="宋体" w:eastAsia="仿宋_GB2312" w:cs="仿宋_GB2312"/>
                <w:sz w:val="28"/>
                <w:szCs w:val="28"/>
              </w:rPr>
              <w:t>（盖章）</w:t>
            </w:r>
          </w:p>
        </w:tc>
        <w:tc>
          <w:tcPr>
            <w:tcW w:w="4471" w:type="dxa"/>
            <w:gridSpan w:val="3"/>
            <w:noWrap/>
          </w:tcPr>
          <w:p w14:paraId="47521C82">
            <w:pPr>
              <w:rPr>
                <w:rFonts w:ascii="宋体" w:hAnsi="宋体" w:eastAsia="仿宋_GB2312" w:cs="仿宋_GB2312"/>
                <w:sz w:val="28"/>
                <w:szCs w:val="28"/>
              </w:rPr>
            </w:pPr>
            <w:r>
              <w:rPr>
                <w:rFonts w:hint="eastAsia" w:ascii="宋体" w:hAnsi="宋体" w:eastAsia="仿宋_GB2312" w:cs="仿宋_GB2312"/>
                <w:sz w:val="28"/>
                <w:szCs w:val="28"/>
              </w:rPr>
              <w:t>责任单位审核意见：</w:t>
            </w:r>
          </w:p>
          <w:p w14:paraId="4E4A9860">
            <w:pPr>
              <w:rPr>
                <w:rFonts w:ascii="宋体" w:hAnsi="宋体" w:eastAsia="仿宋_GB2312" w:cs="仿宋_GB2312"/>
                <w:sz w:val="28"/>
                <w:szCs w:val="28"/>
              </w:rPr>
            </w:pPr>
          </w:p>
          <w:p w14:paraId="5ED9202F">
            <w:pPr>
              <w:jc w:val="center"/>
              <w:rPr>
                <w:rFonts w:ascii="宋体" w:hAnsi="宋体" w:eastAsia="仿宋_GB2312" w:cs="仿宋_GB2312"/>
                <w:sz w:val="28"/>
                <w:szCs w:val="28"/>
              </w:rPr>
            </w:pPr>
            <w:r>
              <w:rPr>
                <w:rFonts w:hint="eastAsia" w:ascii="宋体" w:hAnsi="宋体" w:eastAsia="仿宋_GB2312" w:cs="仿宋_GB2312"/>
                <w:sz w:val="28"/>
                <w:szCs w:val="28"/>
              </w:rPr>
              <w:t xml:space="preserve">            （盖章）</w:t>
            </w:r>
          </w:p>
        </w:tc>
      </w:tr>
    </w:tbl>
    <w:p w14:paraId="16CB177A">
      <w:pPr>
        <w:rPr>
          <w:rFonts w:ascii="宋体" w:hAnsi="宋体"/>
          <w:sz w:val="28"/>
          <w:szCs w:val="28"/>
        </w:rPr>
      </w:pPr>
    </w:p>
    <w:p w14:paraId="6EE9A024">
      <w:pPr>
        <w:rPr>
          <w:rFonts w:ascii="宋体" w:hAnsi="宋体"/>
          <w:sz w:val="28"/>
          <w:szCs w:val="28"/>
        </w:rPr>
      </w:pPr>
    </w:p>
    <w:p w14:paraId="47F73DBB">
      <w:pPr>
        <w:rPr>
          <w:rFonts w:ascii="宋体" w:hAnsi="宋体"/>
          <w:sz w:val="28"/>
          <w:szCs w:val="28"/>
        </w:rPr>
      </w:pPr>
    </w:p>
    <w:p w14:paraId="1C8B2A30">
      <w:pPr>
        <w:rPr>
          <w:rFonts w:ascii="宋体" w:hAnsi="宋体"/>
          <w:sz w:val="28"/>
          <w:szCs w:val="28"/>
        </w:rPr>
      </w:pPr>
    </w:p>
    <w:p w14:paraId="1C8C4146">
      <w:pPr>
        <w:rPr>
          <w:rFonts w:ascii="宋体" w:hAnsi="宋体"/>
          <w:sz w:val="28"/>
          <w:szCs w:val="28"/>
        </w:rPr>
      </w:pPr>
    </w:p>
    <w:p w14:paraId="193BA232">
      <w:pPr>
        <w:rPr>
          <w:rFonts w:ascii="宋体" w:hAnsi="宋体"/>
          <w:sz w:val="28"/>
          <w:szCs w:val="28"/>
        </w:rPr>
      </w:pPr>
    </w:p>
    <w:p w14:paraId="0E7E799E">
      <w:pPr>
        <w:rPr>
          <w:rFonts w:ascii="宋体" w:hAnsi="宋体"/>
          <w:sz w:val="28"/>
          <w:szCs w:val="28"/>
        </w:rPr>
      </w:pPr>
    </w:p>
    <w:p w14:paraId="6DB23B2F">
      <w:pPr>
        <w:rPr>
          <w:rFonts w:ascii="宋体" w:hAnsi="宋体"/>
          <w:sz w:val="28"/>
          <w:szCs w:val="28"/>
        </w:rPr>
      </w:pPr>
    </w:p>
    <w:p w14:paraId="13E32E46">
      <w:pPr>
        <w:rPr>
          <w:rFonts w:ascii="宋体" w:hAnsi="宋体"/>
          <w:sz w:val="28"/>
          <w:szCs w:val="28"/>
        </w:rPr>
      </w:pPr>
    </w:p>
    <w:p w14:paraId="36F43631">
      <w:pPr>
        <w:rPr>
          <w:rFonts w:ascii="宋体" w:hAnsi="宋体"/>
          <w:sz w:val="28"/>
          <w:szCs w:val="28"/>
        </w:rPr>
      </w:pPr>
    </w:p>
    <w:p w14:paraId="705A4DF0">
      <w:pPr>
        <w:rPr>
          <w:rFonts w:ascii="宋体" w:hAnsi="宋体"/>
          <w:sz w:val="28"/>
          <w:szCs w:val="28"/>
        </w:rPr>
      </w:pPr>
    </w:p>
    <w:p w14:paraId="71C132F3">
      <w:pPr>
        <w:rPr>
          <w:rFonts w:ascii="宋体" w:hAnsi="宋体"/>
          <w:sz w:val="28"/>
          <w:szCs w:val="28"/>
        </w:rPr>
      </w:pPr>
    </w:p>
    <w:p w14:paraId="3B111383">
      <w:pPr>
        <w:rPr>
          <w:rFonts w:ascii="宋体" w:hAnsi="宋体"/>
          <w:sz w:val="28"/>
          <w:szCs w:val="28"/>
        </w:rPr>
      </w:pPr>
    </w:p>
    <w:p w14:paraId="2F94BE2B">
      <w:pPr>
        <w:rPr>
          <w:rFonts w:ascii="宋体" w:hAnsi="宋体"/>
          <w:sz w:val="28"/>
          <w:szCs w:val="28"/>
        </w:rPr>
      </w:pPr>
    </w:p>
    <w:p w14:paraId="382763E1">
      <w:pPr>
        <w:rPr>
          <w:rFonts w:ascii="宋体" w:hAnsi="宋体"/>
          <w:sz w:val="28"/>
          <w:szCs w:val="28"/>
        </w:rPr>
      </w:pPr>
    </w:p>
    <w:p w14:paraId="027F2FD8">
      <w:pPr>
        <w:rPr>
          <w:rFonts w:ascii="宋体" w:hAnsi="宋体"/>
          <w:sz w:val="28"/>
          <w:szCs w:val="28"/>
        </w:rPr>
      </w:pPr>
    </w:p>
    <w:p w14:paraId="7FD6A1D2">
      <w:pPr>
        <w:rPr>
          <w:rFonts w:ascii="宋体" w:hAnsi="宋体"/>
          <w:sz w:val="28"/>
          <w:szCs w:val="28"/>
        </w:rPr>
      </w:pPr>
    </w:p>
    <w:p w14:paraId="3F651C9A">
      <w:pPr>
        <w:rPr>
          <w:rFonts w:ascii="宋体" w:hAnsi="宋体"/>
          <w:sz w:val="28"/>
          <w:szCs w:val="28"/>
        </w:rPr>
      </w:pPr>
    </w:p>
    <w:p w14:paraId="2344D00E">
      <w:pPr>
        <w:pStyle w:val="4"/>
        <w:spacing w:line="520" w:lineRule="exact"/>
        <w:ind w:firstLine="640"/>
        <w:jc w:val="center"/>
        <w:rPr>
          <w:rFonts w:ascii="宋体" w:hAnsi="宋体" w:eastAsia="仿宋_GB2312" w:cs="仿宋_GB2312"/>
          <w:kern w:val="0"/>
          <w:szCs w:val="32"/>
        </w:rPr>
      </w:pPr>
    </w:p>
    <w:p w14:paraId="3BDC0BD3">
      <w:pPr>
        <w:spacing w:line="560" w:lineRule="exact"/>
        <w:ind w:left="1194" w:leftChars="74" w:hanging="1039" w:hangingChars="495"/>
        <w:rPr>
          <w:rFonts w:ascii="宋体" w:hAnsi="宋体" w:eastAsia="仿宋_GB2312"/>
          <w:sz w:val="28"/>
          <w:szCs w:val="28"/>
        </w:rPr>
      </w:pPr>
      <w:r>
        <w:rPr>
          <w:rFonts w:ascii="宋体" w:hAnsi="宋体"/>
        </w:rPr>
        <w:pict>
          <v:line id="_x0000_s1029" o:spid="_x0000_s1029" o:spt="20" style="position:absolute;left:0pt;margin-left:2.3pt;margin-top:1.95pt;height:0pt;width:437pt;z-index:251660288;mso-width-relative:page;mso-height-relative:page;" coordsize="21600,21600" o:gfxdata="UEsDBAoAAAAAAIdO4kAAAAAAAAAAAAAAAAAEAAAAZHJzL1BLAwQUAAAACACHTuJAXXfpE9MAAAAF&#10;AQAADwAAAGRycy9kb3ducmV2LnhtbE2OzU7DMBCE70i8g7VI3KhTqJoQ4lSoEhIXWrXwANt4m0TE&#10;6yh2f9KnZ+kFjp9mNPMVi7Pr1JGG0Ho2MJ0koIgrb1uuDXx9vj1koEJEtth5JgMjBViUtzcF5taf&#10;eEPHbayVjHDI0UATY59rHaqGHIaJ74kl2/vBYRQcam0HPMm46/Rjksy1w5blocGelg1V39uDM7BZ&#10;+lX62s/W76v4sU8vl5GqejTm/m6avICKdI5/ZfjVF3UoxWnnD2yD6gzM5lI08PQMStIszYR3V9Zl&#10;of/blz9QSwMEFAAAAAgAh07iQGPFEe72AQAA5QMAAA4AAABkcnMvZTJvRG9jLnhtbK1TzW4TMRC+&#10;I/EOlu9kk4pAu8qmh4ZyQVAJeICJ7d215D95nGzyErwAEjc4ceTO27Q8BmNvmkK55MAevGPP+Jv5&#10;vhkvLnfWsK2KqL1r+Gwy5Uw54aV2XcM/frh+ds4ZJnASjHeq4XuF/HL59MliCLU68703UkVGIA7r&#10;ITS8TynUVYWiVxZw4oNy5Gx9tJBoG7tKRhgI3ZrqbDp9UQ0+yhC9UIh0uhqd/IAYTwH0bauFWnmx&#10;scqlETUqA4koYa8D8mWptm2VSO/aFlVipuHENJWVkpC9zmu1XEDdRQi9FocS4JQSHnGyoB0lPUKt&#10;IAHbRP0PlNUievRtmghvq5FIUYRYzKaPtHnfQ1CFC0mN4Sg6/j9Y8XZ7E5mWDZ9z5sBSw+8+/7j9&#10;9PXXzy+03n3/xuZZpCFgTbFX7iYedhhuYma8a6PNf+LCdkXY/VFYtUtM0OF8/vziYkqai3tf9XAx&#10;REyvlbcsGw032mXOUMP2DSZKRqH3IfnYODbQ3M7PX1LFAmgCW+o8mTYQC3RduYzeaHmtjclXMHbr&#10;KxPZFvIUlC9zIuC/wnKWFWA/xhXXOB+9AvnKSZb2gfRx9Cx4rsEqyZlR9IqyRYBQJ9DmlEhKbRxV&#10;kGUdhczW2ss9dWMTou56kmJWqswe6n6p9zCpebz+3Bekh9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d+kT0wAAAAUBAAAPAAAAAAAAAAEAIAAAACIAAABkcnMvZG93bnJldi54bWxQSwECFAAU&#10;AAAACACHTuJAY8UR7vYBAADlAwAADgAAAAAAAAABACAAAAAiAQAAZHJzL2Uyb0RvYy54bWxQSwUG&#10;AAAAAAYABgBZAQAAigUAAAAA&#10;">
            <v:path arrowok="t"/>
            <v:fill focussize="0,0"/>
            <v:stroke weight="1.25pt"/>
            <v:imagedata o:title=""/>
            <o:lock v:ext="edit"/>
          </v:line>
        </w:pict>
      </w:r>
      <w:r>
        <w:rPr>
          <w:rFonts w:hint="eastAsia" w:ascii="宋体" w:hAnsi="宋体" w:eastAsia="仿宋_GB2312"/>
          <w:sz w:val="28"/>
          <w:szCs w:val="28"/>
        </w:rPr>
        <w:t xml:space="preserve">中共上犹县委办公室                      </w:t>
      </w:r>
      <w:r>
        <w:rPr>
          <w:rFonts w:hint="eastAsia" w:ascii="宋体" w:hAnsi="宋体"/>
          <w:sz w:val="28"/>
          <w:szCs w:val="28"/>
        </w:rPr>
        <w:t>2025</w:t>
      </w:r>
      <w:r>
        <w:rPr>
          <w:rFonts w:hint="eastAsia" w:ascii="宋体" w:hAnsi="宋体" w:eastAsia="仿宋_GB2312"/>
          <w:sz w:val="28"/>
          <w:szCs w:val="28"/>
        </w:rPr>
        <w:t>年11月10日印发</w:t>
      </w:r>
    </w:p>
    <w:p w14:paraId="5697C04E">
      <w:pPr>
        <w:tabs>
          <w:tab w:val="left" w:pos="3405"/>
        </w:tabs>
        <w:spacing w:line="20" w:lineRule="exact"/>
        <w:rPr>
          <w:rFonts w:ascii="宋体" w:hAnsi="宋体"/>
          <w:sz w:val="28"/>
          <w:szCs w:val="28"/>
        </w:rPr>
      </w:pPr>
      <w:r>
        <w:rPr>
          <w:rFonts w:ascii="宋体" w:hAnsi="宋体"/>
        </w:rPr>
        <w:pict>
          <v:line id="_x0000_s1030" o:spid="_x0000_s1030" o:spt="20" style="position:absolute;left:0pt;margin-left:2.3pt;margin-top:1.75pt;height:0pt;width:437pt;z-index:251661312;mso-width-relative:page;mso-height-relative:page;" coordsize="21600,21600" o:gfxdata="UEsDBAoAAAAAAIdO4kAAAAAAAAAAAAAAAAAEAAAAZHJzL1BLAwQUAAAACACHTuJAnZX/sdMAAAAF&#10;AQAADwAAAGRycy9kb3ducmV2LnhtbE2OzU7DMBCE70i8g7VI3KhTKE2UxqlQJSQuFLXwANt4m0SN&#10;11Hs/qRPz8IFjp9mNPMVy4vr1ImG0Ho2MJ0koIgrb1uuDXx9vj5koEJEtth5JgMjBViWtzcF5taf&#10;eUOnbayVjHDI0UATY59rHaqGHIaJ74kl2/vBYRQcam0HPMu46/Rjksy1w5blocGeVg1Vh+3RGdis&#10;/Dp96Wcfb+v4vk+v15GqejTm/m6aLEBFusS/MvzoizqU4rTzR7ZBdQZmcykaeHoGJWmWZsK7X9Zl&#10;of/bl99QSwMEFAAAAAgAh07iQHRYr0v3AQAA5QMAAA4AAABkcnMvZTJvRG9jLnhtbK1TzY7TMBC+&#10;I/EOlu806S6F3ajpHrYsFwSVgAeYOk5iyX/yuE37ErwAEjc4ceS+b8PyGIydbheWSw/k4Iw942/m&#10;+2Y8v9oZzbYyoHK25tNJyZm0wjXKdjX/+OHm2QVnGME2oJ2VNd9L5FeLp0/mg6/kmeudbmRgBGKx&#10;GnzN+xh9VRQoemkAJ85LS87WBQORtqErmgADoRtdnJXli2JwofHBCYlIp8vRyQ+I4RRA17ZKyKUT&#10;GyNtHFGD1BCJEvbKI1/kattWiviubVFGpmtOTGNeKQnZ67QWizlUXQDfK3EoAU4p4REnA8pS0iPU&#10;EiKwTVD/QBklgkPXxolwphiJZEWIxbR8pM37HrzMXEhq9EfR8f/BirfbVWCqqfk5ZxYMNfzu84+f&#10;n77+uv1C6933b+w8iTR4rCj22q7CYYd+FRLjXRtM+hMXtsvC7o/Cyl1kgg5ns+eXlyVpLu59xcNF&#10;HzC+ls6wZNRcK5s4QwXbNxgpGYXeh6RjbdlAczu7eDkjPKAJbKnzZBpPLNB2+TI6rZobpXW6gqFb&#10;X+vAtpCmIH+JEwH/FZayLAH7MS67xvnoJTSvbMPi3pM+lp4FTzUY2XCmJb2iZBEgVBGUPiWSUmtL&#10;FSRZRyGTtXbNnrqx8UF1PUkxzVUmD3U/13uY1DRef+4z0sPrX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ZX/sdMAAAAFAQAADwAAAAAAAAABACAAAAAiAAAAZHJzL2Rvd25yZXYueG1sUEsBAhQA&#10;FAAAAAgAh07iQHRYr0v3AQAA5QMAAA4AAAAAAAAAAQAgAAAAIgEAAGRycy9lMm9Eb2MueG1sUEsF&#10;BgAAAAAGAAYAWQEAAIsFAAAAAA==&#10;">
            <v:path arrowok="t"/>
            <v:fill focussize="0,0"/>
            <v:stroke weight="1.25pt"/>
            <v:imagedata o:title=""/>
            <o:lock v:ext="edit"/>
          </v:line>
        </w:pict>
      </w:r>
    </w:p>
    <w:p w14:paraId="4DCE4F31"/>
    <w:sectPr>
      <w:pgSz w:w="11906" w:h="16838"/>
      <w:pgMar w:top="2098" w:right="1588" w:bottom="2098" w:left="1588" w:header="851"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0B3A">
    <w:pPr>
      <w:pStyle w:val="7"/>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joinstyle="miter"/>
          <v:imagedata o:title=""/>
          <o:lock v:ext="edit"/>
          <v:textbox inset="0mm,0mm,0mm,0mm" style="mso-fit-shape-to-text:t;">
            <w:txbxContent>
              <w:p w14:paraId="23B8040B">
                <w:pPr>
                  <w:pStyle w:val="7"/>
                  <w:rPr>
                    <w:rFonts w:eastAsia="仿宋"/>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7D5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00817"/>
    <w:multiLevelType w:val="singleLevel"/>
    <w:tmpl w:val="89000817"/>
    <w:lvl w:ilvl="0" w:tentative="0">
      <w:start w:val="4"/>
      <w:numFmt w:val="chineseCounting"/>
      <w:suff w:val="nothing"/>
      <w:lvlText w:val="%1、"/>
      <w:lvlJc w:val="left"/>
      <w:rPr>
        <w:rFonts w:hint="eastAsia"/>
      </w:rPr>
    </w:lvl>
  </w:abstractNum>
  <w:abstractNum w:abstractNumId="1">
    <w:nsid w:val="13BFBDF9"/>
    <w:multiLevelType w:val="singleLevel"/>
    <w:tmpl w:val="13BFBDF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C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spacing w:line="560" w:lineRule="exact"/>
      <w:ind w:firstLine="883" w:firstLineChars="200"/>
      <w:outlineLvl w:val="1"/>
    </w:pPr>
    <w:rPr>
      <w:rFonts w:eastAsia="黑体"/>
      <w:sz w:val="32"/>
      <w:szCs w:val="32"/>
    </w:rPr>
  </w:style>
  <w:style w:type="character" w:default="1" w:styleId="12">
    <w:name w:val="Default Paragraph Fon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4"/>
    <w:next w:val="4"/>
    <w:qFormat/>
    <w:uiPriority w:val="0"/>
    <w:pPr>
      <w:spacing w:after="120"/>
      <w:ind w:left="420" w:leftChars="200"/>
    </w:pPr>
    <w:rPr>
      <w:rFonts w:ascii="Calibri" w:hAnsi="Calibri" w:eastAsia="宋体"/>
      <w:sz w:val="21"/>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9">
    <w:name w:val="Normal (Web)"/>
    <w:basedOn w:val="1"/>
    <w:qFormat/>
    <w:uiPriority w:val="0"/>
    <w:pPr>
      <w:spacing w:before="100" w:beforeAutospacing="1" w:after="100" w:afterAutospacing="1"/>
    </w:pPr>
    <w:rPr>
      <w:sz w:val="24"/>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默认段落字体1"/>
    <w:semiHidden/>
    <w:qFormat/>
    <w:uiPriority w:val="0"/>
    <w:rPr>
      <w:rFonts w:ascii="Times New Roman" w:hAnsi="Times New Roman" w:eastAsia="宋体" w:cs="Times New Roman"/>
      <w:lang w:val="en-US" w:eastAsia="zh-CN" w:bidi="ar-SA"/>
    </w:rPr>
  </w:style>
  <w:style w:type="table" w:customStyle="1" w:styleId="14">
    <w:name w:val="普通表格1"/>
    <w:semiHidden/>
    <w:qFormat/>
    <w:uiPriority w:val="0"/>
    <w:tblPr>
      <w:tblCellMar>
        <w:top w:w="0" w:type="dxa"/>
        <w:left w:w="108" w:type="dxa"/>
        <w:bottom w:w="0" w:type="dxa"/>
        <w:right w:w="108" w:type="dxa"/>
      </w:tblCellMar>
    </w:tbl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basedOn w:val="13"/>
    <w:link w:val="15"/>
    <w:qFormat/>
    <w:uiPriority w:val="0"/>
    <w:rPr>
      <w:sz w:val="18"/>
      <w:szCs w:val="18"/>
    </w:rPr>
  </w:style>
  <w:style w:type="paragraph" w:customStyle="1" w:styleId="17">
    <w:name w:val="页脚1"/>
    <w:basedOn w:val="1"/>
    <w:link w:val="18"/>
    <w:qFormat/>
    <w:uiPriority w:val="0"/>
    <w:pPr>
      <w:tabs>
        <w:tab w:val="center" w:pos="4153"/>
        <w:tab w:val="right" w:pos="8306"/>
      </w:tabs>
      <w:snapToGrid w:val="0"/>
      <w:jc w:val="left"/>
    </w:pPr>
    <w:rPr>
      <w:sz w:val="18"/>
      <w:szCs w:val="18"/>
    </w:rPr>
  </w:style>
  <w:style w:type="character" w:customStyle="1" w:styleId="18">
    <w:name w:val="页脚 Char"/>
    <w:basedOn w:val="13"/>
    <w:link w:val="17"/>
    <w:qFormat/>
    <w:uiPriority w:val="0"/>
    <w:rPr>
      <w:sz w:val="18"/>
      <w:szCs w:val="18"/>
    </w:rPr>
  </w:style>
  <w:style w:type="paragraph" w:customStyle="1" w:styleId="19">
    <w:name w:val="列出段落1"/>
    <w:basedOn w:val="1"/>
    <w:qFormat/>
    <w:uiPriority w:val="34"/>
    <w:pPr>
      <w:ind w:left="720"/>
      <w:contextualSpacing/>
    </w:pPr>
  </w:style>
  <w:style w:type="character" w:customStyle="1" w:styleId="20">
    <w:name w:val="批注框文本 Char"/>
    <w:basedOn w:val="12"/>
    <w:link w:val="6"/>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2025-11-14T10:11:48Z</dcterms:created>
  <dc:creator>Administrator</dc:creator>
  <cp:lastModifiedBy>z</cp:lastModifiedBy>
  <dcterms:modified xsi:type="dcterms:W3CDTF">2025-11-14T10:12:47Z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eyJoZGlkIjoiMTQ4NTcwMWIyYWNjM2VlNzhjODZhZmZkYWRiZTEwYWQiLCJ1c2VySWQiOiIxMzg5MjM4MDgzIn0=</vt:lpwstr>
  </property>
  <property fmtid="{D5CDD505-2E9C-101B-9397-08002B2CF9AE}" pid="4" name="ICV">
    <vt:lpwstr>9743988487EF4C28B40D1F06DC2D6075_12</vt:lpwstr>
  </property>
</Properties>
</file>