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上犹县油石乡人民政府</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上犹县油石乡人民政府部门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上犹县油石乡人民政府</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lang w:eastAsia="zh-CN"/>
        </w:rPr>
      </w:pPr>
      <w:r>
        <w:rPr>
          <w:rFonts w:hint="eastAsia" w:ascii="黑体" w:hAnsi="黑体" w:eastAsia="黑体"/>
          <w:sz w:val="30"/>
          <w:szCs w:val="30"/>
        </w:rPr>
        <w:t>一、部门主要</w:t>
      </w:r>
      <w:r>
        <w:rPr>
          <w:rFonts w:hint="eastAsia" w:ascii="黑体" w:hAnsi="黑体" w:eastAsia="黑体"/>
          <w:sz w:val="30"/>
          <w:szCs w:val="30"/>
          <w:lang w:val="en-US" w:eastAsia="zh-CN"/>
        </w:rPr>
        <w:t>职责</w:t>
      </w:r>
    </w:p>
    <w:p>
      <w:pPr>
        <w:ind w:firstLine="630"/>
        <w:jc w:val="left"/>
        <w:rPr>
          <w:rFonts w:hint="eastAsia" w:ascii="仿宋" w:hAnsi="仿宋" w:eastAsia="仿宋"/>
          <w:sz w:val="30"/>
          <w:szCs w:val="30"/>
        </w:rPr>
      </w:pPr>
      <w:r>
        <w:rPr>
          <w:rFonts w:hint="eastAsia" w:ascii="仿宋" w:hAnsi="仿宋" w:eastAsia="仿宋"/>
          <w:sz w:val="30"/>
          <w:szCs w:val="30"/>
        </w:rPr>
        <w:t>（一）</w:t>
      </w:r>
      <w:r>
        <w:rPr>
          <w:rStyle w:val="4"/>
          <w:rFonts w:hint="default" w:ascii="仿宋" w:eastAsia="仿宋"/>
          <w:color w:val="auto"/>
          <w:sz w:val="30"/>
        </w:rPr>
        <w:t>社会管理。包括：1.贯彻执行上级的各项方针政策，保障公民享有宪法规定的经济、政治和文化权利；2.加强综合治理，维护社会稳定，妥善处理突发性、群体性事件，调节和处理好各种利益矛盾和纠分；3.根据镇村社会的需要，组织制定和推动落实经农民认可的乡规民约，构建和谐的乡村社会等。</w:t>
      </w:r>
    </w:p>
    <w:p>
      <w:pPr>
        <w:ind w:firstLine="630"/>
        <w:jc w:val="left"/>
        <w:rPr>
          <w:rStyle w:val="4"/>
          <w:rFonts w:hint="default" w:ascii="仿宋" w:eastAsia="仿宋"/>
          <w:color w:val="auto"/>
          <w:sz w:val="30"/>
        </w:rPr>
      </w:pPr>
      <w:r>
        <w:rPr>
          <w:rFonts w:hint="eastAsia" w:ascii="仿宋" w:hAnsi="仿宋" w:eastAsia="仿宋"/>
          <w:sz w:val="30"/>
          <w:szCs w:val="30"/>
        </w:rPr>
        <w:t>（二）</w:t>
      </w:r>
      <w:r>
        <w:rPr>
          <w:rStyle w:val="4"/>
          <w:rFonts w:hint="default" w:ascii="仿宋" w:eastAsia="仿宋"/>
          <w:color w:val="auto"/>
          <w:sz w:val="30"/>
        </w:rPr>
        <w:t>发展经济。包括</w:t>
      </w:r>
      <w:r>
        <w:rPr>
          <w:rStyle w:val="4"/>
          <w:rFonts w:hint="eastAsia" w:ascii="仿宋" w:eastAsia="仿宋"/>
          <w:color w:val="auto"/>
          <w:sz w:val="30"/>
          <w:lang w:eastAsia="zh-CN"/>
        </w:rPr>
        <w:t>：</w:t>
      </w:r>
      <w:r>
        <w:rPr>
          <w:rStyle w:val="4"/>
          <w:rFonts w:hint="default" w:ascii="仿宋" w:eastAsia="仿宋"/>
          <w:color w:val="auto"/>
          <w:sz w:val="30"/>
        </w:rPr>
        <w:t>1.组织制定本乡镇产业发展规划，指导产业结构调整，形成地域产业特色；2.组织营造良好的投资环境，包括政策环境、硬件环境、社会环境，加大招商引资力度；3.通过推动和引导农村经济合作组织的发展，指导农村生产，提高农村生产组织化程度；4.加强信息服务，密切本地农产品的市场衔接，促进农业新技术的推广。</w:t>
      </w:r>
    </w:p>
    <w:p>
      <w:pPr>
        <w:ind w:firstLine="630"/>
        <w:jc w:val="left"/>
        <w:rPr>
          <w:rStyle w:val="4"/>
          <w:rFonts w:hint="default" w:ascii="仿宋" w:eastAsia="仿宋"/>
          <w:color w:val="auto"/>
          <w:sz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Style w:val="4"/>
          <w:rFonts w:hint="default" w:ascii="仿宋" w:eastAsia="仿宋"/>
          <w:color w:val="auto"/>
          <w:sz w:val="30"/>
        </w:rPr>
        <w:t>公共服务。普及义务教育，计划生育，积极发展农村卫生事业，繁荣农村文化，建立农村社会保障制度，加强社会公德建设，加强农民思想道德教育，倡导健康文明新风尚等，组织好农村公共产品的供应。</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val="en-US" w:eastAsia="zh-CN"/>
        </w:rPr>
        <w:t>上犹县油石乡人民政府本级。</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59</w:t>
      </w:r>
      <w:r>
        <w:rPr>
          <w:rFonts w:hint="eastAsia" w:ascii="仿宋" w:hAnsi="仿宋" w:eastAsia="仿宋"/>
          <w:sz w:val="30"/>
          <w:szCs w:val="30"/>
        </w:rPr>
        <w:t>人，其中在职人员</w:t>
      </w:r>
      <w:r>
        <w:rPr>
          <w:rFonts w:hint="eastAsia" w:ascii="仿宋" w:hAnsi="仿宋" w:eastAsia="仿宋"/>
          <w:sz w:val="30"/>
          <w:szCs w:val="30"/>
          <w:lang w:val="en-US" w:eastAsia="zh-CN"/>
        </w:rPr>
        <w:t>43</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16</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68595" cy="4878705"/>
            <wp:effectExtent l="0" t="0" r="8255" b="17145"/>
            <wp:docPr id="1" name="图片 1" descr="6e7119bcebd6341115286896127e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7119bcebd6341115286896127e0e5"/>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836285" cy="5254625"/>
            <wp:effectExtent l="0" t="0" r="12065" b="3175"/>
            <wp:docPr id="2" name="图片 2" descr="95c3784b6297e267540edb7c94b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5c3784b6297e267540edb7c94b4284"/>
                    <pic:cNvPicPr>
                      <a:picLocks noChangeAspect="1"/>
                    </pic:cNvPicPr>
                  </pic:nvPicPr>
                  <pic:blipFill>
                    <a:blip r:embed="rId5"/>
                    <a:stretch>
                      <a:fillRect/>
                    </a:stretch>
                  </pic:blipFill>
                  <pic:spPr>
                    <a:xfrm>
                      <a:off x="0" y="0"/>
                      <a:ext cx="5836285" cy="525462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339080" cy="5998845"/>
            <wp:effectExtent l="0" t="0" r="13970" b="1905"/>
            <wp:docPr id="3" name="图片 3" descr="27b2833fc0183333aa719d34c17c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b2833fc0183333aa719d34c17c667"/>
                    <pic:cNvPicPr>
                      <a:picLocks noChangeAspect="1"/>
                    </pic:cNvPicPr>
                  </pic:nvPicPr>
                  <pic:blipFill>
                    <a:blip r:embed="rId6"/>
                    <a:stretch>
                      <a:fillRect/>
                    </a:stretch>
                  </pic:blipFill>
                  <pic:spPr>
                    <a:xfrm>
                      <a:off x="0" y="0"/>
                      <a:ext cx="5339080" cy="599884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523865" cy="4714240"/>
            <wp:effectExtent l="0" t="0" r="635" b="10160"/>
            <wp:docPr id="4" name="图片 4" descr="56e30bcf2af6d049458f39836eccf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e30bcf2af6d049458f39836eccf08"/>
                    <pic:cNvPicPr>
                      <a:picLocks noChangeAspect="1"/>
                    </pic:cNvPicPr>
                  </pic:nvPicPr>
                  <pic:blipFill>
                    <a:blip r:embed="rId7"/>
                    <a:stretch>
                      <a:fillRect/>
                    </a:stretch>
                  </pic:blipFill>
                  <pic:spPr>
                    <a:xfrm>
                      <a:off x="0" y="0"/>
                      <a:ext cx="5523865" cy="4714240"/>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70500" cy="6820535"/>
            <wp:effectExtent l="0" t="0" r="6350" b="18415"/>
            <wp:docPr id="5" name="图片 5" descr="34203b4345c75e698e628b88cfb8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4203b4345c75e698e628b88cfb89e0"/>
                    <pic:cNvPicPr>
                      <a:picLocks noChangeAspect="1"/>
                    </pic:cNvPicPr>
                  </pic:nvPicPr>
                  <pic:blipFill>
                    <a:blip r:embed="rId8"/>
                    <a:stretch>
                      <a:fillRect/>
                    </a:stretch>
                  </pic:blipFill>
                  <pic:spPr>
                    <a:xfrm>
                      <a:off x="0" y="0"/>
                      <a:ext cx="5270500" cy="682053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121275" cy="8853805"/>
            <wp:effectExtent l="0" t="0" r="3175" b="4445"/>
            <wp:docPr id="6" name="图片 6" descr="8bc5d2be34abe3b80a9e4832aae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bc5d2be34abe3b80a9e4832aae3519"/>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73040" cy="4874895"/>
            <wp:effectExtent l="0" t="0" r="3810" b="1905"/>
            <wp:docPr id="7" name="图片 7" descr="19fe905c1a20b03705d1bb35e940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9fe905c1a20b03705d1bb35e94061e"/>
                    <pic:cNvPicPr>
                      <a:picLocks noChangeAspect="1"/>
                    </pic:cNvPicPr>
                  </pic:nvPicPr>
                  <pic:blipFill>
                    <a:blip r:embed="rId10"/>
                    <a:stretch>
                      <a:fillRect/>
                    </a:stretch>
                  </pic:blipFill>
                  <pic:spPr>
                    <a:xfrm>
                      <a:off x="0" y="0"/>
                      <a:ext cx="5273040" cy="487489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596890" cy="2555875"/>
            <wp:effectExtent l="0" t="0" r="3810" b="15875"/>
            <wp:docPr id="8" name="图片 8" descr="ed29e87002cdaf508a72e9102eab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d29e87002cdaf508a72e9102eabf07"/>
                    <pic:cNvPicPr>
                      <a:picLocks noChangeAspect="1"/>
                    </pic:cNvPicPr>
                  </pic:nvPicPr>
                  <pic:blipFill>
                    <a:blip r:embed="rId11"/>
                    <a:stretch>
                      <a:fillRect/>
                    </a:stretch>
                  </pic:blipFill>
                  <pic:spPr>
                    <a:xfrm>
                      <a:off x="0" y="0"/>
                      <a:ext cx="5596890" cy="255587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269865" cy="2870200"/>
            <wp:effectExtent l="0" t="0" r="6985" b="6350"/>
            <wp:docPr id="9" name="图片 9" descr="b5559ee6796b611788d796b565feb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5559ee6796b611788d796b565feb0a"/>
                    <pic:cNvPicPr>
                      <a:picLocks noChangeAspect="1"/>
                    </pic:cNvPicPr>
                  </pic:nvPicPr>
                  <pic:blipFill>
                    <a:blip r:embed="rId12"/>
                    <a:stretch>
                      <a:fillRect/>
                    </a:stretch>
                  </pic:blipFill>
                  <pic:spPr>
                    <a:xfrm>
                      <a:off x="0" y="0"/>
                      <a:ext cx="5269865" cy="2870200"/>
                    </a:xfrm>
                    <a:prstGeom prst="rect">
                      <a:avLst/>
                    </a:prstGeom>
                  </pic:spPr>
                </pic:pic>
              </a:graphicData>
            </a:graphic>
          </wp:inline>
        </w:drawing>
      </w:r>
    </w:p>
    <w:p>
      <w:pPr>
        <w:rPr>
          <w:rFonts w:hint="eastAsia" w:eastAsiaTheme="minorEastAsia"/>
          <w:lang w:eastAsia="zh-CN"/>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1334.32</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25.7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25.7</w:t>
      </w:r>
      <w:r>
        <w:rPr>
          <w:rFonts w:hint="eastAsia" w:ascii="仿宋" w:hAnsi="仿宋" w:eastAsia="仿宋"/>
          <w:sz w:val="30"/>
          <w:szCs w:val="30"/>
        </w:rPr>
        <w:t xml:space="preserve"> 万元</w:t>
      </w:r>
      <w:r>
        <w:rPr>
          <w:rFonts w:hint="eastAsia" w:ascii="仿宋" w:hAnsi="仿宋" w:eastAsia="仿宋"/>
          <w:sz w:val="30"/>
          <w:szCs w:val="30"/>
          <w:lang w:eastAsia="zh-CN"/>
        </w:rPr>
        <w:t>；</w:t>
      </w:r>
      <w:r>
        <w:rPr>
          <w:rFonts w:hint="eastAsia" w:ascii="仿宋" w:hAnsi="仿宋" w:eastAsia="仿宋"/>
          <w:sz w:val="30"/>
          <w:szCs w:val="30"/>
        </w:rPr>
        <w:t>本年收入合计</w:t>
      </w:r>
      <w:r>
        <w:rPr>
          <w:rFonts w:hint="eastAsia" w:ascii="仿宋" w:hAnsi="仿宋" w:eastAsia="仿宋"/>
          <w:sz w:val="30"/>
          <w:szCs w:val="30"/>
          <w:lang w:val="en-US" w:eastAsia="zh-CN"/>
        </w:rPr>
        <w:t>1308.62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625.32</w:t>
      </w:r>
      <w:r>
        <w:rPr>
          <w:rFonts w:hint="eastAsia" w:ascii="仿宋" w:hAnsi="仿宋" w:eastAsia="仿宋"/>
          <w:sz w:val="30"/>
          <w:szCs w:val="30"/>
        </w:rPr>
        <w:t>万元，增长</w:t>
      </w:r>
      <w:r>
        <w:rPr>
          <w:rFonts w:hint="eastAsia" w:ascii="仿宋" w:hAnsi="仿宋" w:eastAsia="仿宋"/>
          <w:sz w:val="30"/>
          <w:szCs w:val="30"/>
          <w:lang w:val="en-US" w:eastAsia="zh-CN"/>
        </w:rPr>
        <w:t>95.51</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2019年增加政府性基金预算收入</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1308.62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1334.32</w:t>
      </w:r>
      <w:r>
        <w:rPr>
          <w:rFonts w:hint="eastAsia" w:ascii="仿宋" w:hAnsi="仿宋" w:eastAsia="仿宋"/>
          <w:sz w:val="30"/>
          <w:szCs w:val="30"/>
        </w:rPr>
        <w:t>万元，其中本年支出合计</w:t>
      </w:r>
      <w:r>
        <w:rPr>
          <w:rFonts w:hint="eastAsia" w:ascii="仿宋" w:hAnsi="仿宋" w:eastAsia="仿宋"/>
          <w:sz w:val="30"/>
          <w:szCs w:val="30"/>
          <w:lang w:val="en-US" w:eastAsia="zh-CN"/>
        </w:rPr>
        <w:t>1065.45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382.15</w:t>
      </w:r>
      <w:r>
        <w:rPr>
          <w:rFonts w:hint="eastAsia" w:ascii="仿宋" w:hAnsi="仿宋" w:eastAsia="仿宋"/>
          <w:sz w:val="30"/>
          <w:szCs w:val="30"/>
        </w:rPr>
        <w:t>万元，增长</w:t>
      </w:r>
      <w:r>
        <w:rPr>
          <w:rFonts w:hint="eastAsia" w:ascii="仿宋" w:hAnsi="仿宋" w:eastAsia="仿宋"/>
          <w:sz w:val="30"/>
          <w:szCs w:val="30"/>
          <w:lang w:val="en-US" w:eastAsia="zh-CN"/>
        </w:rPr>
        <w:t>55.93</w:t>
      </w:r>
      <w:r>
        <w:rPr>
          <w:rFonts w:hint="eastAsia" w:ascii="仿宋" w:hAnsi="仿宋" w:eastAsia="仿宋"/>
          <w:sz w:val="30"/>
          <w:szCs w:val="30"/>
        </w:rPr>
        <w:t>%，主要原因是：</w:t>
      </w:r>
      <w:r>
        <w:rPr>
          <w:rFonts w:hint="eastAsia" w:ascii="仿宋" w:hAnsi="仿宋" w:eastAsia="仿宋"/>
          <w:sz w:val="30"/>
          <w:szCs w:val="30"/>
          <w:lang w:val="en-US" w:eastAsia="zh-CN"/>
        </w:rPr>
        <w:t>2019年增加政府性基金预算支出。</w:t>
      </w:r>
      <w:r>
        <w:rPr>
          <w:rFonts w:hint="eastAsia" w:ascii="仿宋" w:hAnsi="仿宋" w:eastAsia="仿宋"/>
          <w:sz w:val="30"/>
          <w:szCs w:val="30"/>
        </w:rPr>
        <w:t>年末结转和结余</w:t>
      </w:r>
      <w:r>
        <w:rPr>
          <w:rFonts w:hint="eastAsia" w:ascii="仿宋" w:hAnsi="仿宋" w:eastAsia="仿宋"/>
          <w:sz w:val="30"/>
          <w:szCs w:val="30"/>
          <w:lang w:val="en-US" w:eastAsia="zh-CN"/>
        </w:rPr>
        <w:t>268.87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268.87</w:t>
      </w:r>
      <w:r>
        <w:rPr>
          <w:rFonts w:hint="eastAsia" w:ascii="仿宋" w:hAnsi="仿宋" w:eastAsia="仿宋"/>
          <w:sz w:val="30"/>
          <w:szCs w:val="30"/>
        </w:rPr>
        <w:t>万元，主要原因是：</w:t>
      </w:r>
      <w:r>
        <w:rPr>
          <w:rFonts w:hint="eastAsia" w:ascii="仿宋" w:hAnsi="仿宋" w:eastAsia="仿宋"/>
          <w:sz w:val="30"/>
          <w:szCs w:val="30"/>
          <w:lang w:val="en-US" w:eastAsia="zh-CN"/>
        </w:rPr>
        <w:t>2018年没有结转和结余</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953.63</w:t>
      </w:r>
      <w:r>
        <w:rPr>
          <w:rFonts w:hint="eastAsia" w:ascii="仿宋" w:hAnsi="仿宋" w:eastAsia="仿宋"/>
          <w:sz w:val="30"/>
          <w:szCs w:val="30"/>
        </w:rPr>
        <w:t>万元，占</w:t>
      </w:r>
      <w:r>
        <w:rPr>
          <w:rFonts w:hint="eastAsia" w:ascii="仿宋" w:hAnsi="仿宋" w:eastAsia="仿宋"/>
          <w:sz w:val="30"/>
          <w:szCs w:val="30"/>
          <w:lang w:val="en-US" w:eastAsia="zh-CN"/>
        </w:rPr>
        <w:t>89.5</w:t>
      </w:r>
      <w:r>
        <w:rPr>
          <w:rFonts w:hint="eastAsia" w:ascii="仿宋" w:hAnsi="仿宋" w:eastAsia="仿宋"/>
          <w:sz w:val="30"/>
          <w:szCs w:val="30"/>
        </w:rPr>
        <w:t xml:space="preserve"> %；项目支出</w:t>
      </w:r>
      <w:r>
        <w:rPr>
          <w:rFonts w:hint="eastAsia" w:ascii="仿宋" w:hAnsi="仿宋" w:eastAsia="仿宋"/>
          <w:sz w:val="30"/>
          <w:szCs w:val="30"/>
          <w:lang w:val="en-US" w:eastAsia="zh-CN"/>
        </w:rPr>
        <w:t>111.82</w:t>
      </w:r>
      <w:r>
        <w:rPr>
          <w:rFonts w:hint="eastAsia" w:ascii="仿宋" w:hAnsi="仿宋" w:eastAsia="仿宋"/>
          <w:sz w:val="30"/>
          <w:szCs w:val="30"/>
        </w:rPr>
        <w:t>万元，占</w:t>
      </w:r>
      <w:r>
        <w:rPr>
          <w:rFonts w:hint="eastAsia" w:ascii="仿宋" w:hAnsi="仿宋" w:eastAsia="仿宋"/>
          <w:sz w:val="30"/>
          <w:szCs w:val="30"/>
          <w:lang w:val="en-US" w:eastAsia="zh-CN"/>
        </w:rPr>
        <w:t>10.5</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三、财政拨款支出决算情况说明</w:t>
      </w:r>
    </w:p>
    <w:p>
      <w:pPr>
        <w:ind w:firstLine="63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本部门201</w:t>
      </w:r>
      <w:r>
        <w:rPr>
          <w:rFonts w:hint="eastAsia" w:ascii="仿宋" w:hAnsi="仿宋" w:eastAsia="仿宋"/>
          <w:color w:val="auto"/>
          <w:sz w:val="30"/>
          <w:szCs w:val="30"/>
          <w:highlight w:val="none"/>
          <w:lang w:val="en-US" w:eastAsia="zh-CN"/>
        </w:rPr>
        <w:t>9</w:t>
      </w:r>
      <w:r>
        <w:rPr>
          <w:rFonts w:hint="eastAsia" w:ascii="仿宋" w:hAnsi="仿宋" w:eastAsia="仿宋"/>
          <w:color w:val="auto"/>
          <w:sz w:val="30"/>
          <w:szCs w:val="30"/>
          <w:highlight w:val="none"/>
        </w:rPr>
        <w:t>年度财政拨款本年支出年初预算数为</w:t>
      </w:r>
      <w:r>
        <w:rPr>
          <w:rFonts w:hint="eastAsia" w:ascii="仿宋" w:hAnsi="仿宋" w:eastAsia="仿宋"/>
          <w:color w:val="auto"/>
          <w:sz w:val="30"/>
          <w:szCs w:val="30"/>
          <w:highlight w:val="none"/>
          <w:lang w:val="en-US" w:eastAsia="zh-CN"/>
        </w:rPr>
        <w:t>673.51</w:t>
      </w:r>
      <w:r>
        <w:rPr>
          <w:rFonts w:hint="eastAsia" w:ascii="仿宋" w:hAnsi="仿宋" w:eastAsia="仿宋"/>
          <w:color w:val="auto"/>
          <w:sz w:val="30"/>
          <w:szCs w:val="30"/>
          <w:highlight w:val="none"/>
        </w:rPr>
        <w:t>万元，决算数为</w:t>
      </w:r>
      <w:r>
        <w:rPr>
          <w:rFonts w:hint="eastAsia" w:ascii="仿宋" w:hAnsi="仿宋" w:eastAsia="仿宋"/>
          <w:color w:val="auto"/>
          <w:sz w:val="30"/>
          <w:szCs w:val="30"/>
          <w:highlight w:val="none"/>
          <w:lang w:val="en-US" w:eastAsia="zh-CN"/>
        </w:rPr>
        <w:t>1065.45</w:t>
      </w:r>
      <w:r>
        <w:rPr>
          <w:rFonts w:hint="eastAsia" w:ascii="仿宋" w:hAnsi="仿宋" w:eastAsia="仿宋"/>
          <w:color w:val="auto"/>
          <w:sz w:val="30"/>
          <w:szCs w:val="30"/>
          <w:highlight w:val="none"/>
        </w:rPr>
        <w:t>万元，完成年初预算的</w:t>
      </w:r>
      <w:r>
        <w:rPr>
          <w:rFonts w:hint="eastAsia" w:ascii="仿宋" w:hAnsi="仿宋" w:eastAsia="仿宋"/>
          <w:color w:val="auto"/>
          <w:sz w:val="30"/>
          <w:szCs w:val="30"/>
          <w:highlight w:val="none"/>
          <w:lang w:val="en-US" w:eastAsia="zh-CN"/>
        </w:rPr>
        <w:t>158</w:t>
      </w:r>
      <w:r>
        <w:rPr>
          <w:rFonts w:hint="eastAsia" w:ascii="仿宋" w:hAnsi="仿宋" w:eastAsia="仿宋"/>
          <w:color w:val="auto"/>
          <w:sz w:val="30"/>
          <w:szCs w:val="30"/>
          <w:highlight w:val="none"/>
        </w:rPr>
        <w:t>%。其中：</w:t>
      </w:r>
    </w:p>
    <w:p>
      <w:pPr>
        <w:ind w:firstLine="63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（一）一般公共服务支出年初预算数为</w:t>
      </w:r>
      <w:r>
        <w:rPr>
          <w:rFonts w:hint="eastAsia" w:ascii="仿宋" w:hAnsi="仿宋" w:eastAsia="仿宋"/>
          <w:color w:val="auto"/>
          <w:sz w:val="30"/>
          <w:szCs w:val="30"/>
          <w:highlight w:val="none"/>
          <w:lang w:val="en-US" w:eastAsia="zh-CN"/>
        </w:rPr>
        <w:t>441.4</w:t>
      </w:r>
      <w:r>
        <w:rPr>
          <w:rFonts w:hint="eastAsia" w:ascii="仿宋" w:hAnsi="仿宋" w:eastAsia="仿宋"/>
          <w:color w:val="auto"/>
          <w:sz w:val="30"/>
          <w:szCs w:val="30"/>
          <w:highlight w:val="none"/>
        </w:rPr>
        <w:t>万元，决算数为</w:t>
      </w:r>
      <w:r>
        <w:rPr>
          <w:rFonts w:hint="eastAsia" w:ascii="仿宋" w:hAnsi="仿宋" w:eastAsia="仿宋"/>
          <w:color w:val="auto"/>
          <w:sz w:val="30"/>
          <w:szCs w:val="30"/>
          <w:highlight w:val="none"/>
          <w:lang w:val="en-US" w:eastAsia="zh-CN"/>
        </w:rPr>
        <w:t>672.45</w:t>
      </w:r>
      <w:r>
        <w:rPr>
          <w:rFonts w:hint="eastAsia" w:ascii="仿宋" w:hAnsi="仿宋" w:eastAsia="仿宋"/>
          <w:color w:val="auto"/>
          <w:sz w:val="30"/>
          <w:szCs w:val="30"/>
          <w:highlight w:val="none"/>
        </w:rPr>
        <w:t>万元，完成年初预算的</w:t>
      </w:r>
      <w:r>
        <w:rPr>
          <w:rFonts w:hint="eastAsia" w:ascii="仿宋" w:hAnsi="仿宋" w:eastAsia="仿宋"/>
          <w:color w:val="auto"/>
          <w:sz w:val="30"/>
          <w:szCs w:val="30"/>
          <w:highlight w:val="none"/>
          <w:lang w:val="en-US" w:eastAsia="zh-CN"/>
        </w:rPr>
        <w:t>152</w:t>
      </w:r>
      <w:r>
        <w:rPr>
          <w:rFonts w:hint="eastAsia" w:ascii="仿宋" w:hAnsi="仿宋" w:eastAsia="仿宋"/>
          <w:color w:val="auto"/>
          <w:sz w:val="30"/>
          <w:szCs w:val="30"/>
          <w:highlight w:val="none"/>
        </w:rPr>
        <w:t>%，主要原因是：</w:t>
      </w:r>
      <w:r>
        <w:rPr>
          <w:rFonts w:hint="eastAsia" w:ascii="仿宋" w:hAnsi="仿宋" w:eastAsia="仿宋"/>
          <w:color w:val="auto"/>
          <w:sz w:val="30"/>
          <w:szCs w:val="30"/>
          <w:highlight w:val="none"/>
          <w:lang w:val="en-US" w:eastAsia="zh-CN"/>
        </w:rPr>
        <w:t>2019年增加政府性基金预算支出</w:t>
      </w:r>
      <w:r>
        <w:rPr>
          <w:rFonts w:hint="eastAsia" w:ascii="仿宋" w:hAnsi="仿宋" w:eastAsia="仿宋"/>
          <w:color w:val="auto"/>
          <w:sz w:val="30"/>
          <w:szCs w:val="30"/>
          <w:highlight w:val="none"/>
        </w:rPr>
        <w:t>。</w:t>
      </w:r>
    </w:p>
    <w:p>
      <w:pPr>
        <w:ind w:firstLine="630"/>
        <w:jc w:val="left"/>
        <w:rPr>
          <w:rFonts w:hint="eastAsia" w:ascii="仿宋" w:hAnsi="仿宋" w:eastAsia="仿宋"/>
          <w:color w:val="auto"/>
          <w:sz w:val="30"/>
          <w:szCs w:val="30"/>
          <w:highlight w:val="none"/>
        </w:rPr>
      </w:pPr>
      <w:r>
        <w:rPr>
          <w:rFonts w:hint="eastAsia" w:ascii="仿宋" w:hAnsi="仿宋" w:eastAsia="仿宋"/>
          <w:color w:val="auto"/>
          <w:sz w:val="30"/>
          <w:szCs w:val="30"/>
          <w:highlight w:val="none"/>
        </w:rPr>
        <w:t>（二）</w:t>
      </w:r>
      <w:r>
        <w:rPr>
          <w:rFonts w:hint="eastAsia" w:ascii="仿宋" w:hAnsi="仿宋" w:eastAsia="仿宋"/>
          <w:color w:val="auto"/>
          <w:sz w:val="30"/>
          <w:szCs w:val="30"/>
          <w:highlight w:val="none"/>
          <w:lang w:val="en-US" w:eastAsia="zh-CN"/>
        </w:rPr>
        <w:t>社会就业和保障</w:t>
      </w:r>
      <w:r>
        <w:rPr>
          <w:rFonts w:hint="eastAsia" w:ascii="仿宋" w:hAnsi="仿宋" w:eastAsia="仿宋"/>
          <w:color w:val="auto"/>
          <w:sz w:val="30"/>
          <w:szCs w:val="30"/>
          <w:highlight w:val="none"/>
        </w:rPr>
        <w:t>支出年初预算数为</w:t>
      </w:r>
      <w:r>
        <w:rPr>
          <w:rFonts w:hint="eastAsia" w:ascii="仿宋" w:hAnsi="仿宋" w:eastAsia="仿宋"/>
          <w:color w:val="auto"/>
          <w:sz w:val="30"/>
          <w:szCs w:val="30"/>
          <w:highlight w:val="none"/>
          <w:lang w:val="en-US" w:eastAsia="zh-CN"/>
        </w:rPr>
        <w:t>48.36</w:t>
      </w:r>
      <w:r>
        <w:rPr>
          <w:rFonts w:hint="eastAsia" w:ascii="仿宋" w:hAnsi="仿宋" w:eastAsia="仿宋"/>
          <w:color w:val="auto"/>
          <w:sz w:val="30"/>
          <w:szCs w:val="30"/>
          <w:highlight w:val="none"/>
        </w:rPr>
        <w:t>万元，决算数为</w:t>
      </w:r>
      <w:r>
        <w:rPr>
          <w:rFonts w:hint="eastAsia" w:ascii="仿宋" w:hAnsi="仿宋" w:eastAsia="仿宋"/>
          <w:color w:val="auto"/>
          <w:sz w:val="30"/>
          <w:szCs w:val="30"/>
          <w:highlight w:val="none"/>
          <w:lang w:val="en-US" w:eastAsia="zh-CN"/>
        </w:rPr>
        <w:t>39.95</w:t>
      </w:r>
      <w:r>
        <w:rPr>
          <w:rFonts w:hint="eastAsia" w:ascii="仿宋" w:hAnsi="仿宋" w:eastAsia="仿宋"/>
          <w:color w:val="auto"/>
          <w:sz w:val="30"/>
          <w:szCs w:val="30"/>
          <w:highlight w:val="none"/>
        </w:rPr>
        <w:t>万元，完成年初预算的</w:t>
      </w:r>
      <w:r>
        <w:rPr>
          <w:rFonts w:hint="eastAsia" w:ascii="仿宋" w:hAnsi="仿宋" w:eastAsia="仿宋"/>
          <w:color w:val="auto"/>
          <w:sz w:val="30"/>
          <w:szCs w:val="30"/>
          <w:highlight w:val="none"/>
          <w:lang w:val="en-US" w:eastAsia="zh-CN"/>
        </w:rPr>
        <w:t>82.61</w:t>
      </w:r>
      <w:r>
        <w:rPr>
          <w:rFonts w:hint="eastAsia" w:ascii="仿宋" w:hAnsi="仿宋" w:eastAsia="仿宋"/>
          <w:color w:val="auto"/>
          <w:sz w:val="30"/>
          <w:szCs w:val="30"/>
          <w:highlight w:val="none"/>
        </w:rPr>
        <w:t>%，主要原因是：</w:t>
      </w:r>
      <w:r>
        <w:rPr>
          <w:rFonts w:hint="eastAsia" w:ascii="仿宋" w:hAnsi="仿宋" w:eastAsia="仿宋"/>
          <w:color w:val="auto"/>
          <w:sz w:val="30"/>
          <w:szCs w:val="30"/>
          <w:highlight w:val="none"/>
          <w:lang w:val="en-US" w:eastAsia="zh-CN"/>
        </w:rPr>
        <w:t>职工医保等列入了卫生健康支出</w:t>
      </w:r>
      <w:r>
        <w:rPr>
          <w:rFonts w:hint="eastAsia" w:ascii="仿宋" w:hAnsi="仿宋" w:eastAsia="仿宋"/>
          <w:color w:val="auto"/>
          <w:sz w:val="30"/>
          <w:szCs w:val="30"/>
          <w:highlight w:val="none"/>
        </w:rPr>
        <w:t>。</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三</w:t>
      </w:r>
      <w:r>
        <w:rPr>
          <w:rFonts w:hint="eastAsia" w:ascii="仿宋" w:hAnsi="仿宋" w:eastAsia="仿宋"/>
          <w:color w:val="auto"/>
          <w:sz w:val="30"/>
          <w:szCs w:val="30"/>
          <w:highlight w:val="none"/>
          <w:lang w:eastAsia="zh-CN"/>
        </w:rPr>
        <w:t>）</w:t>
      </w:r>
      <w:r>
        <w:rPr>
          <w:rFonts w:hint="eastAsia" w:ascii="仿宋" w:hAnsi="仿宋" w:eastAsia="仿宋"/>
          <w:color w:val="auto"/>
          <w:sz w:val="30"/>
          <w:szCs w:val="30"/>
          <w:highlight w:val="none"/>
          <w:lang w:val="en-US" w:eastAsia="zh-CN"/>
        </w:rPr>
        <w:t>卫生健康支出年初预算数为0万元，决算数为21.8万元，主要原因是：职工医保列入卫生健康支出。</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（四）城乡社区支出年初预算数为0万元，决算数为51.92万元，主要原因是：2019年增加政府性基金预算支出。</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（五）农林水支出年初预算数为12万元，决算数为218.71万元，主要原因是：村干部工资、社保等列入农林水支出。</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（六）其他支出年初预算数为0万元，决算数为60.62万元，主要原因是：2019年增加政府性基金预算支出，墓区整治等工程实施。</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（七）社会保险基金支出年初预算数为13.84万元，决算算为0万元，主要原因是：职工医保等列入了卫生健康支出。</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（八）援助其他地区支出年初预算数为4.1万元，决算数为0万元。</w:t>
      </w:r>
    </w:p>
    <w:p>
      <w:pPr>
        <w:ind w:firstLine="630"/>
        <w:jc w:val="left"/>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（九）住房保障支出年初预算数为16.15万元，决算数为0万元。</w:t>
      </w:r>
    </w:p>
    <w:p>
      <w:pPr>
        <w:ind w:firstLine="630"/>
        <w:jc w:val="left"/>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（十）转移性支出年初预算数为137.66万元，决算数为0万元，主要原因是：村干部工资、社保等列入农林水支出。</w:t>
      </w:r>
      <w:bookmarkStart w:id="0" w:name="_GoBack"/>
      <w:bookmarkEnd w:id="0"/>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952.91</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516.55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109.4</w:t>
      </w:r>
      <w:r>
        <w:rPr>
          <w:rFonts w:hint="eastAsia" w:ascii="仿宋" w:hAnsi="仿宋" w:eastAsia="仿宋"/>
          <w:sz w:val="30"/>
          <w:szCs w:val="30"/>
        </w:rPr>
        <w:t>万元，增长</w:t>
      </w:r>
      <w:r>
        <w:rPr>
          <w:rFonts w:hint="eastAsia" w:ascii="仿宋" w:hAnsi="仿宋" w:eastAsia="仿宋"/>
          <w:sz w:val="30"/>
          <w:szCs w:val="30"/>
          <w:lang w:val="en-US" w:eastAsia="zh-CN"/>
        </w:rPr>
        <w:t>21.18</w:t>
      </w:r>
      <w:r>
        <w:rPr>
          <w:rFonts w:hint="eastAsia" w:ascii="仿宋" w:hAnsi="仿宋" w:eastAsia="仿宋"/>
          <w:sz w:val="30"/>
          <w:szCs w:val="30"/>
        </w:rPr>
        <w:t>%，主要原因是：</w:t>
      </w:r>
      <w:r>
        <w:rPr>
          <w:rFonts w:hint="eastAsia" w:ascii="仿宋" w:hAnsi="仿宋" w:eastAsia="仿宋"/>
          <w:sz w:val="30"/>
          <w:szCs w:val="30"/>
          <w:lang w:val="en-US" w:eastAsia="zh-CN"/>
        </w:rPr>
        <w:t>2019年新招录、调入人员，工资、社保、医保支出增加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244.34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31.8</w:t>
      </w:r>
      <w:r>
        <w:rPr>
          <w:rFonts w:hint="eastAsia" w:ascii="仿宋" w:hAnsi="仿宋" w:eastAsia="仿宋"/>
          <w:sz w:val="30"/>
          <w:szCs w:val="30"/>
        </w:rPr>
        <w:t>万元，下降</w:t>
      </w:r>
      <w:r>
        <w:rPr>
          <w:rFonts w:hint="eastAsia" w:ascii="仿宋" w:hAnsi="仿宋" w:eastAsia="仿宋"/>
          <w:sz w:val="30"/>
          <w:szCs w:val="30"/>
          <w:lang w:val="en-US" w:eastAsia="zh-CN"/>
        </w:rPr>
        <w:t>11.51</w:t>
      </w:r>
      <w:r>
        <w:rPr>
          <w:rFonts w:hint="eastAsia" w:ascii="仿宋" w:hAnsi="仿宋" w:eastAsia="仿宋"/>
          <w:sz w:val="30"/>
          <w:szCs w:val="30"/>
        </w:rPr>
        <w:t>%，主要原因是：</w:t>
      </w:r>
      <w:r>
        <w:rPr>
          <w:rFonts w:hint="eastAsia" w:ascii="仿宋" w:hAnsi="仿宋" w:eastAsia="仿宋"/>
          <w:sz w:val="30"/>
          <w:szCs w:val="30"/>
          <w:lang w:val="en-US" w:eastAsia="zh-CN"/>
        </w:rPr>
        <w:t>节约开支，降低行政运行成本</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192.02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192.02</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增加政府性基金预算支出，增加抚恤金等支出</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eastAsia="zh-CN"/>
        </w:rPr>
        <w:t>）</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52</w:t>
      </w:r>
      <w:r>
        <w:rPr>
          <w:rFonts w:hint="eastAsia" w:ascii="仿宋" w:hAnsi="仿宋" w:eastAsia="仿宋"/>
          <w:sz w:val="30"/>
          <w:szCs w:val="30"/>
        </w:rPr>
        <w:t>万元，决算数为</w:t>
      </w:r>
      <w:r>
        <w:rPr>
          <w:rFonts w:hint="eastAsia" w:ascii="仿宋" w:hAnsi="仿宋" w:eastAsia="仿宋"/>
          <w:sz w:val="30"/>
          <w:szCs w:val="30"/>
          <w:lang w:val="en-US" w:eastAsia="zh-CN"/>
        </w:rPr>
        <w:t>46.28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8.1</w:t>
      </w:r>
      <w:r>
        <w:rPr>
          <w:rFonts w:hint="eastAsia" w:ascii="仿宋" w:hAnsi="仿宋" w:eastAsia="仿宋"/>
          <w:sz w:val="30"/>
          <w:szCs w:val="30"/>
        </w:rPr>
        <w:t>万元，下降</w:t>
      </w:r>
      <w:r>
        <w:rPr>
          <w:rFonts w:hint="eastAsia" w:ascii="仿宋" w:hAnsi="仿宋" w:eastAsia="仿宋"/>
          <w:sz w:val="30"/>
          <w:szCs w:val="30"/>
          <w:lang w:val="en-US" w:eastAsia="zh-CN"/>
        </w:rPr>
        <w:t>14.9</w:t>
      </w:r>
      <w:r>
        <w:rPr>
          <w:rFonts w:hint="eastAsia" w:ascii="仿宋" w:hAnsi="仿宋" w:eastAsia="仿宋"/>
          <w:sz w:val="30"/>
          <w:szCs w:val="30"/>
        </w:rPr>
        <w:t xml:space="preserve"> %，其中：</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numPr>
          <w:ilvl w:val="0"/>
          <w:numId w:val="1"/>
        </w:numPr>
        <w:ind w:firstLine="630"/>
        <w:jc w:val="left"/>
        <w:rPr>
          <w:rFonts w:hint="eastAsia" w:ascii="仿宋" w:hAnsi="仿宋" w:eastAsia="仿宋"/>
          <w:sz w:val="30"/>
          <w:szCs w:val="30"/>
        </w:rPr>
      </w:pPr>
      <w:r>
        <w:rPr>
          <w:rFonts w:hint="eastAsia" w:ascii="仿宋" w:hAnsi="仿宋" w:eastAsia="仿宋"/>
          <w:sz w:val="30"/>
          <w:szCs w:val="30"/>
        </w:rPr>
        <w:t>公务接待费支出年初预算数为</w:t>
      </w:r>
      <w:r>
        <w:rPr>
          <w:rFonts w:hint="eastAsia" w:ascii="仿宋" w:hAnsi="仿宋" w:eastAsia="仿宋"/>
          <w:sz w:val="30"/>
          <w:szCs w:val="30"/>
          <w:lang w:val="en-US" w:eastAsia="zh-CN"/>
        </w:rPr>
        <w:t>33</w:t>
      </w:r>
      <w:r>
        <w:rPr>
          <w:rFonts w:hint="eastAsia" w:ascii="仿宋" w:hAnsi="仿宋" w:eastAsia="仿宋"/>
          <w:sz w:val="30"/>
          <w:szCs w:val="30"/>
        </w:rPr>
        <w:t>万元，决算数为</w:t>
      </w:r>
      <w:r>
        <w:rPr>
          <w:rFonts w:hint="eastAsia" w:ascii="仿宋" w:hAnsi="仿宋" w:eastAsia="仿宋"/>
          <w:sz w:val="30"/>
          <w:szCs w:val="30"/>
          <w:lang w:val="en-US" w:eastAsia="zh-CN"/>
        </w:rPr>
        <w:t>28.48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86.3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5.9</w:t>
      </w:r>
      <w:r>
        <w:rPr>
          <w:rFonts w:hint="eastAsia" w:ascii="仿宋" w:hAnsi="仿宋" w:eastAsia="仿宋"/>
          <w:sz w:val="30"/>
          <w:szCs w:val="30"/>
        </w:rPr>
        <w:t>万元，下降</w:t>
      </w:r>
      <w:r>
        <w:rPr>
          <w:rFonts w:hint="eastAsia" w:ascii="仿宋" w:hAnsi="仿宋" w:eastAsia="仿宋"/>
          <w:sz w:val="30"/>
          <w:szCs w:val="30"/>
          <w:lang w:val="en-US" w:eastAsia="zh-CN"/>
        </w:rPr>
        <w:t>17.16</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节约开支，降低成本</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17.8</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19</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17.8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93.68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2.2</w:t>
      </w:r>
      <w:r>
        <w:rPr>
          <w:rFonts w:hint="eastAsia" w:ascii="仿宋" w:hAnsi="仿宋" w:eastAsia="仿宋"/>
          <w:sz w:val="30"/>
          <w:szCs w:val="30"/>
        </w:rPr>
        <w:t>万元，下降</w:t>
      </w:r>
      <w:r>
        <w:rPr>
          <w:rFonts w:hint="eastAsia" w:ascii="仿宋" w:hAnsi="仿宋" w:eastAsia="仿宋"/>
          <w:sz w:val="30"/>
          <w:szCs w:val="30"/>
          <w:lang w:val="en-US" w:eastAsia="zh-CN"/>
        </w:rPr>
        <w:t>11</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节约开支，降低成本</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244.34</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40.8</w:t>
      </w:r>
      <w:r>
        <w:rPr>
          <w:rFonts w:hint="eastAsia" w:ascii="仿宋" w:hAnsi="仿宋" w:eastAsia="仿宋"/>
          <w:sz w:val="30"/>
          <w:szCs w:val="30"/>
        </w:rPr>
        <w:t>万元，降低</w:t>
      </w:r>
      <w:r>
        <w:rPr>
          <w:rFonts w:hint="eastAsia" w:ascii="仿宋" w:hAnsi="仿宋" w:eastAsia="仿宋"/>
          <w:sz w:val="30"/>
          <w:szCs w:val="30"/>
          <w:lang w:val="en-US" w:eastAsia="zh-CN"/>
        </w:rPr>
        <w:t>14.31</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办公设施设备购置经费减少，落实过紧日子要求压减三公经费支出政策要求</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万元。</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w:t>
      </w:r>
      <w:r>
        <w:rPr>
          <w:rFonts w:hint="eastAsia" w:ascii="仿宋" w:hAnsi="仿宋" w:eastAsia="仿宋" w:cs="仿宋_GB2312"/>
          <w:kern w:val="0"/>
          <w:sz w:val="30"/>
          <w:szCs w:val="30"/>
          <w:lang w:val="en-US" w:eastAsia="zh-CN"/>
        </w:rPr>
        <w:t>无</w:t>
      </w:r>
      <w:r>
        <w:rPr>
          <w:rFonts w:hint="eastAsia" w:ascii="仿宋" w:hAnsi="仿宋" w:eastAsia="仿宋" w:cs="仿宋_GB2312"/>
          <w:kern w:val="0"/>
          <w:sz w:val="30"/>
          <w:szCs w:val="30"/>
        </w:rPr>
        <w:t>反映项目绩效自评结果。</w:t>
      </w: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widowControl/>
        <w:spacing w:line="580" w:lineRule="exact"/>
        <w:ind w:firstLine="600"/>
        <w:jc w:val="left"/>
        <w:rPr>
          <w:rFonts w:hint="eastAsia" w:ascii="仿宋" w:hAnsi="仿宋" w:eastAsia="仿宋"/>
          <w:kern w:val="0"/>
          <w:sz w:val="30"/>
          <w:szCs w:val="30"/>
        </w:rPr>
      </w:pP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一、财政拨款收入：指单位本年度从本级财政部门取得的财政拨款，包括一般公共预算财政拨款和政府性基金预算财政拨款。</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二、上级补助收入：指事业单位从主管部门和上级单位取得的非财政补助收入。</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三、事业收入：指事业单位开展专业业务活动及其辅助活动取得的收入；事业单位收到的财政专户实际核拨的教育收费等资金在此反映。</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四、经营收入：指事业单位在专业业务活动及其辅助活动之外开展非独立核算经营活动取得的收入。</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五、附属单位缴款：指事业单位附属独立核算单位按照有关规定上缴的收入。</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六、其他收入：指单位取得的除上述“财政拨款收入”、“事业收入”、“经营收入”、“附属单位缴款”等以外的各项收入。</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七、用事业基金弥补收支差额：指事业单位用事业基金弥补当年收支差额的数额。</w:t>
      </w:r>
      <w:r>
        <w:rPr>
          <w:rFonts w:hint="eastAsia" w:ascii="仿宋" w:hAnsi="仿宋" w:eastAsia="仿宋_GB2312" w:cs="宋体"/>
          <w:color w:val="000000"/>
          <w:kern w:val="0"/>
          <w:sz w:val="28"/>
          <w:szCs w:val="28"/>
        </w:rPr>
        <w:t xml:space="preserve"> </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八、年初结转和结余：指单位上年结转本年使用的基本支出结转、项目支出结转和结余和经营结余。</w:t>
      </w:r>
      <w:r>
        <w:rPr>
          <w:rFonts w:hint="eastAsia" w:ascii="仿宋" w:hAnsi="仿宋" w:eastAsia="仿宋_GB2312" w:cs="宋体"/>
          <w:color w:val="000000"/>
          <w:kern w:val="0"/>
          <w:sz w:val="28"/>
          <w:szCs w:val="28"/>
        </w:rPr>
        <w:t xml:space="preserve"> </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lang w:val="en-US" w:eastAsia="zh-CN"/>
        </w:rPr>
        <w:t>九</w:t>
      </w:r>
      <w:r>
        <w:rPr>
          <w:rFonts w:hint="eastAsia" w:ascii="仿宋_GB2312" w:hAnsi="仿宋" w:eastAsia="仿宋_GB2312" w:cs="宋体"/>
          <w:color w:val="000000"/>
          <w:kern w:val="0"/>
          <w:sz w:val="28"/>
          <w:szCs w:val="28"/>
        </w:rPr>
        <w:t>、年末结转和结余资金：指单位结转下年的基本支出结转、项目支出结转和结余和经营结余。</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十、基本支出：指为保障机构正常运转、完成日常工作任务而发生的人员支出和公用支出。</w:t>
      </w:r>
      <w:r>
        <w:rPr>
          <w:rFonts w:hint="eastAsia" w:ascii="仿宋" w:hAnsi="仿宋" w:eastAsia="仿宋_GB2312" w:cs="宋体"/>
          <w:color w:val="000000"/>
          <w:kern w:val="0"/>
          <w:sz w:val="28"/>
          <w:szCs w:val="28"/>
        </w:rPr>
        <w:t xml:space="preserve"> </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w:t>
      </w:r>
      <w:r>
        <w:rPr>
          <w:rFonts w:hint="eastAsia" w:ascii="仿宋_GB2312" w:hAnsi="仿宋" w:eastAsia="仿宋_GB2312" w:cs="宋体"/>
          <w:color w:val="000000"/>
          <w:kern w:val="0"/>
          <w:sz w:val="28"/>
          <w:szCs w:val="28"/>
          <w:lang w:val="en-US" w:eastAsia="zh-CN"/>
        </w:rPr>
        <w:t>一</w:t>
      </w:r>
      <w:r>
        <w:rPr>
          <w:rFonts w:hint="eastAsia" w:ascii="仿宋_GB2312" w:hAnsi="仿宋" w:eastAsia="仿宋_GB2312" w:cs="宋体"/>
          <w:color w:val="000000"/>
          <w:kern w:val="0"/>
          <w:sz w:val="28"/>
          <w:szCs w:val="28"/>
        </w:rPr>
        <w:t>、项目支出：指在基本支出之外为完成特定的行政任务或事业发展目标所发生的支出。</w:t>
      </w:r>
      <w:r>
        <w:rPr>
          <w:rFonts w:hint="eastAsia" w:ascii="仿宋" w:hAnsi="仿宋" w:eastAsia="仿宋_GB2312" w:cs="宋体"/>
          <w:color w:val="000000"/>
          <w:kern w:val="0"/>
          <w:sz w:val="28"/>
          <w:szCs w:val="28"/>
        </w:rPr>
        <w:t xml:space="preserve"> </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w:t>
      </w:r>
      <w:r>
        <w:rPr>
          <w:rFonts w:hint="eastAsia" w:ascii="仿宋_GB2312" w:hAnsi="仿宋" w:eastAsia="仿宋_GB2312" w:cs="宋体"/>
          <w:color w:val="000000"/>
          <w:kern w:val="0"/>
          <w:sz w:val="28"/>
          <w:szCs w:val="28"/>
          <w:lang w:val="en-US" w:eastAsia="zh-CN"/>
        </w:rPr>
        <w:t>二</w:t>
      </w:r>
      <w:r>
        <w:rPr>
          <w:rFonts w:hint="eastAsia" w:ascii="仿宋_GB2312" w:hAnsi="仿宋" w:eastAsia="仿宋_GB2312" w:cs="宋体"/>
          <w:color w:val="000000"/>
          <w:kern w:val="0"/>
          <w:sz w:val="28"/>
          <w:szCs w:val="28"/>
        </w:rPr>
        <w:t>、经营支出：指事业单位在专业业务活动及其辅助活动之外开展非独立核算经营活动发生的支出。</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w:t>
      </w:r>
      <w:r>
        <w:rPr>
          <w:rFonts w:hint="eastAsia" w:ascii="仿宋_GB2312" w:hAnsi="仿宋" w:eastAsia="仿宋_GB2312" w:cs="宋体"/>
          <w:color w:val="000000"/>
          <w:kern w:val="0"/>
          <w:sz w:val="28"/>
          <w:szCs w:val="28"/>
          <w:lang w:val="en-US" w:eastAsia="zh-CN"/>
        </w:rPr>
        <w:t>三</w:t>
      </w:r>
      <w:r>
        <w:rPr>
          <w:rFonts w:hint="eastAsia" w:ascii="仿宋_GB2312" w:hAnsi="仿宋" w:eastAsia="仿宋_GB2312" w:cs="宋体"/>
          <w:color w:val="000000"/>
          <w:kern w:val="0"/>
          <w:sz w:val="28"/>
          <w:szCs w:val="28"/>
        </w:rPr>
        <w:t>、对附属单位补助支出：指事业单位用财政补助收入之外的收入对附属单位补助发生的支出。</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w:t>
      </w:r>
      <w:r>
        <w:rPr>
          <w:rFonts w:hint="eastAsia" w:ascii="仿宋_GB2312" w:hAnsi="仿宋" w:eastAsia="仿宋_GB2312" w:cs="宋体"/>
          <w:color w:val="000000"/>
          <w:kern w:val="0"/>
          <w:sz w:val="28"/>
          <w:szCs w:val="28"/>
          <w:lang w:val="en-US" w:eastAsia="zh-CN"/>
        </w:rPr>
        <w:t>四</w:t>
      </w:r>
      <w:r>
        <w:rPr>
          <w:rFonts w:hint="eastAsia" w:ascii="仿宋_GB2312" w:hAnsi="仿宋" w:eastAsia="仿宋_GB2312" w:cs="宋体"/>
          <w:color w:val="000000"/>
          <w:kern w:val="0"/>
          <w:sz w:val="28"/>
          <w:szCs w:val="28"/>
        </w:rPr>
        <w:t>、“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r>
        <w:rPr>
          <w:rFonts w:hint="eastAsia" w:ascii="仿宋" w:hAnsi="仿宋" w:eastAsia="仿宋_GB2312" w:cs="宋体"/>
          <w:color w:val="000000"/>
          <w:kern w:val="0"/>
          <w:sz w:val="28"/>
          <w:szCs w:val="28"/>
        </w:rPr>
        <w:t xml:space="preserve"> </w:t>
      </w:r>
    </w:p>
    <w:p>
      <w:pPr>
        <w:widowControl/>
        <w:spacing w:before="100" w:beforeAutospacing="1" w:after="100" w:afterAutospacing="1"/>
        <w:ind w:firstLine="560" w:firstLineChars="200"/>
        <w:jc w:val="left"/>
        <w:rPr>
          <w:rFonts w:ascii="宋体" w:hAnsi="宋体" w:cs="宋体"/>
          <w:color w:val="000000"/>
          <w:kern w:val="0"/>
          <w:sz w:val="24"/>
        </w:rPr>
      </w:pPr>
      <w:r>
        <w:rPr>
          <w:rFonts w:hint="eastAsia" w:ascii="仿宋_GB2312" w:hAnsi="仿宋" w:eastAsia="仿宋_GB2312" w:cs="宋体"/>
          <w:color w:val="000000"/>
          <w:kern w:val="0"/>
          <w:sz w:val="28"/>
          <w:szCs w:val="28"/>
        </w:rPr>
        <w:t>十</w:t>
      </w:r>
      <w:r>
        <w:rPr>
          <w:rFonts w:hint="eastAsia" w:ascii="仿宋_GB2312" w:hAnsi="仿宋" w:eastAsia="仿宋_GB2312" w:cs="宋体"/>
          <w:color w:val="000000"/>
          <w:kern w:val="0"/>
          <w:sz w:val="28"/>
          <w:szCs w:val="28"/>
          <w:lang w:val="en-US" w:eastAsia="zh-CN"/>
        </w:rPr>
        <w:t>五</w:t>
      </w:r>
      <w:r>
        <w:rPr>
          <w:rFonts w:hint="eastAsia" w:ascii="仿宋_GB2312" w:hAnsi="仿宋" w:eastAsia="仿宋_GB2312" w:cs="宋体"/>
          <w:color w:val="000000"/>
          <w:kern w:val="0"/>
          <w:sz w:val="28"/>
          <w:szCs w:val="28"/>
        </w:rPr>
        <w:t>、机关运行经费：指为保障行政单位（含参照公务员法管理的事业单位）运行用于购买货物和服务的各项资金，包括办公费、印刷费、差旅费、会议费、日常维修费、专用材料及办公用房水电费、物业管理费、公务用车运行维护费等。</w:t>
      </w:r>
    </w:p>
    <w:p>
      <w:pPr>
        <w:widowControl/>
        <w:spacing w:line="580" w:lineRule="exact"/>
        <w:ind w:firstLine="600"/>
        <w:jc w:val="left"/>
        <w:rPr>
          <w:rFonts w:hint="eastAsia" w:ascii="仿宋" w:hAnsi="仿宋" w:eastAsia="仿宋"/>
          <w:kern w:val="0"/>
          <w:sz w:val="30"/>
          <w:szCs w:val="30"/>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1407A"/>
    <w:multiLevelType w:val="singleLevel"/>
    <w:tmpl w:val="2E2140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517F2"/>
    <w:rsid w:val="04936B09"/>
    <w:rsid w:val="05A72346"/>
    <w:rsid w:val="0AF2138B"/>
    <w:rsid w:val="0D3517F2"/>
    <w:rsid w:val="1615164D"/>
    <w:rsid w:val="179C3170"/>
    <w:rsid w:val="1ADF0FC7"/>
    <w:rsid w:val="278E26A7"/>
    <w:rsid w:val="3033151E"/>
    <w:rsid w:val="33273C3D"/>
    <w:rsid w:val="3E9D0CDB"/>
    <w:rsid w:val="3EA11E9B"/>
    <w:rsid w:val="3F1F2CEA"/>
    <w:rsid w:val="41B3198C"/>
    <w:rsid w:val="45BE5076"/>
    <w:rsid w:val="488D19A2"/>
    <w:rsid w:val="5BE019A0"/>
    <w:rsid w:val="5E8D67EE"/>
    <w:rsid w:val="63DE1227"/>
    <w:rsid w:val="6C4C723D"/>
    <w:rsid w:val="73E01E1D"/>
    <w:rsid w:val="761E106E"/>
    <w:rsid w:val="78C5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hei141"/>
    <w:basedOn w:val="3"/>
    <w:qFormat/>
    <w:uiPriority w:val="0"/>
    <w:rPr>
      <w:rFonts w:hint="eastAsia" w:ascii="宋体" w:hAnsi="宋体" w:eastAsia="宋体"/>
      <w:color w:val="000000"/>
      <w:sz w:val="21"/>
      <w:szCs w:val="21"/>
      <w:u w:val="none"/>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2021-04-29T14:28:00Z</dcterms:created>
  <dc:creator>yunyun</dc:creator>
  <cp:lastModifiedBy>yunyun</cp:lastModifiedBy>
  <dcterms:modified xsi:type="dcterms:W3CDTF">2021-04-30T02:33:00Z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