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油石乡2025年度法治政府建设</w:t>
      </w:r>
    </w:p>
    <w:p w14:paraId="323ED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工作情况报告</w:t>
      </w:r>
    </w:p>
    <w:p w14:paraId="08A6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C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油石乡在县委、县政府的坚强领导下，坚持以习近平新时代中国特色社会主义思想为指导，深入贯彻落实习近平法治思想，紧紧围绕全县法治建设工作部署，扎实推进法治政府建设各项工作。现将我乡2025年度法治政府建设工作情况报告如下。</w:t>
      </w:r>
    </w:p>
    <w:p w14:paraId="1680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第一部分：党政主要负责人履行推进第一责任人职责情况</w:t>
      </w:r>
    </w:p>
    <w:p w14:paraId="705C0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乡党委、政府主要负责同志切实将推进法治建设第一责任人职责扛在肩上、抓在手上，坚持将法治政府建设与经济社会发展同部署、同推进、同督促、同考核。</w:t>
      </w:r>
    </w:p>
    <w:p w14:paraId="1847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一是带头学习贯彻。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主要负责同志主持召开4次党委理论学习中心组专题学习会，深入学习习近平法治思想及中央、省、市、县关于法治建设的重要部署和法律法规。政府主要负责同志在乡干部大会、专题工作会议上多次强调法治建设要求，部署具体任务。</w:t>
      </w:r>
    </w:p>
    <w:p w14:paraId="19F5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二是牵头谋划部署。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主持召开年度法治政府建设专题会议2次，审议并通过《油石乡2025年法治政府建设工作要点》，将法治建设纳入年度综合考核指标体系。将履行推进法治建设职责情况列入班子成员年终述职内容。</w:t>
      </w:r>
    </w:p>
    <w:p w14:paraId="78ED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三是抓实重点环节。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大行政决策、重要合同签订、重大矛盾纠纷化解等事项，坚持要求必须进行合法性审查。全年对3项涉及公共利益和群众切身利益的决策事项，亲自过问并督促落实公众参与、专家论证、风险评估、合法性审查、集体讨论决定等法定程序。</w:t>
      </w:r>
    </w:p>
    <w:p w14:paraId="67BB9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四是强化督查问责。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年内听取法治政府建设工作专题汇报2次，对综合行政执法改革、政务服务规范化等重点工作进展情况进行督导。对工作中发现的个别部门程序不规范问题，要求立即整改并约谈相关负责人。</w:t>
      </w:r>
    </w:p>
    <w:p w14:paraId="4AC59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第二部分：2025年法治政府建设主要工作及成效</w:t>
      </w:r>
    </w:p>
    <w:p w14:paraId="0104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（一）持续优化政府职能，政务服务效能不断提升。</w:t>
      </w:r>
    </w:p>
    <w:p w14:paraId="6927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深化“放管服”改革。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全面梳理并公开乡级权责清单、公共服务事项清单。依托县乡联动政务服务平台，推动更多事项“一窗受理、一网通办、一次办结”。2025年，乡便民服务中心办件量同比增长15%，群众满意度达98%以上。</w:t>
      </w:r>
    </w:p>
    <w:p w14:paraId="4B40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强化事中事后监管。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全面推行“双随机、一公开”监管，制定年度抽查计划并规范实施。在市场监管、安全生产、生态环境等重点领域开展跨部门联合检查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次，减少对企业正常经营的干扰。</w:t>
      </w:r>
    </w:p>
    <w:p w14:paraId="710D9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打造法治化营商环境。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建立乡领导干部挂点联系重点企业制度，定期走访，听取企业法治诉求。依法平等保护各类市场主体合法权益，年内协调解决企业涉法纠纷5起。</w:t>
      </w:r>
    </w:p>
    <w:p w14:paraId="070D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（二）健全依法决策机制，行政决策公信力稳步增强。</w:t>
      </w:r>
    </w:p>
    <w:p w14:paraId="71F9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严格执行《重大行政决策程序暂行条例》，凡属重大决策，均按要求履行法定程序。</w:t>
      </w:r>
    </w:p>
    <w:p w14:paraId="3DB1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落实合法性审查。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聘请法律顾问1名，实现政府规范性文件、重大合同、重大执法决定合法性审查100%覆盖。全年审查各类文件、合同20余件，提出法律意见30余条。</w:t>
      </w:r>
    </w:p>
    <w:p w14:paraId="006C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（三）深化行政执法改革，严格规范公正文明执法。</w:t>
      </w:r>
    </w:p>
    <w:p w14:paraId="6AE4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整合执法力量。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稳步推进乡镇综合行政执法改革，整合原有站所执法权限和人员，成立乡综合行政执法大队，实行“一支队伍管执法”，执法效率和规范性得到提升。</w:t>
      </w:r>
    </w:p>
    <w:p w14:paraId="493D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规范执法行为。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全面落实行政执法“三项制度”。配备执法记录仪，实现执法过程全记录；组织重大执法决定法制审核1件；通过公示栏、网站定期公示行政处罚等信息。开展行政执法案卷评查2次。</w:t>
      </w:r>
    </w:p>
    <w:p w14:paraId="203D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组织全乡执法人员参加线上、线下法律知识培训和资格考试，全年举办专题培训4期，参训80人次，执法人员持证上岗率达100%。</w:t>
      </w:r>
    </w:p>
    <w:p w14:paraId="03241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（四）多元化解矛盾纠纷，社会公平正义有效维护。</w:t>
      </w:r>
    </w:p>
    <w:p w14:paraId="30C5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畅通调解渠道。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完善乡、村、组三级人民调解网络，发挥“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夕阳红理事会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”等品牌作用。全年排查矛盾纠纷156起，成功调解152起，调解成功率达97.4%。</w:t>
      </w:r>
    </w:p>
    <w:p w14:paraId="14FE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规范信访工作。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坚持依法分类处理信访诉求，落实领导干部接访下访制度。引导群众通过法定途径解决争议，信访事项按期办结率达100%。</w:t>
      </w:r>
    </w:p>
    <w:p w14:paraId="334E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优化公共法律服务。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乡公共法律服务工作站实体化运行，法律顾问定期坐班，为群众提供法律咨询、法律援助指引等服务。全年提供法律咨询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00余人次，协助办理法律援助申请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 w14:paraId="5D39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（五）强化普法宣传教育，法治社会根基不断夯实。</w:t>
      </w:r>
    </w:p>
    <w:p w14:paraId="5C20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落实普法责任。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制定并落实“谁执法谁普法”责任清单。结合“民法典宣传月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宪法宣传周”等重要节点，开展法律进乡村、进校园、进企业活动30余场次。</w:t>
      </w:r>
    </w:p>
    <w:p w14:paraId="2867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创新宣传形式。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利用法治宣传栏、微信群等载体，以案释法，宣传与群众生产生活密切相关的法律法规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深受群众欢迎。</w:t>
      </w:r>
    </w:p>
    <w:p w14:paraId="7942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推进民主法治示范创建。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新增创建县级“民主法治示范村”2个，对已命名的示范村实行动态管理，巩固创建成果。</w:t>
      </w:r>
    </w:p>
    <w:p w14:paraId="29F5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第三部分：主要存在的问题</w:t>
      </w:r>
    </w:p>
    <w:p w14:paraId="091D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在总结成绩的同时，我们也清醒认识到工作中存在的不足和挑战：</w:t>
      </w:r>
    </w:p>
    <w:p w14:paraId="6A07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法治队伍专业能力有待加强。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部分执法人员特别是新进人员，运用法治思维和法治方式解决复杂问题的能力尚有欠缺，法律专业背景人员比例不高。综合行政执法改革后，面对多领域执法任务，业务知识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融会贯通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需要时间。</w:t>
      </w:r>
    </w:p>
    <w:p w14:paraId="0223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依法行政的精细度有待提升。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部分领域执法文书制作、证据固定、案卷归档的规范性仍需加强。重大行政决策过程中的公众参与渠道可以进一步拓宽，参与实效有待增强。</w:t>
      </w:r>
    </w:p>
    <w:p w14:paraId="42EB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基层治理的法治融合度不足。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法治在化解历史遗留问题、引导村民自治、推进移风易俗等方面的渗透力和引领作用发挥还不够充分。“信访不信法”的观念在部分群众中依然存在，引导其依法维权的路径需要进一步畅通。</w:t>
      </w:r>
    </w:p>
    <w:p w14:paraId="4A33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第四部分：下一步工作打算</w:t>
      </w:r>
    </w:p>
    <w:p w14:paraId="48DA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2026年，我乡将坚持问题导向，精准发力，重点抓好以下工作：</w:t>
      </w:r>
    </w:p>
    <w:p w14:paraId="0B35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聚焦能力提升，锻造过硬法治队伍。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制定年度法治培训计划，通过专题轮训、案例研讨、旁听庭审、技能比武等方式，重点提升执法人员现场处置、调查取证、文书制作和法律适用能力。探索与法律院校或律所合作，引进专业力量提供指导。</w:t>
      </w:r>
    </w:p>
    <w:p w14:paraId="79A8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聚焦规范运行，提升依法行政水平。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并严格执行行政执法“三项制度”操作细则，强化案卷规范化管理。优化重大行政决策流程，探索建立基层立法联系点或民意直通车，增强公众参与的代表性和有效性。加大对各部门依法行政的日常监督和考核力度。</w:t>
      </w:r>
    </w:p>
    <w:p w14:paraId="1250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聚焦基层善治，深化法治社会建设。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“法律明白人”培养工程提质增效，使其真正成为基层依法治理的骨干力量。完善“网格+法治”治理模式，将矛盾纠纷排查化解、法治宣传、法律服务融入网格管理。依法修订完善村规民约，发挥其在乡村治理中的积极作用。加大依法化解信访积案的力度。</w:t>
      </w:r>
    </w:p>
    <w:p w14:paraId="6298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聚焦需求导向，增强普法宣传实效。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深入开展“订单式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菜单式”普法，针对不同群体需求精准提供法律服务产品。打造更具乡土气息、更接地气的法治文化作品。持续深化“民主法治示范村”创建，发挥典型引领作用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80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我乡将以更高的标准、更实的举措，持续深入推进法治政府建设，为油石乡经济社会高质量发展提供更加坚实的法治保障。</w:t>
      </w: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CB8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DD65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DD65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228A"/>
    <w:rsid w:val="0C921D73"/>
    <w:rsid w:val="1BAD4238"/>
    <w:rsid w:val="2D263E4A"/>
    <w:rsid w:val="3A113A43"/>
    <w:rsid w:val="3ADD023E"/>
    <w:rsid w:val="4FE6773D"/>
    <w:rsid w:val="54C33BA9"/>
    <w:rsid w:val="58B303D9"/>
    <w:rsid w:val="5B1B0C2A"/>
    <w:rsid w:val="63422A85"/>
    <w:rsid w:val="64F14763"/>
    <w:rsid w:val="67E10ABE"/>
    <w:rsid w:val="6CDE7C64"/>
    <w:rsid w:val="780C4F53"/>
    <w:rsid w:val="7ACF0C4A"/>
    <w:rsid w:val="7E8A55B4"/>
    <w:rsid w:val="7F91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ace0dfb3-363e-4ad3-ab30-dab96e4fea3e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5C207A0C</paraID>
      <start>36</start>
      <end>38</end>
      <status>modified</status>
      <modifiedWord>”“</modifiedWord>
      <trackRevisions>false</trackRevisions>
    </reviewItem>
    <reviewItem>
      <errorID>8d58ef34-81dd-46fd-bf4f-1bba5317e66d</errorID>
      <errorWord>融合贯通</errorWord>
      <group>L1_Word</group>
      <groupName>字词问题</groupName>
      <ability>L2_Typo</ability>
      <abilityName>字词错误</abilityName>
      <candidateList>
        <item>融会贯通</item>
      </candidateList>
      <explain>参合多方面的知识或道理而得到全面的透彻的领悟。</explain>
      <paraID>6A078D6E</paraID>
      <start>91</start>
      <end>95</end>
      <status>modified</status>
      <modifiedWord>融会贯通</modifiedWord>
      <trackRevisions>false</trackRevisions>
    </reviewItem>
    <reviewItem>
      <errorID>a82c42c7-4770-4e9a-96c9-a135d8230bf4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6298C4ED</paraID>
      <start>24</start>
      <end>26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63146-303e-4940-b0a6-f4d9d3717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2647</Words>
  <Characters>2716</Characters>
  <Lines>0</Lines>
  <Paragraphs>0</Paragraphs>
  <TotalTime>13</TotalTime>
  <ScaleCrop>false</ScaleCrop>
  <LinksUpToDate>false</LinksUpToDate>
  <CharactersWithSpaces>2716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2026-03-23T02:23:00Z</dcterms:created>
  <dc:creator>Administrator</dc:creator>
  <cp:lastModifiedBy>付宇</cp:lastModifiedBy>
  <dcterms:modified xsi:type="dcterms:W3CDTF">2026-03-23T09:11:17Z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DC7ECBAB32D646D59B61AF41D4E8DEAF_13</vt:lpwstr>
  </property>
  <property fmtid="{D5CDD505-2E9C-101B-9397-08002B2CF9AE}" pid="4" name="KSOTemplateDocerSaveRecord">
    <vt:lpwstr>eyJoZGlkIjoiMjY0ZjZiYjEzMmFmNGZmMjY3YTgzZmE5NTFmYTk5OWUiLCJ1c2VySWQiOiIxMzY4NTY3NjMzIn0=</vt:lpwstr>
  </property>
</Properties>
</file>