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DD6C0">
      <w:pPr>
        <w:spacing w:line="269" w:lineRule="auto"/>
        <w:rPr>
          <w:rFonts w:ascii="Arial"/>
          <w:sz w:val="21"/>
        </w:rPr>
      </w:pPr>
    </w:p>
    <w:p w14:paraId="03D45E00">
      <w:pPr>
        <w:spacing w:line="269" w:lineRule="auto"/>
        <w:rPr>
          <w:rFonts w:ascii="Arial"/>
          <w:sz w:val="21"/>
        </w:rPr>
      </w:pPr>
    </w:p>
    <w:p w14:paraId="73A0D133">
      <w:pPr>
        <w:spacing w:line="269" w:lineRule="auto"/>
        <w:rPr>
          <w:rFonts w:ascii="Arial"/>
          <w:sz w:val="21"/>
        </w:rPr>
      </w:pPr>
    </w:p>
    <w:p w14:paraId="3297F22E">
      <w:pPr>
        <w:spacing w:line="269" w:lineRule="auto"/>
        <w:rPr>
          <w:rFonts w:ascii="Arial"/>
          <w:sz w:val="21"/>
        </w:rPr>
      </w:pPr>
    </w:p>
    <w:p w14:paraId="174F4DAE">
      <w:pPr>
        <w:spacing w:line="269" w:lineRule="auto"/>
        <w:rPr>
          <w:rFonts w:ascii="Arial"/>
          <w:sz w:val="21"/>
        </w:rPr>
      </w:pPr>
    </w:p>
    <w:p w14:paraId="597A2AEC">
      <w:pPr>
        <w:spacing w:line="269" w:lineRule="auto"/>
        <w:rPr>
          <w:rFonts w:ascii="Arial"/>
          <w:sz w:val="21"/>
        </w:rPr>
      </w:pPr>
    </w:p>
    <w:p w14:paraId="2029B780">
      <w:pPr>
        <w:spacing w:line="269" w:lineRule="auto"/>
        <w:rPr>
          <w:rFonts w:ascii="Arial"/>
          <w:sz w:val="21"/>
        </w:rPr>
      </w:pPr>
    </w:p>
    <w:p w14:paraId="490A4931">
      <w:pPr>
        <w:spacing w:line="269" w:lineRule="auto"/>
        <w:rPr>
          <w:rFonts w:ascii="Arial"/>
          <w:sz w:val="21"/>
        </w:rPr>
      </w:pPr>
    </w:p>
    <w:p w14:paraId="4A113962">
      <w:pPr>
        <w:spacing w:line="270" w:lineRule="auto"/>
        <w:rPr>
          <w:rFonts w:ascii="Arial"/>
          <w:sz w:val="21"/>
        </w:rPr>
      </w:pPr>
    </w:p>
    <w:p w14:paraId="0DE7914B">
      <w:pPr>
        <w:spacing w:line="270" w:lineRule="auto"/>
        <w:rPr>
          <w:rFonts w:ascii="Arial"/>
          <w:sz w:val="21"/>
        </w:rPr>
      </w:pPr>
    </w:p>
    <w:p w14:paraId="34B6DF76">
      <w:pPr>
        <w:pStyle w:val="2"/>
        <w:spacing w:before="169" w:line="174" w:lineRule="auto"/>
        <w:ind w:left="3032"/>
        <w:rPr>
          <w:rFonts w:ascii="FangSong_GB2312" w:hAnsi="FangSong_GB2312" w:eastAsia="FangSong_GB2312" w:cs="FangSong_GB2312"/>
        </w:rPr>
      </w:pPr>
      <w:r>
        <w:rPr>
          <w:rFonts w:ascii="FangSong_GB2312" w:hAnsi="FangSong_GB2312" w:eastAsia="FangSong_GB2312" w:cs="FangSong_GB2312"/>
          <w:spacing w:val="-7"/>
        </w:rPr>
        <w:t>赣市发〔</w:t>
      </w:r>
      <w:r>
        <w:rPr>
          <w:spacing w:val="-7"/>
        </w:rPr>
        <w:t>2023</w:t>
      </w:r>
      <w:r>
        <w:rPr>
          <w:rFonts w:ascii="FangSong_GB2312" w:hAnsi="FangSong_GB2312" w:eastAsia="FangSong_GB2312" w:cs="FangSong_GB2312"/>
          <w:spacing w:val="-7"/>
        </w:rPr>
        <w:t>〕</w:t>
      </w:r>
      <w:r>
        <w:rPr>
          <w:spacing w:val="-7"/>
        </w:rPr>
        <w:t>6</w:t>
      </w:r>
      <w:r>
        <w:rPr>
          <w:spacing w:val="-52"/>
        </w:rPr>
        <w:t xml:space="preserve"> </w:t>
      </w:r>
      <w:r>
        <w:rPr>
          <w:rFonts w:ascii="FangSong_GB2312" w:hAnsi="FangSong_GB2312" w:eastAsia="FangSong_GB2312" w:cs="FangSong_GB2312"/>
          <w:spacing w:val="-7"/>
        </w:rPr>
        <w:t>号</w:t>
      </w:r>
    </w:p>
    <w:p w14:paraId="0EEA98DF">
      <w:pPr>
        <w:spacing w:before="2" w:line="232" w:lineRule="auto"/>
        <w:rPr>
          <w:sz w:val="63"/>
          <w:szCs w:val="63"/>
        </w:rPr>
      </w:pPr>
      <w:r>
        <w:rPr>
          <w:rFonts w:ascii="FangSong_GB2312" w:hAnsi="FangSong_GB2312" w:eastAsia="FangSong_GB2312" w:cs="FangSong_GB2312"/>
          <w:color w:val="FF0000"/>
          <w:spacing w:val="-167"/>
          <w:sz w:val="63"/>
          <w:szCs w:val="63"/>
        </w:rPr>
        <w:t xml:space="preserve"> </w:t>
      </w:r>
    </w:p>
    <w:p w14:paraId="0DD0E0C6">
      <w:pPr>
        <w:spacing w:before="23" w:line="197" w:lineRule="auto"/>
        <w:ind w:left="1370"/>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7"/>
          <w:sz w:val="44"/>
          <w:szCs w:val="44"/>
        </w:rPr>
        <w:t>中共赣州市委</w:t>
      </w:r>
      <w:r>
        <w:rPr>
          <w:rFonts w:ascii="方正小标宋简体" w:hAnsi="方正小标宋简体" w:eastAsia="方正小标宋简体" w:cs="方正小标宋简体"/>
          <w:spacing w:val="31"/>
          <w:sz w:val="44"/>
          <w:szCs w:val="44"/>
        </w:rPr>
        <w:t xml:space="preserve">   </w:t>
      </w:r>
      <w:r>
        <w:rPr>
          <w:rFonts w:ascii="方正小标宋简体" w:hAnsi="方正小标宋简体" w:eastAsia="方正小标宋简体" w:cs="方正小标宋简体"/>
          <w:spacing w:val="-7"/>
          <w:sz w:val="44"/>
          <w:szCs w:val="44"/>
        </w:rPr>
        <w:t>赣州市人民政府</w:t>
      </w:r>
    </w:p>
    <w:p w14:paraId="5BE0F4F5">
      <w:pPr>
        <w:spacing w:before="3" w:line="196" w:lineRule="auto"/>
        <w:ind w:left="1138"/>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7"/>
          <w:sz w:val="44"/>
          <w:szCs w:val="44"/>
        </w:rPr>
        <w:t>关于印发《美丽赣州建设规划纲要</w:t>
      </w:r>
    </w:p>
    <w:p w14:paraId="0D8AF837">
      <w:pPr>
        <w:pStyle w:val="2"/>
        <w:spacing w:before="1" w:line="236" w:lineRule="auto"/>
        <w:ind w:left="1705"/>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4"/>
          <w:sz w:val="44"/>
          <w:szCs w:val="44"/>
        </w:rPr>
        <w:t>（</w:t>
      </w:r>
      <w:r>
        <w:rPr>
          <w:spacing w:val="-4"/>
          <w:sz w:val="44"/>
          <w:szCs w:val="44"/>
        </w:rPr>
        <w:t>2023</w:t>
      </w:r>
      <w:r>
        <w:rPr>
          <w:rFonts w:ascii="方正小标宋简体" w:hAnsi="方正小标宋简体" w:eastAsia="方正小标宋简体" w:cs="方正小标宋简体"/>
          <w:spacing w:val="-4"/>
          <w:sz w:val="44"/>
          <w:szCs w:val="44"/>
        </w:rPr>
        <w:t>—</w:t>
      </w:r>
      <w:r>
        <w:rPr>
          <w:spacing w:val="-4"/>
          <w:sz w:val="44"/>
          <w:szCs w:val="44"/>
        </w:rPr>
        <w:t>2035</w:t>
      </w:r>
      <w:r>
        <w:rPr>
          <w:spacing w:val="-94"/>
          <w:sz w:val="44"/>
          <w:szCs w:val="44"/>
        </w:rPr>
        <w:t xml:space="preserve"> </w:t>
      </w:r>
      <w:r>
        <w:rPr>
          <w:rFonts w:ascii="方正小标宋简体" w:hAnsi="方正小标宋简体" w:eastAsia="方正小标宋简体" w:cs="方正小标宋简体"/>
          <w:spacing w:val="-4"/>
          <w:sz w:val="44"/>
          <w:szCs w:val="44"/>
        </w:rPr>
        <w:t>年）》的通知</w:t>
      </w:r>
    </w:p>
    <w:p w14:paraId="08AC4B72">
      <w:pPr>
        <w:spacing w:line="278" w:lineRule="auto"/>
        <w:rPr>
          <w:rFonts w:ascii="Arial"/>
          <w:sz w:val="21"/>
        </w:rPr>
      </w:pPr>
    </w:p>
    <w:p w14:paraId="5A6AAC40">
      <w:pPr>
        <w:spacing w:before="104" w:line="288" w:lineRule="auto"/>
        <w:ind w:left="23"/>
        <w:rPr>
          <w:rFonts w:ascii="KaiTi_GB2312" w:hAnsi="KaiTi_GB2312" w:eastAsia="KaiTi_GB2312" w:cs="KaiTi_GB2312"/>
          <w:sz w:val="32"/>
          <w:szCs w:val="32"/>
        </w:rPr>
      </w:pPr>
      <w:r>
        <w:rPr>
          <w:rFonts w:ascii="KaiTi_GB2312" w:hAnsi="KaiTi_GB2312" w:eastAsia="KaiTi_GB2312" w:cs="KaiTi_GB2312"/>
          <w:spacing w:val="-21"/>
          <w:sz w:val="32"/>
          <w:szCs w:val="32"/>
        </w:rPr>
        <w:t>各县（市、区）委、人民政府， 市委各部门，市直、驻市各单位，</w:t>
      </w:r>
      <w:r>
        <w:rPr>
          <w:rFonts w:ascii="KaiTi_GB2312" w:hAnsi="KaiTi_GB2312" w:eastAsia="KaiTi_GB2312" w:cs="KaiTi_GB2312"/>
          <w:spacing w:val="-18"/>
          <w:sz w:val="32"/>
          <w:szCs w:val="32"/>
        </w:rPr>
        <w:t>各人民团体：</w:t>
      </w:r>
    </w:p>
    <w:p w14:paraId="241C1FFE">
      <w:pPr>
        <w:pStyle w:val="2"/>
        <w:spacing w:before="3" w:line="288" w:lineRule="auto"/>
        <w:ind w:left="21" w:right="122" w:firstLine="629"/>
        <w:rPr>
          <w:rFonts w:ascii="KaiTi_GB2312" w:hAnsi="KaiTi_GB2312" w:eastAsia="KaiTi_GB2312" w:cs="KaiTi_GB2312"/>
        </w:rPr>
      </w:pPr>
      <w:r>
        <w:rPr>
          <w:rFonts w:ascii="KaiTi_GB2312" w:hAnsi="KaiTi_GB2312" w:eastAsia="KaiTi_GB2312" w:cs="KaiTi_GB2312"/>
          <w:spacing w:val="-13"/>
        </w:rPr>
        <w:t>现将《美丽赣州建设规划纲要（</w:t>
      </w:r>
      <w:r>
        <w:rPr>
          <w:spacing w:val="-13"/>
        </w:rPr>
        <w:t>2023</w:t>
      </w:r>
      <w:r>
        <w:rPr>
          <w:rFonts w:ascii="KaiTi_GB2312" w:hAnsi="KaiTi_GB2312" w:eastAsia="KaiTi_GB2312" w:cs="KaiTi_GB2312"/>
          <w:spacing w:val="-13"/>
        </w:rPr>
        <w:t>—</w:t>
      </w:r>
      <w:r>
        <w:rPr>
          <w:spacing w:val="-14"/>
        </w:rPr>
        <w:t xml:space="preserve">2035 </w:t>
      </w:r>
      <w:r>
        <w:rPr>
          <w:rFonts w:ascii="KaiTi_GB2312" w:hAnsi="KaiTi_GB2312" w:eastAsia="KaiTi_GB2312" w:cs="KaiTi_GB2312"/>
          <w:spacing w:val="-14"/>
        </w:rPr>
        <w:t>年）》印发给你</w:t>
      </w:r>
      <w:r>
        <w:rPr>
          <w:rFonts w:ascii="KaiTi_GB2312" w:hAnsi="KaiTi_GB2312" w:eastAsia="KaiTi_GB2312" w:cs="KaiTi_GB2312"/>
          <w:spacing w:val="-11"/>
        </w:rPr>
        <w:t>们，请结合实际认真贯彻落实。</w:t>
      </w:r>
    </w:p>
    <w:p w14:paraId="34427C90">
      <w:pPr>
        <w:spacing w:line="260" w:lineRule="auto"/>
        <w:rPr>
          <w:rFonts w:ascii="Arial"/>
          <w:sz w:val="21"/>
        </w:rPr>
      </w:pPr>
    </w:p>
    <w:p w14:paraId="186F1334">
      <w:pPr>
        <w:spacing w:line="261" w:lineRule="auto"/>
        <w:rPr>
          <w:rFonts w:ascii="Arial"/>
          <w:sz w:val="21"/>
        </w:rPr>
      </w:pPr>
    </w:p>
    <w:p w14:paraId="74F4C8B2">
      <w:pPr>
        <w:spacing w:line="261" w:lineRule="auto"/>
        <w:rPr>
          <w:rFonts w:ascii="Arial"/>
          <w:sz w:val="21"/>
        </w:rPr>
      </w:pPr>
    </w:p>
    <w:p w14:paraId="2E077052">
      <w:pPr>
        <w:spacing w:line="261" w:lineRule="auto"/>
        <w:rPr>
          <w:rFonts w:ascii="Arial"/>
          <w:sz w:val="21"/>
        </w:rPr>
      </w:pPr>
    </w:p>
    <w:p w14:paraId="2DE39EB7">
      <w:pPr>
        <w:spacing w:line="261" w:lineRule="auto"/>
        <w:rPr>
          <w:rFonts w:ascii="Arial"/>
          <w:sz w:val="21"/>
        </w:rPr>
      </w:pPr>
    </w:p>
    <w:p w14:paraId="3ADB6A03">
      <w:pPr>
        <w:spacing w:before="105" w:line="214" w:lineRule="auto"/>
        <w:ind w:left="2374"/>
        <w:rPr>
          <w:rFonts w:ascii="KaiTi_GB2312" w:hAnsi="KaiTi_GB2312" w:eastAsia="KaiTi_GB2312" w:cs="KaiTi_GB2312"/>
          <w:sz w:val="32"/>
          <w:szCs w:val="32"/>
        </w:rPr>
      </w:pPr>
      <w:r>
        <w:rPr>
          <w:rFonts w:ascii="KaiTi_GB2312" w:hAnsi="KaiTi_GB2312" w:eastAsia="KaiTi_GB2312" w:cs="KaiTi_GB2312"/>
          <w:spacing w:val="-9"/>
          <w:sz w:val="32"/>
          <w:szCs w:val="32"/>
        </w:rPr>
        <w:t>中共赣州市委</w:t>
      </w:r>
      <w:r>
        <w:rPr>
          <w:rFonts w:ascii="KaiTi_GB2312" w:hAnsi="KaiTi_GB2312" w:eastAsia="KaiTi_GB2312" w:cs="KaiTi_GB2312"/>
          <w:spacing w:val="26"/>
          <w:sz w:val="32"/>
          <w:szCs w:val="32"/>
        </w:rPr>
        <w:t xml:space="preserve">     </w:t>
      </w:r>
      <w:r>
        <w:rPr>
          <w:rFonts w:ascii="KaiTi_GB2312" w:hAnsi="KaiTi_GB2312" w:eastAsia="KaiTi_GB2312" w:cs="KaiTi_GB2312"/>
          <w:spacing w:val="-9"/>
          <w:sz w:val="32"/>
          <w:szCs w:val="32"/>
        </w:rPr>
        <w:t>赣州市人民政府</w:t>
      </w:r>
    </w:p>
    <w:p w14:paraId="6402A4D9">
      <w:pPr>
        <w:pStyle w:val="2"/>
        <w:spacing w:before="149" w:line="217" w:lineRule="auto"/>
        <w:ind w:left="5117"/>
        <w:rPr>
          <w:rFonts w:ascii="KaiTi_GB2312" w:hAnsi="KaiTi_GB2312" w:eastAsia="KaiTi_GB2312" w:cs="KaiTi_GB2312"/>
        </w:rPr>
      </w:pPr>
      <w:r>
        <w:rPr>
          <w:spacing w:val="-10"/>
        </w:rPr>
        <w:t>2023</w:t>
      </w:r>
      <w:r>
        <w:rPr>
          <w:spacing w:val="-74"/>
        </w:rPr>
        <w:t xml:space="preserve"> </w:t>
      </w:r>
      <w:r>
        <w:rPr>
          <w:rFonts w:ascii="KaiTi_GB2312" w:hAnsi="KaiTi_GB2312" w:eastAsia="KaiTi_GB2312" w:cs="KaiTi_GB2312"/>
          <w:spacing w:val="-10"/>
        </w:rPr>
        <w:t>年</w:t>
      </w:r>
      <w:r>
        <w:rPr>
          <w:rFonts w:ascii="KaiTi_GB2312" w:hAnsi="KaiTi_GB2312" w:eastAsia="KaiTi_GB2312" w:cs="KaiTi_GB2312"/>
          <w:spacing w:val="-75"/>
        </w:rPr>
        <w:t xml:space="preserve"> </w:t>
      </w:r>
      <w:r>
        <w:rPr>
          <w:spacing w:val="-10"/>
        </w:rPr>
        <w:t>9</w:t>
      </w:r>
      <w:r>
        <w:rPr>
          <w:spacing w:val="-56"/>
        </w:rPr>
        <w:t xml:space="preserve"> </w:t>
      </w:r>
      <w:r>
        <w:rPr>
          <w:rFonts w:ascii="KaiTi_GB2312" w:hAnsi="KaiTi_GB2312" w:eastAsia="KaiTi_GB2312" w:cs="KaiTi_GB2312"/>
          <w:spacing w:val="-10"/>
        </w:rPr>
        <w:t>月</w:t>
      </w:r>
      <w:r>
        <w:rPr>
          <w:rFonts w:ascii="KaiTi_GB2312" w:hAnsi="KaiTi_GB2312" w:eastAsia="KaiTi_GB2312" w:cs="KaiTi_GB2312"/>
          <w:spacing w:val="-72"/>
        </w:rPr>
        <w:t xml:space="preserve"> </w:t>
      </w:r>
      <w:r>
        <w:rPr>
          <w:spacing w:val="-10"/>
        </w:rPr>
        <w:t xml:space="preserve">29 </w:t>
      </w:r>
      <w:r>
        <w:rPr>
          <w:rFonts w:ascii="KaiTi_GB2312" w:hAnsi="KaiTi_GB2312" w:eastAsia="KaiTi_GB2312" w:cs="KaiTi_GB2312"/>
          <w:spacing w:val="-10"/>
        </w:rPr>
        <w:t>日</w:t>
      </w:r>
    </w:p>
    <w:p w14:paraId="41A7D162">
      <w:pPr>
        <w:spacing w:before="176" w:line="215" w:lineRule="auto"/>
        <w:ind w:left="644"/>
        <w:rPr>
          <w:rFonts w:ascii="KaiTi_GB2312" w:hAnsi="KaiTi_GB2312" w:eastAsia="KaiTi_GB2312" w:cs="KaiTi_GB2312"/>
          <w:sz w:val="32"/>
          <w:szCs w:val="32"/>
        </w:rPr>
      </w:pPr>
      <w:r>
        <w:rPr>
          <w:rFonts w:ascii="KaiTi_GB2312" w:hAnsi="KaiTi_GB2312" w:eastAsia="KaiTi_GB2312" w:cs="KaiTi_GB2312"/>
          <w:spacing w:val="-6"/>
          <w:sz w:val="32"/>
          <w:szCs w:val="32"/>
        </w:rPr>
        <w:t>（此件公开发布）</w:t>
      </w:r>
    </w:p>
    <w:p w14:paraId="026554AC">
      <w:pPr>
        <w:spacing w:line="215" w:lineRule="auto"/>
        <w:rPr>
          <w:rFonts w:ascii="KaiTi_GB2312" w:hAnsi="KaiTi_GB2312" w:eastAsia="KaiTi_GB2312" w:cs="KaiTi_GB2312"/>
          <w:sz w:val="32"/>
          <w:szCs w:val="32"/>
        </w:rPr>
        <w:sectPr>
          <w:footerReference r:id="rId5" w:type="default"/>
          <w:pgSz w:w="11905" w:h="16840"/>
          <w:pgMar w:top="1431" w:right="1493" w:bottom="1867" w:left="1569" w:header="0" w:footer="1504" w:gutter="0"/>
          <w:cols w:space="720" w:num="1"/>
        </w:sectPr>
      </w:pPr>
    </w:p>
    <w:p w14:paraId="34003E34">
      <w:pPr>
        <w:spacing w:line="245" w:lineRule="auto"/>
        <w:rPr>
          <w:rFonts w:ascii="Arial"/>
          <w:sz w:val="21"/>
        </w:rPr>
      </w:pPr>
    </w:p>
    <w:p w14:paraId="5A0CC27B">
      <w:pPr>
        <w:spacing w:line="245" w:lineRule="auto"/>
        <w:rPr>
          <w:rFonts w:ascii="Arial"/>
          <w:sz w:val="21"/>
        </w:rPr>
      </w:pPr>
    </w:p>
    <w:p w14:paraId="38B74CD3">
      <w:pPr>
        <w:spacing w:line="245" w:lineRule="auto"/>
        <w:rPr>
          <w:rFonts w:ascii="Arial"/>
          <w:sz w:val="21"/>
        </w:rPr>
      </w:pPr>
    </w:p>
    <w:p w14:paraId="13CAE197">
      <w:pPr>
        <w:spacing w:line="245" w:lineRule="auto"/>
        <w:rPr>
          <w:rFonts w:ascii="Arial"/>
          <w:sz w:val="21"/>
        </w:rPr>
      </w:pPr>
    </w:p>
    <w:p w14:paraId="74F6FCFE">
      <w:pPr>
        <w:spacing w:line="245" w:lineRule="auto"/>
        <w:rPr>
          <w:rFonts w:ascii="Arial"/>
          <w:sz w:val="21"/>
        </w:rPr>
      </w:pPr>
      <w:bookmarkStart w:id="0" w:name="_GoBack"/>
      <w:bookmarkEnd w:id="0"/>
    </w:p>
    <w:p w14:paraId="54288A52">
      <w:pPr>
        <w:spacing w:line="245" w:lineRule="auto"/>
        <w:rPr>
          <w:rFonts w:ascii="Arial"/>
          <w:sz w:val="21"/>
        </w:rPr>
      </w:pPr>
    </w:p>
    <w:p w14:paraId="140AF65F">
      <w:pPr>
        <w:spacing w:line="245" w:lineRule="auto"/>
        <w:rPr>
          <w:rFonts w:ascii="Arial"/>
          <w:sz w:val="21"/>
        </w:rPr>
      </w:pPr>
    </w:p>
    <w:p w14:paraId="185F82C7">
      <w:pPr>
        <w:pStyle w:val="2"/>
        <w:spacing w:before="171" w:line="235" w:lineRule="auto"/>
        <w:ind w:left="418"/>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pacing w:val="-5"/>
          <w:sz w:val="44"/>
          <w:szCs w:val="44"/>
        </w:rPr>
        <w:t>美丽赣州建设规划纲要（</w:t>
      </w:r>
      <w:r>
        <w:rPr>
          <w:spacing w:val="-5"/>
          <w:sz w:val="44"/>
          <w:szCs w:val="44"/>
        </w:rPr>
        <w:t>2023</w:t>
      </w:r>
      <w:r>
        <w:rPr>
          <w:rFonts w:ascii="方正小标宋简体" w:hAnsi="方正小标宋简体" w:eastAsia="方正小标宋简体" w:cs="方正小标宋简体"/>
          <w:spacing w:val="-5"/>
          <w:sz w:val="44"/>
          <w:szCs w:val="44"/>
        </w:rPr>
        <w:t>—</w:t>
      </w:r>
      <w:r>
        <w:rPr>
          <w:spacing w:val="-5"/>
          <w:sz w:val="44"/>
          <w:szCs w:val="44"/>
        </w:rPr>
        <w:t>203</w:t>
      </w:r>
      <w:r>
        <w:rPr>
          <w:spacing w:val="-6"/>
          <w:sz w:val="44"/>
          <w:szCs w:val="44"/>
        </w:rPr>
        <w:t>5</w:t>
      </w:r>
      <w:r>
        <w:rPr>
          <w:spacing w:val="-106"/>
          <w:sz w:val="44"/>
          <w:szCs w:val="44"/>
        </w:rPr>
        <w:t xml:space="preserve"> </w:t>
      </w:r>
      <w:r>
        <w:rPr>
          <w:rFonts w:ascii="方正小标宋简体" w:hAnsi="方正小标宋简体" w:eastAsia="方正小标宋简体" w:cs="方正小标宋简体"/>
          <w:spacing w:val="-6"/>
          <w:sz w:val="44"/>
          <w:szCs w:val="44"/>
        </w:rPr>
        <w:t>年）</w:t>
      </w:r>
    </w:p>
    <w:p w14:paraId="302FB959">
      <w:pPr>
        <w:spacing w:line="446" w:lineRule="auto"/>
        <w:rPr>
          <w:rFonts w:ascii="Arial"/>
          <w:sz w:val="21"/>
        </w:rPr>
      </w:pPr>
    </w:p>
    <w:p w14:paraId="18072657">
      <w:pPr>
        <w:spacing w:before="104" w:line="331" w:lineRule="auto"/>
        <w:ind w:left="6" w:right="13" w:firstLine="63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为深入贯彻习近平生态文明思想，落实党的二十大关于美丽中国建设的决策部署，站在人与自然和谐共生的高度谋划赣州发展，在江西省率先开展美丽建设先行先试，全面推进美丽赣州建</w:t>
      </w:r>
      <w:r>
        <w:rPr>
          <w:rFonts w:ascii="FangSong_GB2312" w:hAnsi="FangSong_GB2312" w:eastAsia="FangSong_GB2312" w:cs="FangSong_GB2312"/>
          <w:spacing w:val="-13"/>
          <w:sz w:val="32"/>
          <w:szCs w:val="32"/>
        </w:rPr>
        <w:t>设，制定本规划纲要。</w:t>
      </w:r>
    </w:p>
    <w:p w14:paraId="7BF46A44">
      <w:pPr>
        <w:spacing w:line="221" w:lineRule="auto"/>
        <w:ind w:left="637"/>
        <w:outlineLvl w:val="0"/>
        <w:rPr>
          <w:rFonts w:ascii="黑体" w:hAnsi="黑体" w:eastAsia="黑体" w:cs="黑体"/>
          <w:sz w:val="32"/>
          <w:szCs w:val="32"/>
        </w:rPr>
      </w:pPr>
      <w:r>
        <w:rPr>
          <w:rFonts w:ascii="黑体" w:hAnsi="黑体" w:eastAsia="黑体" w:cs="黑体"/>
          <w:spacing w:val="-10"/>
          <w:sz w:val="32"/>
          <w:szCs w:val="32"/>
        </w:rPr>
        <w:t>一、战略背景</w:t>
      </w:r>
    </w:p>
    <w:p w14:paraId="74409C98">
      <w:pPr>
        <w:spacing w:before="192" w:line="218" w:lineRule="auto"/>
        <w:ind w:left="620"/>
        <w:rPr>
          <w:rFonts w:ascii="KaiTi_GB2312" w:hAnsi="KaiTi_GB2312" w:eastAsia="KaiTi_GB2312" w:cs="KaiTi_GB2312"/>
          <w:sz w:val="32"/>
          <w:szCs w:val="32"/>
        </w:rPr>
      </w:pPr>
      <w:r>
        <w:rPr>
          <w:rFonts w:ascii="KaiTi_GB2312" w:hAnsi="KaiTi_GB2312" w:eastAsia="KaiTi_GB2312" w:cs="KaiTi_GB2312"/>
          <w:spacing w:val="-9"/>
          <w:sz w:val="32"/>
          <w:szCs w:val="32"/>
        </w:rPr>
        <w:t>（一）建设基础</w:t>
      </w:r>
    </w:p>
    <w:p w14:paraId="52F568D3">
      <w:pPr>
        <w:spacing w:before="193" w:line="331" w:lineRule="auto"/>
        <w:ind w:firstLine="648"/>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党的十八大以来，赣州市纵深推进国家生态文明试验区建设，推动绿色发展、可持续发展，奋力打造美丽中国“赣州样</w:t>
      </w:r>
      <w:r>
        <w:rPr>
          <w:rFonts w:ascii="FangSong_GB2312" w:hAnsi="FangSong_GB2312" w:eastAsia="FangSong_GB2312" w:cs="FangSong_GB2312"/>
          <w:spacing w:val="-19"/>
          <w:sz w:val="32"/>
          <w:szCs w:val="32"/>
        </w:rPr>
        <w:t>板”，走出一条经济与生态相互促进、相互融合发展的道路，形成生态环境优、绿色动力强、惠民红利实、典型模式多的良好基础。</w:t>
      </w:r>
    </w:p>
    <w:p w14:paraId="55C5F3F6">
      <w:pPr>
        <w:pStyle w:val="2"/>
        <w:spacing w:before="13" w:line="330" w:lineRule="auto"/>
        <w:ind w:left="9" w:right="12" w:firstLine="642"/>
        <w:rPr>
          <w:rFonts w:ascii="FangSong_GB2312" w:hAnsi="FangSong_GB2312" w:eastAsia="FangSong_GB2312" w:cs="FangSong_GB2312"/>
        </w:rPr>
      </w:pPr>
      <w:r>
        <w:rPr>
          <w:rFonts w:ascii="FangSong_GB2312" w:hAnsi="FangSong_GB2312" w:eastAsia="FangSong_GB2312" w:cs="FangSong_GB2312"/>
          <w:spacing w:val="-9"/>
        </w:rPr>
        <w:t>生态环境基础良好。赣州是我国南方地区重</w:t>
      </w:r>
      <w:r>
        <w:rPr>
          <w:rFonts w:ascii="FangSong_GB2312" w:hAnsi="FangSong_GB2312" w:eastAsia="FangSong_GB2312" w:cs="FangSong_GB2312"/>
          <w:spacing w:val="-10"/>
        </w:rPr>
        <w:t>要生态屏障，是</w:t>
      </w:r>
      <w:r>
        <w:rPr>
          <w:rFonts w:ascii="FangSong_GB2312" w:hAnsi="FangSong_GB2312" w:eastAsia="FangSong_GB2312" w:cs="FangSong_GB2312"/>
          <w:spacing w:val="-9"/>
        </w:rPr>
        <w:t>赣江、东江、北江源头，生态环境质量走在全省乃至全国前列。</w:t>
      </w:r>
      <w:r>
        <w:rPr>
          <w:rFonts w:ascii="FangSong_GB2312" w:hAnsi="FangSong_GB2312" w:eastAsia="FangSong_GB2312" w:cs="FangSong_GB2312"/>
          <w:spacing w:val="14"/>
        </w:rPr>
        <w:t xml:space="preserve"> </w:t>
      </w:r>
      <w:r>
        <w:rPr>
          <w:spacing w:val="-11"/>
        </w:rPr>
        <w:t>2022</w:t>
      </w:r>
      <w:r>
        <w:rPr>
          <w:spacing w:val="-70"/>
        </w:rPr>
        <w:t xml:space="preserve"> </w:t>
      </w:r>
      <w:r>
        <w:rPr>
          <w:rFonts w:ascii="FangSong_GB2312" w:hAnsi="FangSong_GB2312" w:eastAsia="FangSong_GB2312" w:cs="FangSong_GB2312"/>
          <w:spacing w:val="-11"/>
        </w:rPr>
        <w:t>年，赣州市中心城区</w:t>
      </w:r>
      <w:r>
        <w:rPr>
          <w:rFonts w:ascii="FangSong_GB2312" w:hAnsi="FangSong_GB2312" w:eastAsia="FangSong_GB2312" w:cs="FangSong_GB2312"/>
          <w:spacing w:val="-81"/>
        </w:rPr>
        <w:t xml:space="preserve"> </w:t>
      </w:r>
      <w:r>
        <w:rPr>
          <w:spacing w:val="-11"/>
        </w:rPr>
        <w:t>PM</w:t>
      </w:r>
      <w:r>
        <w:rPr>
          <w:spacing w:val="-11"/>
          <w:position w:val="-1"/>
          <w:sz w:val="15"/>
          <w:szCs w:val="15"/>
        </w:rPr>
        <w:t>2.5</w:t>
      </w:r>
      <w:r>
        <w:rPr>
          <w:spacing w:val="-24"/>
          <w:position w:val="-1"/>
          <w:sz w:val="15"/>
          <w:szCs w:val="15"/>
        </w:rPr>
        <w:t xml:space="preserve"> </w:t>
      </w:r>
      <w:r>
        <w:rPr>
          <w:rFonts w:ascii="FangSong_GB2312" w:hAnsi="FangSong_GB2312" w:eastAsia="FangSong_GB2312" w:cs="FangSong_GB2312"/>
          <w:spacing w:val="-11"/>
        </w:rPr>
        <w:t>年均浓度为</w:t>
      </w:r>
      <w:r>
        <w:rPr>
          <w:rFonts w:ascii="FangSong_GB2312" w:hAnsi="FangSong_GB2312" w:eastAsia="FangSong_GB2312" w:cs="FangSong_GB2312"/>
          <w:spacing w:val="-72"/>
        </w:rPr>
        <w:t xml:space="preserve"> </w:t>
      </w:r>
      <w:r>
        <w:rPr>
          <w:spacing w:val="-11"/>
        </w:rPr>
        <w:t>21</w:t>
      </w:r>
      <w:r>
        <w:rPr>
          <w:spacing w:val="-78"/>
        </w:rPr>
        <w:t xml:space="preserve"> </w:t>
      </w:r>
      <w:r>
        <w:rPr>
          <w:rFonts w:ascii="FangSong_GB2312" w:hAnsi="FangSong_GB2312" w:eastAsia="FangSong_GB2312" w:cs="FangSong_GB2312"/>
          <w:spacing w:val="-11"/>
        </w:rPr>
        <w:t>微克</w:t>
      </w:r>
      <w:r>
        <w:rPr>
          <w:spacing w:val="-11"/>
        </w:rPr>
        <w:t>/</w:t>
      </w:r>
      <w:r>
        <w:rPr>
          <w:rFonts w:ascii="FangSong_GB2312" w:hAnsi="FangSong_GB2312" w:eastAsia="FangSong_GB2312" w:cs="FangSong_GB2312"/>
          <w:spacing w:val="-11"/>
        </w:rPr>
        <w:t>立方米，连续</w:t>
      </w:r>
      <w:r>
        <w:rPr>
          <w:rFonts w:ascii="FangSong_GB2312" w:hAnsi="FangSong_GB2312" w:eastAsia="FangSong_GB2312" w:cs="FangSong_GB2312"/>
          <w:spacing w:val="-12"/>
        </w:rPr>
        <w:t>两年保持全省第一；国考断面水质优良比例为</w:t>
      </w:r>
      <w:r>
        <w:rPr>
          <w:rFonts w:ascii="FangSong_GB2312" w:hAnsi="FangSong_GB2312" w:eastAsia="FangSong_GB2312" w:cs="FangSong_GB2312"/>
          <w:spacing w:val="-40"/>
        </w:rPr>
        <w:t xml:space="preserve"> </w:t>
      </w:r>
      <w:r>
        <w:rPr>
          <w:spacing w:val="-12"/>
        </w:rPr>
        <w:t>100%</w:t>
      </w:r>
      <w:r>
        <w:rPr>
          <w:rFonts w:ascii="FangSong_GB2312" w:hAnsi="FangSong_GB2312" w:eastAsia="FangSong_GB2312" w:cs="FangSong_GB2312"/>
          <w:spacing w:val="-12"/>
        </w:rPr>
        <w:t>，全部断面消</w:t>
      </w:r>
      <w:r>
        <w:rPr>
          <w:rFonts w:ascii="FangSong_GB2312" w:hAnsi="FangSong_GB2312" w:eastAsia="FangSong_GB2312" w:cs="FangSong_GB2312"/>
          <w:spacing w:val="-3"/>
        </w:rPr>
        <w:t xml:space="preserve">灭Ⅴ类及劣Ⅴ类水，赣江干流赣州段 </w:t>
      </w:r>
      <w:r>
        <w:rPr>
          <w:spacing w:val="-3"/>
        </w:rPr>
        <w:t xml:space="preserve">4 </w:t>
      </w:r>
      <w:r>
        <w:rPr>
          <w:rFonts w:ascii="FangSong_GB2312" w:hAnsi="FangSong_GB2312" w:eastAsia="FangSong_GB2312" w:cs="FangSong_GB2312"/>
          <w:spacing w:val="-3"/>
        </w:rPr>
        <w:t>个断面水质稳定达到Ⅱ</w:t>
      </w:r>
      <w:r>
        <w:rPr>
          <w:rFonts w:ascii="FangSong_GB2312" w:hAnsi="FangSong_GB2312" w:eastAsia="FangSong_GB2312" w:cs="FangSong_GB2312"/>
          <w:spacing w:val="2"/>
        </w:rPr>
        <w:t xml:space="preserve">类；受污染耕地安全利用率达到 </w:t>
      </w:r>
      <w:r>
        <w:rPr>
          <w:spacing w:val="2"/>
        </w:rPr>
        <w:t>93%</w:t>
      </w:r>
      <w:r>
        <w:rPr>
          <w:rFonts w:ascii="FangSong_GB2312" w:hAnsi="FangSong_GB2312" w:eastAsia="FangSong_GB2312" w:cs="FangSong_GB2312"/>
          <w:spacing w:val="2"/>
        </w:rPr>
        <w:t>，污染地块安全利用率达</w:t>
      </w:r>
      <w:r>
        <w:rPr>
          <w:spacing w:val="-10"/>
        </w:rPr>
        <w:t>100%</w:t>
      </w:r>
      <w:r>
        <w:rPr>
          <w:rFonts w:ascii="FangSong_GB2312" w:hAnsi="FangSong_GB2312" w:eastAsia="FangSong_GB2312" w:cs="FangSong_GB2312"/>
          <w:spacing w:val="-10"/>
        </w:rPr>
        <w:t>，均高于全国平均水平；森林覆盖率</w:t>
      </w:r>
      <w:r>
        <w:rPr>
          <w:rFonts w:ascii="FangSong_GB2312" w:hAnsi="FangSong_GB2312" w:eastAsia="FangSong_GB2312" w:cs="FangSong_GB2312"/>
          <w:spacing w:val="-67"/>
        </w:rPr>
        <w:t xml:space="preserve"> </w:t>
      </w:r>
      <w:r>
        <w:rPr>
          <w:spacing w:val="-10"/>
        </w:rPr>
        <w:t>76.23%</w:t>
      </w:r>
      <w:r>
        <w:rPr>
          <w:rFonts w:ascii="FangSong_GB2312" w:hAnsi="FangSong_GB2312" w:eastAsia="FangSong_GB2312" w:cs="FangSong_GB2312"/>
          <w:spacing w:val="-10"/>
        </w:rPr>
        <w:t>，保持全国</w:t>
      </w:r>
      <w:r>
        <w:rPr>
          <w:rFonts w:ascii="FangSong_GB2312" w:hAnsi="FangSong_GB2312" w:eastAsia="FangSong_GB2312" w:cs="FangSong_GB2312"/>
          <w:spacing w:val="-11"/>
        </w:rPr>
        <w:t>设区</w:t>
      </w:r>
      <w:r>
        <w:rPr>
          <w:rFonts w:ascii="FangSong_GB2312" w:hAnsi="FangSong_GB2312" w:eastAsia="FangSong_GB2312" w:cs="FangSong_GB2312"/>
          <w:spacing w:val="-9"/>
        </w:rPr>
        <w:t>市前十；统筹推进山水林田湖草沙系统治理，在全省率先启动低</w:t>
      </w:r>
    </w:p>
    <w:p w14:paraId="220BAEDC">
      <w:pPr>
        <w:spacing w:line="330" w:lineRule="auto"/>
        <w:rPr>
          <w:rFonts w:ascii="FangSong_GB2312" w:hAnsi="FangSong_GB2312" w:eastAsia="FangSong_GB2312" w:cs="FangSong_GB2312"/>
        </w:rPr>
        <w:sectPr>
          <w:footerReference r:id="rId6" w:type="default"/>
          <w:pgSz w:w="11905" w:h="16840"/>
          <w:pgMar w:top="1431" w:right="1564" w:bottom="1867" w:left="1594" w:header="0" w:footer="1504" w:gutter="0"/>
          <w:cols w:space="720" w:num="1"/>
        </w:sectPr>
      </w:pPr>
    </w:p>
    <w:p w14:paraId="1BE60AB7">
      <w:pPr>
        <w:spacing w:line="343" w:lineRule="auto"/>
        <w:rPr>
          <w:rFonts w:ascii="Arial"/>
          <w:sz w:val="21"/>
        </w:rPr>
      </w:pPr>
    </w:p>
    <w:p w14:paraId="3A0CF74D">
      <w:pPr>
        <w:spacing w:line="343" w:lineRule="auto"/>
        <w:rPr>
          <w:rFonts w:ascii="Arial"/>
          <w:sz w:val="21"/>
        </w:rPr>
      </w:pPr>
    </w:p>
    <w:p w14:paraId="410F3B26">
      <w:pPr>
        <w:pStyle w:val="2"/>
        <w:spacing w:before="104" w:line="331" w:lineRule="auto"/>
        <w:ind w:left="19" w:right="7" w:hanging="13"/>
        <w:rPr>
          <w:rFonts w:ascii="FangSong_GB2312" w:hAnsi="FangSong_GB2312" w:eastAsia="FangSong_GB2312" w:cs="FangSong_GB2312"/>
        </w:rPr>
      </w:pPr>
      <w:r>
        <w:rPr>
          <w:rFonts w:ascii="FangSong_GB2312" w:hAnsi="FangSong_GB2312" w:eastAsia="FangSong_GB2312" w:cs="FangSong_GB2312"/>
          <w:spacing w:val="-9"/>
        </w:rPr>
        <w:t>质低效林改造，水土流失治理、废弃矿山修复、崩岗治理等成效突出，全市入选全国水土保持高质量发展先行区，宁都、兴国、</w:t>
      </w:r>
      <w:r>
        <w:rPr>
          <w:rFonts w:ascii="FangSong_GB2312" w:hAnsi="FangSong_GB2312" w:eastAsia="FangSong_GB2312" w:cs="FangSong_GB2312"/>
          <w:spacing w:val="-12"/>
        </w:rPr>
        <w:t>于都等</w:t>
      </w:r>
      <w:r>
        <w:rPr>
          <w:rFonts w:ascii="FangSong_GB2312" w:hAnsi="FangSong_GB2312" w:eastAsia="FangSong_GB2312" w:cs="FangSong_GB2312"/>
          <w:spacing w:val="-57"/>
        </w:rPr>
        <w:t xml:space="preserve"> </w:t>
      </w:r>
      <w:r>
        <w:rPr>
          <w:spacing w:val="-12"/>
        </w:rPr>
        <w:t>3</w:t>
      </w:r>
      <w:r>
        <w:rPr>
          <w:spacing w:val="-71"/>
        </w:rPr>
        <w:t xml:space="preserve"> </w:t>
      </w:r>
      <w:r>
        <w:rPr>
          <w:rFonts w:ascii="FangSong_GB2312" w:hAnsi="FangSong_GB2312" w:eastAsia="FangSong_GB2312" w:cs="FangSong_GB2312"/>
          <w:spacing w:val="-12"/>
        </w:rPr>
        <w:t>个县入选全国全域土地综合整治试点。</w:t>
      </w:r>
    </w:p>
    <w:p w14:paraId="5F7BCDF5">
      <w:pPr>
        <w:pStyle w:val="2"/>
        <w:spacing w:before="19" w:line="330" w:lineRule="auto"/>
        <w:ind w:right="4" w:firstLine="645"/>
        <w:rPr>
          <w:rFonts w:ascii="FangSong_GB2312" w:hAnsi="FangSong_GB2312" w:eastAsia="FangSong_GB2312" w:cs="FangSong_GB2312"/>
        </w:rPr>
      </w:pPr>
      <w:r>
        <w:rPr>
          <w:rFonts w:ascii="FangSong_GB2312" w:hAnsi="FangSong_GB2312" w:eastAsia="FangSong_GB2312" w:cs="FangSong_GB2312"/>
          <w:spacing w:val="-9"/>
        </w:rPr>
        <w:t>绿色发展成效显著。作为世界钨都、稀土王国、世界橙乡，</w:t>
      </w:r>
      <w:r>
        <w:rPr>
          <w:rFonts w:ascii="FangSong_GB2312" w:hAnsi="FangSong_GB2312" w:eastAsia="FangSong_GB2312" w:cs="FangSong_GB2312"/>
          <w:spacing w:val="-8"/>
        </w:rPr>
        <w:t>赣州坚持资源节约和绿色转型，持续壮大绿色</w:t>
      </w:r>
      <w:r>
        <w:rPr>
          <w:rFonts w:ascii="FangSong_GB2312" w:hAnsi="FangSong_GB2312" w:eastAsia="FangSong_GB2312" w:cs="FangSong_GB2312"/>
          <w:spacing w:val="-9"/>
        </w:rPr>
        <w:t>经济，汇聚绿色新</w:t>
      </w:r>
      <w:r>
        <w:rPr>
          <w:rFonts w:ascii="FangSong_GB2312" w:hAnsi="FangSong_GB2312" w:eastAsia="FangSong_GB2312" w:cs="FangSong_GB2312"/>
          <w:spacing w:val="-8"/>
        </w:rPr>
        <w:t>动能，赣州经开区、龙南经开区、瑞金经开区、</w:t>
      </w:r>
      <w:r>
        <w:rPr>
          <w:rFonts w:ascii="FangSong_GB2312" w:hAnsi="FangSong_GB2312" w:eastAsia="FangSong_GB2312" w:cs="FangSong_GB2312"/>
          <w:spacing w:val="-9"/>
        </w:rPr>
        <w:t>章贡高新区获批</w:t>
      </w:r>
      <w:r>
        <w:rPr>
          <w:rFonts w:ascii="FangSong_GB2312" w:hAnsi="FangSong_GB2312" w:eastAsia="FangSong_GB2312" w:cs="FangSong_GB2312"/>
          <w:spacing w:val="-3"/>
        </w:rPr>
        <w:t>国家级绿色园区。将“生态</w:t>
      </w:r>
      <w:r>
        <w:rPr>
          <w:spacing w:val="-3"/>
        </w:rPr>
        <w:t>+</w:t>
      </w:r>
      <w:r>
        <w:rPr>
          <w:rFonts w:ascii="FangSong_GB2312" w:hAnsi="FangSong_GB2312" w:eastAsia="FangSong_GB2312" w:cs="FangSong_GB2312"/>
          <w:spacing w:val="-3"/>
        </w:rPr>
        <w:t>”理念融入产业发展，大力发展富</w:t>
      </w:r>
      <w:r>
        <w:rPr>
          <w:rFonts w:ascii="FangSong_GB2312" w:hAnsi="FangSong_GB2312" w:eastAsia="FangSong_GB2312" w:cs="FangSong_GB2312"/>
          <w:spacing w:val="-8"/>
        </w:rPr>
        <w:t>硒绿色有机农业、林下经济等，不断释放生态</w:t>
      </w:r>
      <w:r>
        <w:rPr>
          <w:rFonts w:ascii="FangSong_GB2312" w:hAnsi="FangSong_GB2312" w:eastAsia="FangSong_GB2312" w:cs="FangSong_GB2312"/>
          <w:spacing w:val="-9"/>
        </w:rPr>
        <w:t>红利；打造富硒产</w:t>
      </w:r>
      <w:r>
        <w:rPr>
          <w:rFonts w:ascii="FangSong_GB2312" w:hAnsi="FangSong_GB2312" w:eastAsia="FangSong_GB2312" w:cs="FangSong_GB2312"/>
          <w:spacing w:val="-10"/>
        </w:rPr>
        <w:t xml:space="preserve">业发展示范基地 </w:t>
      </w:r>
      <w:r>
        <w:rPr>
          <w:spacing w:val="-10"/>
        </w:rPr>
        <w:t>142</w:t>
      </w:r>
      <w:r>
        <w:rPr>
          <w:spacing w:val="-29"/>
        </w:rPr>
        <w:t xml:space="preserve"> </w:t>
      </w:r>
      <w:r>
        <w:rPr>
          <w:rFonts w:ascii="FangSong_GB2312" w:hAnsi="FangSong_GB2312" w:eastAsia="FangSong_GB2312" w:cs="FangSong_GB2312"/>
          <w:spacing w:val="-10"/>
        </w:rPr>
        <w:t xml:space="preserve">个，认证富硒产品 </w:t>
      </w:r>
      <w:r>
        <w:rPr>
          <w:spacing w:val="-10"/>
        </w:rPr>
        <w:t>1207</w:t>
      </w:r>
      <w:r>
        <w:rPr>
          <w:spacing w:val="-40"/>
        </w:rPr>
        <w:t xml:space="preserve"> </w:t>
      </w:r>
      <w:r>
        <w:rPr>
          <w:rFonts w:ascii="FangSong_GB2312" w:hAnsi="FangSong_GB2312" w:eastAsia="FangSong_GB2312" w:cs="FangSong_GB2312"/>
          <w:spacing w:val="-10"/>
        </w:rPr>
        <w:t>个，“山水硒地、</w:t>
      </w:r>
      <w:r>
        <w:rPr>
          <w:rFonts w:ascii="FangSong_GB2312" w:hAnsi="FangSong_GB2312" w:eastAsia="FangSong_GB2312" w:cs="FangSong_GB2312"/>
          <w:spacing w:val="-8"/>
        </w:rPr>
        <w:t>生态赣州”名片逐步打响，赣南脐橙、赣南茶</w:t>
      </w:r>
      <w:r>
        <w:rPr>
          <w:rFonts w:ascii="FangSong_GB2312" w:hAnsi="FangSong_GB2312" w:eastAsia="FangSong_GB2312" w:cs="FangSong_GB2312"/>
          <w:spacing w:val="-9"/>
        </w:rPr>
        <w:t>油连续登上中国地理标志产品区域品牌百强榜；南康家具</w:t>
      </w:r>
      <w:r>
        <w:rPr>
          <w:rFonts w:ascii="FangSong_GB2312" w:hAnsi="FangSong_GB2312" w:eastAsia="FangSong_GB2312" w:cs="FangSong_GB2312"/>
          <w:spacing w:val="-64"/>
        </w:rPr>
        <w:t xml:space="preserve"> </w:t>
      </w:r>
      <w:r>
        <w:rPr>
          <w:spacing w:val="-9"/>
        </w:rPr>
        <w:t>2022</w:t>
      </w:r>
      <w:r>
        <w:rPr>
          <w:spacing w:val="-70"/>
        </w:rPr>
        <w:t xml:space="preserve"> </w:t>
      </w:r>
      <w:r>
        <w:rPr>
          <w:rFonts w:ascii="FangSong_GB2312" w:hAnsi="FangSong_GB2312" w:eastAsia="FangSong_GB2312" w:cs="FangSong_GB2312"/>
          <w:spacing w:val="-9"/>
        </w:rPr>
        <w:t>年总产值达</w:t>
      </w:r>
      <w:r>
        <w:rPr>
          <w:rFonts w:ascii="FangSong_GB2312" w:hAnsi="FangSong_GB2312" w:eastAsia="FangSong_GB2312" w:cs="FangSong_GB2312"/>
          <w:spacing w:val="-71"/>
        </w:rPr>
        <w:t xml:space="preserve"> </w:t>
      </w:r>
      <w:r>
        <w:rPr>
          <w:spacing w:val="-9"/>
        </w:rPr>
        <w:t>2500</w:t>
      </w:r>
      <w:r>
        <w:rPr>
          <w:spacing w:val="-66"/>
        </w:rPr>
        <w:t xml:space="preserve"> </w:t>
      </w:r>
      <w:r>
        <w:rPr>
          <w:rFonts w:ascii="FangSong_GB2312" w:hAnsi="FangSong_GB2312" w:eastAsia="FangSong_GB2312" w:cs="FangSong_GB2312"/>
          <w:spacing w:val="-9"/>
        </w:rPr>
        <w:t>亿</w:t>
      </w:r>
      <w:r>
        <w:rPr>
          <w:rFonts w:ascii="FangSong_GB2312" w:hAnsi="FangSong_GB2312" w:eastAsia="FangSong_GB2312" w:cs="FangSong_GB2312"/>
          <w:spacing w:val="-8"/>
        </w:rPr>
        <w:t>元，成为全国林业产业集群发展的典范。积极</w:t>
      </w:r>
      <w:r>
        <w:rPr>
          <w:rFonts w:ascii="FangSong_GB2312" w:hAnsi="FangSong_GB2312" w:eastAsia="FangSong_GB2312" w:cs="FangSong_GB2312"/>
          <w:spacing w:val="-9"/>
        </w:rPr>
        <w:t>拓宽绿水青山与金</w:t>
      </w:r>
      <w:r>
        <w:rPr>
          <w:rFonts w:ascii="FangSong_GB2312" w:hAnsi="FangSong_GB2312" w:eastAsia="FangSong_GB2312" w:cs="FangSong_GB2312"/>
          <w:spacing w:val="-8"/>
        </w:rPr>
        <w:t>山银山双向转化通道，多渠道探索生态产品价值</w:t>
      </w:r>
      <w:r>
        <w:rPr>
          <w:rFonts w:ascii="FangSong_GB2312" w:hAnsi="FangSong_GB2312" w:eastAsia="FangSong_GB2312" w:cs="FangSong_GB2312"/>
          <w:spacing w:val="-9"/>
        </w:rPr>
        <w:t>实现路径，实现</w:t>
      </w:r>
      <w:r>
        <w:rPr>
          <w:rFonts w:ascii="FangSong_GB2312" w:hAnsi="FangSong_GB2312" w:eastAsia="FangSong_GB2312" w:cs="FangSong_GB2312"/>
          <w:spacing w:val="-8"/>
        </w:rPr>
        <w:t>生态惠民、利民、为民。将生态文明建设与乡村振兴</w:t>
      </w:r>
      <w:r>
        <w:rPr>
          <w:rFonts w:ascii="FangSong_GB2312" w:hAnsi="FangSong_GB2312" w:eastAsia="FangSong_GB2312" w:cs="FangSong_GB2312"/>
          <w:spacing w:val="-9"/>
        </w:rPr>
        <w:t>紧密结合，</w:t>
      </w:r>
      <w:r>
        <w:rPr>
          <w:rFonts w:ascii="FangSong_GB2312" w:hAnsi="FangSong_GB2312" w:eastAsia="FangSong_GB2312" w:cs="FangSong_GB2312"/>
          <w:spacing w:val="-8"/>
        </w:rPr>
        <w:t>以乡村休闲游、温泉养生游、东江探源游等为主</w:t>
      </w:r>
      <w:r>
        <w:rPr>
          <w:rFonts w:ascii="FangSong_GB2312" w:hAnsi="FangSong_GB2312" w:eastAsia="FangSong_GB2312" w:cs="FangSong_GB2312"/>
          <w:spacing w:val="-9"/>
        </w:rPr>
        <w:t>的生态旅游业蓬</w:t>
      </w:r>
      <w:r>
        <w:rPr>
          <w:rFonts w:ascii="FangSong_GB2312" w:hAnsi="FangSong_GB2312" w:eastAsia="FangSong_GB2312" w:cs="FangSong_GB2312"/>
          <w:spacing w:val="-11"/>
        </w:rPr>
        <w:t>勃发展，为群众带来绿色增收门路。</w:t>
      </w:r>
    </w:p>
    <w:p w14:paraId="64B4C448">
      <w:pPr>
        <w:pStyle w:val="2"/>
        <w:spacing w:before="6" w:line="331" w:lineRule="auto"/>
        <w:ind w:left="5" w:firstLine="636"/>
        <w:jc w:val="both"/>
        <w:rPr>
          <w:rFonts w:ascii="FangSong_GB2312" w:hAnsi="FangSong_GB2312" w:eastAsia="FangSong_GB2312" w:cs="FangSong_GB2312"/>
        </w:rPr>
      </w:pPr>
      <w:r>
        <w:rPr>
          <w:rFonts w:ascii="FangSong_GB2312" w:hAnsi="FangSong_GB2312" w:eastAsia="FangSong_GB2312" w:cs="FangSong_GB2312"/>
          <w:spacing w:val="-9"/>
        </w:rPr>
        <w:t>古今文化资源丰富。赣州地处“江南之南、岭南之北”，红色、宋城、客家、理学、禅宗等多种形态的文化相互交融、扬名内外，积淀了底蕴深厚的文明，焕发着多元文化的独特韵味。赣州以山水为媒介、人文为窗口，做足文化保护传承、生态开发利</w:t>
      </w:r>
      <w:r>
        <w:rPr>
          <w:rFonts w:ascii="FangSong_GB2312" w:hAnsi="FangSong_GB2312" w:eastAsia="FangSong_GB2312" w:cs="FangSong_GB2312"/>
          <w:spacing w:val="-14"/>
        </w:rPr>
        <w:t>用与旅游业发展融合文章，实现国家</w:t>
      </w:r>
      <w:r>
        <w:rPr>
          <w:rFonts w:ascii="FangSong_GB2312" w:hAnsi="FangSong_GB2312" w:eastAsia="FangSong_GB2312" w:cs="FangSong_GB2312"/>
          <w:spacing w:val="-77"/>
        </w:rPr>
        <w:t xml:space="preserve"> </w:t>
      </w:r>
      <w:r>
        <w:rPr>
          <w:spacing w:val="-14"/>
        </w:rPr>
        <w:t>4A</w:t>
      </w:r>
      <w:r>
        <w:rPr>
          <w:spacing w:val="-59"/>
        </w:rPr>
        <w:t xml:space="preserve"> </w:t>
      </w:r>
      <w:r>
        <w:rPr>
          <w:rFonts w:ascii="FangSong_GB2312" w:hAnsi="FangSong_GB2312" w:eastAsia="FangSong_GB2312" w:cs="FangSong_GB2312"/>
          <w:spacing w:val="-14"/>
        </w:rPr>
        <w:t>级旅游景</w:t>
      </w:r>
      <w:r>
        <w:rPr>
          <w:rFonts w:ascii="FangSong_GB2312" w:hAnsi="FangSong_GB2312" w:eastAsia="FangSong_GB2312" w:cs="FangSong_GB2312"/>
          <w:spacing w:val="-15"/>
        </w:rPr>
        <w:t>区县域全覆盖，</w:t>
      </w:r>
      <w:r>
        <w:rPr>
          <w:rFonts w:ascii="FangSong_GB2312" w:hAnsi="FangSong_GB2312" w:eastAsia="FangSong_GB2312" w:cs="FangSong_GB2312"/>
          <w:spacing w:val="-8"/>
        </w:rPr>
        <w:t xml:space="preserve">瑞金共和国摇篮、安远三百山成功获评国家 </w:t>
      </w:r>
      <w:r>
        <w:rPr>
          <w:spacing w:val="-8"/>
        </w:rPr>
        <w:t xml:space="preserve">5A </w:t>
      </w:r>
      <w:r>
        <w:rPr>
          <w:rFonts w:ascii="FangSong_GB2312" w:hAnsi="FangSong_GB2312" w:eastAsia="FangSong_GB2312" w:cs="FangSong_GB2312"/>
          <w:spacing w:val="-8"/>
        </w:rPr>
        <w:t>级旅游景区，积</w:t>
      </w:r>
    </w:p>
    <w:p w14:paraId="28BFD9DF">
      <w:pPr>
        <w:spacing w:line="331" w:lineRule="auto"/>
        <w:rPr>
          <w:rFonts w:ascii="FangSong_GB2312" w:hAnsi="FangSong_GB2312" w:eastAsia="FangSong_GB2312" w:cs="FangSong_GB2312"/>
        </w:rPr>
        <w:sectPr>
          <w:footerReference r:id="rId7" w:type="default"/>
          <w:pgSz w:w="11905" w:h="16840"/>
          <w:pgMar w:top="1431" w:right="1572" w:bottom="1867" w:left="1594" w:header="0" w:footer="1506" w:gutter="0"/>
          <w:cols w:space="720" w:num="1"/>
        </w:sectPr>
      </w:pPr>
    </w:p>
    <w:p w14:paraId="3FF9372F">
      <w:pPr>
        <w:spacing w:line="342" w:lineRule="auto"/>
        <w:rPr>
          <w:rFonts w:ascii="Arial"/>
          <w:sz w:val="21"/>
        </w:rPr>
      </w:pPr>
    </w:p>
    <w:p w14:paraId="2F103978">
      <w:pPr>
        <w:spacing w:line="343" w:lineRule="auto"/>
        <w:rPr>
          <w:rFonts w:ascii="Arial"/>
          <w:sz w:val="21"/>
        </w:rPr>
      </w:pPr>
    </w:p>
    <w:p w14:paraId="73F92B16">
      <w:pPr>
        <w:pStyle w:val="2"/>
        <w:spacing w:before="104" w:line="331" w:lineRule="auto"/>
        <w:ind w:left="6" w:hanging="5"/>
        <w:jc w:val="both"/>
        <w:rPr>
          <w:rFonts w:ascii="FangSong_GB2312" w:hAnsi="FangSong_GB2312" w:eastAsia="FangSong_GB2312" w:cs="FangSong_GB2312"/>
        </w:rPr>
      </w:pPr>
      <w:r>
        <w:rPr>
          <w:rFonts w:ascii="FangSong_GB2312" w:hAnsi="FangSong_GB2312" w:eastAsia="FangSong_GB2312" w:cs="FangSong_GB2312"/>
          <w:spacing w:val="3"/>
        </w:rPr>
        <w:t>极打造“世界围屋之都”、粤港澳大湾区生态康养旅游“后花</w:t>
      </w:r>
      <w:r>
        <w:rPr>
          <w:rFonts w:ascii="FangSong_GB2312" w:hAnsi="FangSong_GB2312" w:eastAsia="FangSong_GB2312" w:cs="FangSong_GB2312"/>
          <w:spacing w:val="-3"/>
        </w:rPr>
        <w:t xml:space="preserve">园”，形成“阳明文化＋绿色生态”特色旅游产品。截至 </w:t>
      </w:r>
      <w:r>
        <w:rPr>
          <w:spacing w:val="-3"/>
        </w:rPr>
        <w:t>2021</w:t>
      </w:r>
      <w:r>
        <w:rPr>
          <w:rFonts w:ascii="FangSong_GB2312" w:hAnsi="FangSong_GB2312" w:eastAsia="FangSong_GB2312" w:cs="FangSong_GB2312"/>
          <w:spacing w:val="-9"/>
        </w:rPr>
        <w:t>年，创建省级以上自然保护区、湿地公园、森林公园、风景名胜</w:t>
      </w:r>
      <w:r>
        <w:rPr>
          <w:rFonts w:ascii="FangSong_GB2312" w:hAnsi="FangSong_GB2312" w:eastAsia="FangSong_GB2312" w:cs="FangSong_GB2312"/>
          <w:spacing w:val="-15"/>
        </w:rPr>
        <w:t>区、地质公园等自然保护地</w:t>
      </w:r>
      <w:r>
        <w:rPr>
          <w:rFonts w:ascii="FangSong_GB2312" w:hAnsi="FangSong_GB2312" w:eastAsia="FangSong_GB2312" w:cs="FangSong_GB2312"/>
          <w:spacing w:val="-54"/>
        </w:rPr>
        <w:t xml:space="preserve"> </w:t>
      </w:r>
      <w:r>
        <w:rPr>
          <w:spacing w:val="-15"/>
        </w:rPr>
        <w:t>75</w:t>
      </w:r>
      <w:r>
        <w:rPr>
          <w:spacing w:val="-60"/>
        </w:rPr>
        <w:t xml:space="preserve"> </w:t>
      </w:r>
      <w:r>
        <w:rPr>
          <w:rFonts w:ascii="FangSong_GB2312" w:hAnsi="FangSong_GB2312" w:eastAsia="FangSong_GB2312" w:cs="FangSong_GB2312"/>
          <w:spacing w:val="-15"/>
        </w:rPr>
        <w:t>处，荣获“国家森林城市”称号。</w:t>
      </w:r>
      <w:r>
        <w:rPr>
          <w:rFonts w:ascii="FangSong_GB2312" w:hAnsi="FangSong_GB2312" w:eastAsia="FangSong_GB2312" w:cs="FangSong_GB2312"/>
          <w:spacing w:val="-9"/>
        </w:rPr>
        <w:t>开拓进取的民俗民风延续传承，垃圾分类、限塑行动、绿色出行</w:t>
      </w:r>
      <w:r>
        <w:rPr>
          <w:rFonts w:ascii="FangSong_GB2312" w:hAnsi="FangSong_GB2312" w:eastAsia="FangSong_GB2312" w:cs="FangSong_GB2312"/>
          <w:spacing w:val="-19"/>
        </w:rPr>
        <w:t>等绿色生活创建行动广泛开展，绿色、低碳、节能理念深入人心，</w:t>
      </w:r>
      <w:r>
        <w:rPr>
          <w:rFonts w:ascii="FangSong_GB2312" w:hAnsi="FangSong_GB2312" w:eastAsia="FangSong_GB2312" w:cs="FangSong_GB2312"/>
          <w:spacing w:val="-11"/>
        </w:rPr>
        <w:t>绿色发展方式和生活方式成为社会新风尚。</w:t>
      </w:r>
    </w:p>
    <w:p w14:paraId="2265B707">
      <w:pPr>
        <w:pStyle w:val="2"/>
        <w:spacing w:before="5" w:line="331" w:lineRule="auto"/>
        <w:ind w:right="4" w:firstLine="662"/>
        <w:jc w:val="both"/>
        <w:rPr>
          <w:rFonts w:ascii="FangSong_GB2312" w:hAnsi="FangSong_GB2312" w:eastAsia="FangSong_GB2312" w:cs="FangSong_GB2312"/>
        </w:rPr>
      </w:pPr>
      <w:r>
        <w:rPr>
          <w:rFonts w:ascii="FangSong_GB2312" w:hAnsi="FangSong_GB2312" w:eastAsia="FangSong_GB2312" w:cs="FangSong_GB2312"/>
          <w:spacing w:val="-10"/>
        </w:rPr>
        <w:t>改革创新示范先行。赣州是全国著名的革命老区、人民共和</w:t>
      </w:r>
      <w:r>
        <w:rPr>
          <w:rFonts w:ascii="FangSong_GB2312" w:hAnsi="FangSong_GB2312" w:eastAsia="FangSong_GB2312" w:cs="FangSong_GB2312"/>
          <w:spacing w:val="-9"/>
        </w:rPr>
        <w:t>国的摇篮，孕育了伟大的苏区精神、长征精神。赣州从红色基因中汲取力量，大力推进生态文明体制改革、示范创建，成功争创</w:t>
      </w:r>
      <w:r>
        <w:rPr>
          <w:rFonts w:ascii="FangSong_GB2312" w:hAnsi="FangSong_GB2312" w:eastAsia="FangSong_GB2312" w:cs="FangSong_GB2312"/>
          <w:spacing w:val="-14"/>
        </w:rPr>
        <w:t>全国文明城市、国家森林城市、国家卫生城市， 荣获中国最具生</w:t>
      </w:r>
      <w:r>
        <w:rPr>
          <w:rFonts w:ascii="FangSong_GB2312" w:hAnsi="FangSong_GB2312" w:eastAsia="FangSong_GB2312" w:cs="FangSong_GB2312"/>
          <w:spacing w:val="-8"/>
        </w:rPr>
        <w:t>态竞争力城市、全国首批创建生态文明典范</w:t>
      </w:r>
      <w:r>
        <w:rPr>
          <w:rFonts w:ascii="FangSong_GB2312" w:hAnsi="FangSong_GB2312" w:eastAsia="FangSong_GB2312" w:cs="FangSong_GB2312"/>
          <w:spacing w:val="-9"/>
        </w:rPr>
        <w:t>城市等称号，累计创</w:t>
      </w:r>
      <w:r>
        <w:rPr>
          <w:rFonts w:ascii="FangSong_GB2312" w:hAnsi="FangSong_GB2312" w:eastAsia="FangSong_GB2312" w:cs="FangSong_GB2312"/>
          <w:spacing w:val="-10"/>
        </w:rPr>
        <w:t>建国家“绿水青山就是金山银山”实践创新基地</w:t>
      </w:r>
      <w:r>
        <w:rPr>
          <w:rFonts w:ascii="FangSong_GB2312" w:hAnsi="FangSong_GB2312" w:eastAsia="FangSong_GB2312" w:cs="FangSong_GB2312"/>
          <w:spacing w:val="-42"/>
        </w:rPr>
        <w:t xml:space="preserve"> </w:t>
      </w:r>
      <w:r>
        <w:rPr>
          <w:spacing w:val="-10"/>
        </w:rPr>
        <w:t>1</w:t>
      </w:r>
      <w:r>
        <w:rPr>
          <w:spacing w:val="-71"/>
        </w:rPr>
        <w:t xml:space="preserve"> </w:t>
      </w:r>
      <w:r>
        <w:rPr>
          <w:rFonts w:ascii="FangSong_GB2312" w:hAnsi="FangSong_GB2312" w:eastAsia="FangSong_GB2312" w:cs="FangSong_GB2312"/>
          <w:spacing w:val="-10"/>
        </w:rPr>
        <w:t>个，国家生态</w:t>
      </w:r>
      <w:r>
        <w:rPr>
          <w:rFonts w:ascii="FangSong_GB2312" w:hAnsi="FangSong_GB2312" w:eastAsia="FangSong_GB2312" w:cs="FangSong_GB2312"/>
          <w:spacing w:val="-12"/>
        </w:rPr>
        <w:t>文明建设示范县</w:t>
      </w:r>
      <w:r>
        <w:rPr>
          <w:rFonts w:ascii="FangSong_GB2312" w:hAnsi="FangSong_GB2312" w:eastAsia="FangSong_GB2312" w:cs="FangSong_GB2312"/>
          <w:spacing w:val="-63"/>
        </w:rPr>
        <w:t xml:space="preserve"> </w:t>
      </w:r>
      <w:r>
        <w:rPr>
          <w:spacing w:val="-12"/>
        </w:rPr>
        <w:t>4</w:t>
      </w:r>
      <w:r>
        <w:rPr>
          <w:spacing w:val="-71"/>
        </w:rPr>
        <w:t xml:space="preserve"> </w:t>
      </w:r>
      <w:r>
        <w:rPr>
          <w:rFonts w:ascii="FangSong_GB2312" w:hAnsi="FangSong_GB2312" w:eastAsia="FangSong_GB2312" w:cs="FangSong_GB2312"/>
          <w:spacing w:val="-12"/>
        </w:rPr>
        <w:t>个，国家水土保持示范工程（县）</w:t>
      </w:r>
      <w:r>
        <w:rPr>
          <w:spacing w:val="-12"/>
        </w:rPr>
        <w:t>11</w:t>
      </w:r>
      <w:r>
        <w:rPr>
          <w:spacing w:val="-71"/>
        </w:rPr>
        <w:t xml:space="preserve"> </w:t>
      </w:r>
      <w:r>
        <w:rPr>
          <w:rFonts w:ascii="FangSong_GB2312" w:hAnsi="FangSong_GB2312" w:eastAsia="FangSong_GB2312" w:cs="FangSong_GB2312"/>
          <w:spacing w:val="-12"/>
        </w:rPr>
        <w:t>个，国家</w:t>
      </w:r>
      <w:r>
        <w:rPr>
          <w:rFonts w:ascii="FangSong_GB2312" w:hAnsi="FangSong_GB2312" w:eastAsia="FangSong_GB2312" w:cs="FangSong_GB2312"/>
          <w:spacing w:val="-15"/>
        </w:rPr>
        <w:t>级生态乡镇</w:t>
      </w:r>
      <w:r>
        <w:rPr>
          <w:rFonts w:ascii="FangSong_GB2312" w:hAnsi="FangSong_GB2312" w:eastAsia="FangSong_GB2312" w:cs="FangSong_GB2312"/>
          <w:spacing w:val="-41"/>
        </w:rPr>
        <w:t xml:space="preserve"> </w:t>
      </w:r>
      <w:r>
        <w:rPr>
          <w:spacing w:val="-15"/>
        </w:rPr>
        <w:t>11</w:t>
      </w:r>
      <w:r>
        <w:rPr>
          <w:spacing w:val="-71"/>
        </w:rPr>
        <w:t xml:space="preserve"> </w:t>
      </w:r>
      <w:r>
        <w:rPr>
          <w:rFonts w:ascii="FangSong_GB2312" w:hAnsi="FangSong_GB2312" w:eastAsia="FangSong_GB2312" w:cs="FangSong_GB2312"/>
          <w:spacing w:val="-15"/>
        </w:rPr>
        <w:t>个；荣获全国首批国务院生态文明督查激励表彰，</w:t>
      </w:r>
      <w:r>
        <w:rPr>
          <w:rFonts w:ascii="FangSong_GB2312" w:hAnsi="FangSong_GB2312" w:eastAsia="FangSong_GB2312" w:cs="FangSong_GB2312"/>
          <w:spacing w:val="-9"/>
        </w:rPr>
        <w:t>寻乌山水林田湖草综合治理入选联合国《生物多样性公约》第十</w:t>
      </w:r>
      <w:r>
        <w:rPr>
          <w:rFonts w:ascii="FangSong_GB2312" w:hAnsi="FangSong_GB2312" w:eastAsia="FangSong_GB2312" w:cs="FangSong_GB2312"/>
          <w:spacing w:val="-19"/>
        </w:rPr>
        <w:t>五次缔约方大会典型案例，“赣州经验”、“赣州模式”被广</w:t>
      </w:r>
      <w:r>
        <w:rPr>
          <w:rFonts w:ascii="FangSong_GB2312" w:hAnsi="FangSong_GB2312" w:eastAsia="FangSong_GB2312" w:cs="FangSong_GB2312"/>
          <w:spacing w:val="-20"/>
        </w:rPr>
        <w:t>为传</w:t>
      </w:r>
      <w:r>
        <w:rPr>
          <w:rFonts w:ascii="FangSong_GB2312" w:hAnsi="FangSong_GB2312" w:eastAsia="FangSong_GB2312" w:cs="FangSong_GB2312"/>
          <w:spacing w:val="-21"/>
        </w:rPr>
        <w:t>播。</w:t>
      </w:r>
    </w:p>
    <w:p w14:paraId="1EFEDB1B">
      <w:pPr>
        <w:spacing w:line="217"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（二）机遇挑战</w:t>
      </w:r>
    </w:p>
    <w:p w14:paraId="17D2AFAC">
      <w:pPr>
        <w:spacing w:before="195" w:line="331" w:lineRule="auto"/>
        <w:ind w:left="16" w:right="10" w:firstLine="61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新形势下，习近平总书记关于打造美丽中国“江西样板”的重要指示，以及建设革命老区高质量发展示范区、打造美丽中国</w:t>
      </w:r>
      <w:r>
        <w:rPr>
          <w:rFonts w:ascii="FangSong_GB2312" w:hAnsi="FangSong_GB2312" w:eastAsia="FangSong_GB2312" w:cs="FangSong_GB2312"/>
          <w:spacing w:val="2"/>
          <w:sz w:val="32"/>
          <w:szCs w:val="32"/>
        </w:rPr>
        <w:t>“赣州样板”的目标定位，是高标准建设美丽赣州的指引和动</w:t>
      </w:r>
    </w:p>
    <w:p w14:paraId="56EF2B37">
      <w:pPr>
        <w:spacing w:line="331" w:lineRule="auto"/>
        <w:rPr>
          <w:rFonts w:ascii="FangSong_GB2312" w:hAnsi="FangSong_GB2312" w:eastAsia="FangSong_GB2312" w:cs="FangSong_GB2312"/>
          <w:sz w:val="32"/>
          <w:szCs w:val="32"/>
        </w:rPr>
        <w:sectPr>
          <w:footerReference r:id="rId8" w:type="default"/>
          <w:pgSz w:w="11905" w:h="16840"/>
          <w:pgMar w:top="1431" w:right="1568" w:bottom="1867" w:left="1597" w:header="0" w:footer="1504" w:gutter="0"/>
          <w:cols w:space="720" w:num="1"/>
        </w:sectPr>
      </w:pPr>
    </w:p>
    <w:p w14:paraId="7E058F7A">
      <w:pPr>
        <w:spacing w:line="343" w:lineRule="auto"/>
        <w:rPr>
          <w:rFonts w:ascii="Arial"/>
          <w:sz w:val="21"/>
        </w:rPr>
      </w:pPr>
    </w:p>
    <w:p w14:paraId="5388F3BD">
      <w:pPr>
        <w:spacing w:line="344" w:lineRule="auto"/>
        <w:rPr>
          <w:rFonts w:ascii="Arial"/>
          <w:sz w:val="21"/>
        </w:rPr>
      </w:pPr>
    </w:p>
    <w:p w14:paraId="55D15875">
      <w:pPr>
        <w:spacing w:before="104" w:line="331" w:lineRule="auto"/>
        <w:ind w:firstLine="12"/>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力。在新发展理念引领下，促进经济社会发展全面绿色转型，为</w:t>
      </w:r>
      <w:r>
        <w:rPr>
          <w:rFonts w:ascii="FangSong_GB2312" w:hAnsi="FangSong_GB2312" w:eastAsia="FangSong_GB2312" w:cs="FangSong_GB2312"/>
          <w:spacing w:val="-8"/>
          <w:sz w:val="32"/>
          <w:szCs w:val="32"/>
        </w:rPr>
        <w:t>赣州实现绿色可持续发展、加快生态文明建设注入</w:t>
      </w:r>
      <w:r>
        <w:rPr>
          <w:rFonts w:ascii="FangSong_GB2312" w:hAnsi="FangSong_GB2312" w:eastAsia="FangSong_GB2312" w:cs="FangSong_GB2312"/>
          <w:spacing w:val="-9"/>
          <w:sz w:val="32"/>
          <w:szCs w:val="32"/>
        </w:rPr>
        <w:t>新动能。碳达</w:t>
      </w:r>
      <w:r>
        <w:rPr>
          <w:rFonts w:ascii="FangSong_GB2312" w:hAnsi="FangSong_GB2312" w:eastAsia="FangSong_GB2312" w:cs="FangSong_GB2312"/>
          <w:spacing w:val="-8"/>
          <w:sz w:val="32"/>
          <w:szCs w:val="32"/>
        </w:rPr>
        <w:t>峰碳中和目标的提出，为赣州在广泛深刻的绿色变</w:t>
      </w:r>
      <w:r>
        <w:rPr>
          <w:rFonts w:ascii="FangSong_GB2312" w:hAnsi="FangSong_GB2312" w:eastAsia="FangSong_GB2312" w:cs="FangSong_GB2312"/>
          <w:spacing w:val="-9"/>
          <w:sz w:val="32"/>
          <w:szCs w:val="32"/>
        </w:rPr>
        <w:t>革中实现赶超</w:t>
      </w:r>
      <w:r>
        <w:rPr>
          <w:rFonts w:ascii="FangSong_GB2312" w:hAnsi="FangSong_GB2312" w:eastAsia="FangSong_GB2312" w:cs="FangSong_GB2312"/>
          <w:spacing w:val="-8"/>
          <w:sz w:val="32"/>
          <w:szCs w:val="32"/>
        </w:rPr>
        <w:t>进位、高质量跨越式发展提供了新契机。生态文</w:t>
      </w:r>
      <w:r>
        <w:rPr>
          <w:rFonts w:ascii="FangSong_GB2312" w:hAnsi="FangSong_GB2312" w:eastAsia="FangSong_GB2312" w:cs="FangSong_GB2312"/>
          <w:spacing w:val="-9"/>
          <w:sz w:val="32"/>
          <w:szCs w:val="32"/>
        </w:rPr>
        <w:t>明制度改革红利</w:t>
      </w:r>
      <w:r>
        <w:rPr>
          <w:rFonts w:ascii="FangSong_GB2312" w:hAnsi="FangSong_GB2312" w:eastAsia="FangSong_GB2312" w:cs="FangSong_GB2312"/>
          <w:spacing w:val="-8"/>
          <w:sz w:val="32"/>
          <w:szCs w:val="32"/>
        </w:rPr>
        <w:t>持续释放，我国生态文明建设实现了由重点整治到</w:t>
      </w:r>
      <w:r>
        <w:rPr>
          <w:rFonts w:ascii="FangSong_GB2312" w:hAnsi="FangSong_GB2312" w:eastAsia="FangSong_GB2312" w:cs="FangSong_GB2312"/>
          <w:spacing w:val="-9"/>
          <w:sz w:val="32"/>
          <w:szCs w:val="32"/>
        </w:rPr>
        <w:t>系统治理、由</w:t>
      </w:r>
      <w:r>
        <w:rPr>
          <w:rFonts w:ascii="FangSong_GB2312" w:hAnsi="FangSong_GB2312" w:eastAsia="FangSong_GB2312" w:cs="FangSong_GB2312"/>
          <w:spacing w:val="-8"/>
          <w:sz w:val="32"/>
          <w:szCs w:val="32"/>
        </w:rPr>
        <w:t>被动应对到主动作为、由全球环境治理参与者到引</w:t>
      </w:r>
      <w:r>
        <w:rPr>
          <w:rFonts w:ascii="FangSong_GB2312" w:hAnsi="FangSong_GB2312" w:eastAsia="FangSong_GB2312" w:cs="FangSong_GB2312"/>
          <w:spacing w:val="-9"/>
          <w:sz w:val="32"/>
          <w:szCs w:val="32"/>
        </w:rPr>
        <w:t>领者、由实践</w:t>
      </w:r>
      <w:r>
        <w:rPr>
          <w:rFonts w:ascii="FangSong_GB2312" w:hAnsi="FangSong_GB2312" w:eastAsia="FangSong_GB2312" w:cs="FangSong_GB2312"/>
          <w:spacing w:val="-8"/>
          <w:sz w:val="32"/>
          <w:szCs w:val="32"/>
        </w:rPr>
        <w:t>探索到科学理论指导的重大转变，全社会保护生态</w:t>
      </w:r>
      <w:r>
        <w:rPr>
          <w:rFonts w:ascii="FangSong_GB2312" w:hAnsi="FangSong_GB2312" w:eastAsia="FangSong_GB2312" w:cs="FangSong_GB2312"/>
          <w:spacing w:val="-9"/>
          <w:sz w:val="32"/>
          <w:szCs w:val="32"/>
        </w:rPr>
        <w:t>环境合力进一</w:t>
      </w:r>
      <w:r>
        <w:rPr>
          <w:rFonts w:ascii="FangSong_GB2312" w:hAnsi="FangSong_GB2312" w:eastAsia="FangSong_GB2312" w:cs="FangSong_GB2312"/>
          <w:spacing w:val="-8"/>
          <w:sz w:val="32"/>
          <w:szCs w:val="32"/>
        </w:rPr>
        <w:t>步增强，为持续推进美丽赣州建设提供了坚实基础</w:t>
      </w:r>
      <w:r>
        <w:rPr>
          <w:rFonts w:ascii="FangSong_GB2312" w:hAnsi="FangSong_GB2312" w:eastAsia="FangSong_GB2312" w:cs="FangSong_GB2312"/>
          <w:spacing w:val="-9"/>
          <w:sz w:val="32"/>
          <w:szCs w:val="32"/>
        </w:rPr>
        <w:t>和支撑条件。</w:t>
      </w:r>
      <w:r>
        <w:rPr>
          <w:rFonts w:ascii="FangSong_GB2312" w:hAnsi="FangSong_GB2312" w:eastAsia="FangSong_GB2312" w:cs="FangSong_GB2312"/>
          <w:spacing w:val="-8"/>
          <w:sz w:val="32"/>
          <w:szCs w:val="32"/>
        </w:rPr>
        <w:t>积极融入新发展格局，全市独特的生态优势、资</w:t>
      </w:r>
      <w:r>
        <w:rPr>
          <w:rFonts w:ascii="FangSong_GB2312" w:hAnsi="FangSong_GB2312" w:eastAsia="FangSong_GB2312" w:cs="FangSong_GB2312"/>
          <w:spacing w:val="-9"/>
          <w:sz w:val="32"/>
          <w:szCs w:val="32"/>
        </w:rPr>
        <w:t>源优势和区位优</w:t>
      </w:r>
      <w:r>
        <w:rPr>
          <w:rFonts w:ascii="FangSong_GB2312" w:hAnsi="FangSong_GB2312" w:eastAsia="FangSong_GB2312" w:cs="FangSong_GB2312"/>
          <w:spacing w:val="-8"/>
          <w:sz w:val="32"/>
          <w:szCs w:val="32"/>
        </w:rPr>
        <w:t>势与新时代支持革命老区振兴发展、建设粤港澳大</w:t>
      </w:r>
      <w:r>
        <w:rPr>
          <w:rFonts w:ascii="FangSong_GB2312" w:hAnsi="FangSong_GB2312" w:eastAsia="FangSong_GB2312" w:cs="FangSong_GB2312"/>
          <w:spacing w:val="-9"/>
          <w:sz w:val="32"/>
          <w:szCs w:val="32"/>
        </w:rPr>
        <w:t>湾区等国家战</w:t>
      </w:r>
      <w:r>
        <w:rPr>
          <w:rFonts w:ascii="FangSong_GB2312" w:hAnsi="FangSong_GB2312" w:eastAsia="FangSong_GB2312" w:cs="FangSong_GB2312"/>
          <w:spacing w:val="-8"/>
          <w:sz w:val="32"/>
          <w:szCs w:val="32"/>
        </w:rPr>
        <w:t>略及江西省打造国家生态文明建设高地、支持赣州</w:t>
      </w:r>
      <w:r>
        <w:rPr>
          <w:rFonts w:ascii="FangSong_GB2312" w:hAnsi="FangSong_GB2312" w:eastAsia="FangSong_GB2312" w:cs="FangSong_GB2312"/>
          <w:spacing w:val="-9"/>
          <w:sz w:val="32"/>
          <w:szCs w:val="32"/>
        </w:rPr>
        <w:t>打造对接融入</w:t>
      </w:r>
      <w:r>
        <w:rPr>
          <w:rFonts w:ascii="FangSong_GB2312" w:hAnsi="FangSong_GB2312" w:eastAsia="FangSong_GB2312" w:cs="FangSong_GB2312"/>
          <w:spacing w:val="3"/>
          <w:sz w:val="32"/>
          <w:szCs w:val="32"/>
        </w:rPr>
        <w:t>粤港澳大湾区桥头堡和建设省域副中心城市等省级战略交汇叠</w:t>
      </w:r>
      <w:r>
        <w:rPr>
          <w:rFonts w:ascii="FangSong_GB2312" w:hAnsi="FangSong_GB2312" w:eastAsia="FangSong_GB2312" w:cs="FangSong_GB2312"/>
          <w:spacing w:val="-10"/>
          <w:sz w:val="32"/>
          <w:szCs w:val="32"/>
        </w:rPr>
        <w:t>加，为美丽赣州建设谋深谋远提供了重大机遇。</w:t>
      </w:r>
    </w:p>
    <w:p w14:paraId="6B93EC56">
      <w:pPr>
        <w:pStyle w:val="2"/>
        <w:spacing w:before="3" w:line="331" w:lineRule="auto"/>
        <w:ind w:left="3" w:firstLine="661"/>
        <w:rPr>
          <w:rFonts w:ascii="FangSong_GB2312" w:hAnsi="FangSong_GB2312" w:eastAsia="FangSong_GB2312" w:cs="FangSong_GB2312"/>
        </w:rPr>
      </w:pPr>
      <w:r>
        <w:rPr>
          <w:rFonts w:ascii="FangSong_GB2312" w:hAnsi="FangSong_GB2312" w:eastAsia="FangSong_GB2312" w:cs="FangSong_GB2312"/>
          <w:spacing w:val="-10"/>
        </w:rPr>
        <w:t>同时，也应清醒认识到，当前外部环境错综复杂，经济社会</w:t>
      </w:r>
      <w:r>
        <w:rPr>
          <w:rFonts w:ascii="FangSong_GB2312" w:hAnsi="FangSong_GB2312" w:eastAsia="FangSong_GB2312" w:cs="FangSong_GB2312"/>
          <w:spacing w:val="-8"/>
        </w:rPr>
        <w:t>发展的不稳定性、不确定性增加，生态环境</w:t>
      </w:r>
      <w:r>
        <w:rPr>
          <w:rFonts w:ascii="FangSong_GB2312" w:hAnsi="FangSong_GB2312" w:eastAsia="FangSong_GB2312" w:cs="FangSong_GB2312"/>
          <w:spacing w:val="-9"/>
        </w:rPr>
        <w:t>保护工作任重道远。赣州做大总量和做优质量的双重任务紧迫，统筹发展和保护的难</w:t>
      </w:r>
      <w:r>
        <w:rPr>
          <w:rFonts w:ascii="FangSong_GB2312" w:hAnsi="FangSong_GB2312" w:eastAsia="FangSong_GB2312" w:cs="FangSong_GB2312"/>
          <w:spacing w:val="-4"/>
        </w:rPr>
        <w:t>度不断增加，全市人均国内生产总值（</w:t>
      </w:r>
      <w:r>
        <w:rPr>
          <w:spacing w:val="-4"/>
        </w:rPr>
        <w:t>GDP</w:t>
      </w:r>
      <w:r>
        <w:rPr>
          <w:rFonts w:ascii="FangSong_GB2312" w:hAnsi="FangSong_GB2312" w:eastAsia="FangSong_GB2312" w:cs="FangSong_GB2312"/>
          <w:spacing w:val="-4"/>
        </w:rPr>
        <w:t>）在全省仍处于较低</w:t>
      </w:r>
      <w:r>
        <w:rPr>
          <w:rFonts w:ascii="FangSong_GB2312" w:hAnsi="FangSong_GB2312" w:eastAsia="FangSong_GB2312" w:cs="FangSong_GB2312"/>
          <w:spacing w:val="-9"/>
        </w:rPr>
        <w:t>水平，工业仍处于工业化中期阶段，产业升级正处在爬坡过坎时</w:t>
      </w:r>
      <w:r>
        <w:rPr>
          <w:rFonts w:ascii="FangSong_GB2312" w:hAnsi="FangSong_GB2312" w:eastAsia="FangSong_GB2312" w:cs="FangSong_GB2312"/>
          <w:spacing w:val="3"/>
        </w:rPr>
        <w:t>期，城镇化建设加快推进，部分地区仍对传统产业存在路径依</w:t>
      </w:r>
      <w:r>
        <w:rPr>
          <w:rFonts w:ascii="FangSong_GB2312" w:hAnsi="FangSong_GB2312" w:eastAsia="FangSong_GB2312" w:cs="FangSong_GB2312"/>
          <w:spacing w:val="-9"/>
        </w:rPr>
        <w:t>赖，污染治理处于攻坚期。碳达峰碳中和背景下的绿色转型路径</w:t>
      </w:r>
      <w:r>
        <w:rPr>
          <w:rFonts w:ascii="FangSong_GB2312" w:hAnsi="FangSong_GB2312" w:eastAsia="FangSong_GB2312" w:cs="FangSong_GB2312"/>
          <w:spacing w:val="-8"/>
        </w:rPr>
        <w:t>亟待拓展，结构性、根源性、趋势性压力尚</w:t>
      </w:r>
      <w:r>
        <w:rPr>
          <w:rFonts w:ascii="FangSong_GB2312" w:hAnsi="FangSong_GB2312" w:eastAsia="FangSong_GB2312" w:cs="FangSong_GB2312"/>
          <w:spacing w:val="-9"/>
        </w:rPr>
        <w:t>未根本缓解，以钨与</w:t>
      </w:r>
      <w:r>
        <w:rPr>
          <w:rFonts w:ascii="FangSong_GB2312" w:hAnsi="FangSong_GB2312" w:eastAsia="FangSong_GB2312" w:cs="FangSong_GB2312"/>
          <w:spacing w:val="3"/>
        </w:rPr>
        <w:t>稀土为主的有色行业规上企业营收占规上工业总营收近三分之</w:t>
      </w:r>
    </w:p>
    <w:p w14:paraId="3D474132">
      <w:pPr>
        <w:spacing w:line="331" w:lineRule="auto"/>
        <w:rPr>
          <w:rFonts w:ascii="FangSong_GB2312" w:hAnsi="FangSong_GB2312" w:eastAsia="FangSong_GB2312" w:cs="FangSong_GB2312"/>
        </w:rPr>
        <w:sectPr>
          <w:footerReference r:id="rId9" w:type="default"/>
          <w:pgSz w:w="11905" w:h="16840"/>
          <w:pgMar w:top="1431" w:right="1578" w:bottom="1867" w:left="1594" w:header="0" w:footer="1506" w:gutter="0"/>
          <w:cols w:space="720" w:num="1"/>
        </w:sectPr>
      </w:pPr>
    </w:p>
    <w:p w14:paraId="37224C9D">
      <w:pPr>
        <w:spacing w:line="344" w:lineRule="auto"/>
        <w:rPr>
          <w:rFonts w:ascii="Arial"/>
          <w:sz w:val="21"/>
        </w:rPr>
      </w:pPr>
    </w:p>
    <w:p w14:paraId="136109EE">
      <w:pPr>
        <w:spacing w:line="344" w:lineRule="auto"/>
        <w:rPr>
          <w:rFonts w:ascii="Arial"/>
          <w:sz w:val="21"/>
        </w:rPr>
      </w:pPr>
    </w:p>
    <w:p w14:paraId="2E71E0F4">
      <w:pPr>
        <w:spacing w:before="104" w:line="331" w:lineRule="auto"/>
        <w:ind w:firstLine="2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一，新动能和创新动力不足，产业集聚效应和辐射带</w:t>
      </w:r>
      <w:r>
        <w:rPr>
          <w:rFonts w:ascii="FangSong_GB2312" w:hAnsi="FangSong_GB2312" w:eastAsia="FangSong_GB2312" w:cs="FangSong_GB2312"/>
          <w:spacing w:val="-10"/>
          <w:sz w:val="32"/>
          <w:szCs w:val="32"/>
        </w:rPr>
        <w:t>动能力有待</w:t>
      </w:r>
      <w:r>
        <w:rPr>
          <w:rFonts w:ascii="FangSong_GB2312" w:hAnsi="FangSong_GB2312" w:eastAsia="FangSong_GB2312" w:cs="FangSong_GB2312"/>
          <w:spacing w:val="-8"/>
          <w:sz w:val="32"/>
          <w:szCs w:val="32"/>
        </w:rPr>
        <w:t>提升。生态环境改善成效仍需巩固，生态环境污染</w:t>
      </w:r>
      <w:r>
        <w:rPr>
          <w:rFonts w:ascii="FangSong_GB2312" w:hAnsi="FangSong_GB2312" w:eastAsia="FangSong_GB2312" w:cs="FangSong_GB2312"/>
          <w:spacing w:val="-9"/>
          <w:sz w:val="32"/>
          <w:szCs w:val="32"/>
        </w:rPr>
        <w:t>反弹风险依然</w:t>
      </w:r>
      <w:r>
        <w:rPr>
          <w:rFonts w:ascii="FangSong_GB2312" w:hAnsi="FangSong_GB2312" w:eastAsia="FangSong_GB2312" w:cs="FangSong_GB2312"/>
          <w:spacing w:val="-19"/>
          <w:sz w:val="32"/>
          <w:szCs w:val="32"/>
        </w:rPr>
        <w:t>存在，生态修复、污水处理、矿渣处置等问题解决仍需加大力度。</w:t>
      </w:r>
      <w:r>
        <w:rPr>
          <w:rFonts w:ascii="FangSong_GB2312" w:hAnsi="FangSong_GB2312" w:eastAsia="FangSong_GB2312" w:cs="FangSong_GB2312"/>
          <w:spacing w:val="-8"/>
          <w:sz w:val="32"/>
          <w:szCs w:val="32"/>
        </w:rPr>
        <w:t>生态环境治理体系和治理能力有待加强，系统化、长效</w:t>
      </w:r>
      <w:r>
        <w:rPr>
          <w:rFonts w:ascii="FangSong_GB2312" w:hAnsi="FangSong_GB2312" w:eastAsia="FangSong_GB2312" w:cs="FangSong_GB2312"/>
          <w:spacing w:val="-9"/>
          <w:sz w:val="32"/>
          <w:szCs w:val="32"/>
        </w:rPr>
        <w:t>化、精细</w:t>
      </w:r>
      <w:r>
        <w:rPr>
          <w:rFonts w:ascii="FangSong_GB2312" w:hAnsi="FangSong_GB2312" w:eastAsia="FangSong_GB2312" w:cs="FangSong_GB2312"/>
          <w:spacing w:val="-8"/>
          <w:sz w:val="32"/>
          <w:szCs w:val="32"/>
        </w:rPr>
        <w:t>化管理体制机制尚待进一步健全，全市生态环境监测</w:t>
      </w:r>
      <w:r>
        <w:rPr>
          <w:rFonts w:ascii="FangSong_GB2312" w:hAnsi="FangSong_GB2312" w:eastAsia="FangSong_GB2312" w:cs="FangSong_GB2312"/>
          <w:spacing w:val="-9"/>
          <w:sz w:val="32"/>
          <w:szCs w:val="32"/>
        </w:rPr>
        <w:t>网络建设仍</w:t>
      </w:r>
      <w:r>
        <w:rPr>
          <w:rFonts w:ascii="FangSong_GB2312" w:hAnsi="FangSong_GB2312" w:eastAsia="FangSong_GB2312" w:cs="FangSong_GB2312"/>
          <w:spacing w:val="-8"/>
          <w:sz w:val="32"/>
          <w:szCs w:val="32"/>
        </w:rPr>
        <w:t>需完善，生态环境治理效能有待提升。人民对城乡人居</w:t>
      </w:r>
      <w:r>
        <w:rPr>
          <w:rFonts w:ascii="FangSong_GB2312" w:hAnsi="FangSong_GB2312" w:eastAsia="FangSong_GB2312" w:cs="FangSong_GB2312"/>
          <w:spacing w:val="-9"/>
          <w:sz w:val="32"/>
          <w:szCs w:val="32"/>
        </w:rPr>
        <w:t>环境、环</w:t>
      </w:r>
      <w:r>
        <w:rPr>
          <w:rFonts w:ascii="FangSong_GB2312" w:hAnsi="FangSong_GB2312" w:eastAsia="FangSong_GB2312" w:cs="FangSong_GB2312"/>
          <w:spacing w:val="-8"/>
          <w:sz w:val="32"/>
          <w:szCs w:val="32"/>
        </w:rPr>
        <w:t>境基础设施建设等领域的需求不断增长，对美丽赣州</w:t>
      </w:r>
      <w:r>
        <w:rPr>
          <w:rFonts w:ascii="FangSong_GB2312" w:hAnsi="FangSong_GB2312" w:eastAsia="FangSong_GB2312" w:cs="FangSong_GB2312"/>
          <w:spacing w:val="-9"/>
          <w:sz w:val="32"/>
          <w:szCs w:val="32"/>
        </w:rPr>
        <w:t>建设提出了</w:t>
      </w:r>
      <w:r>
        <w:rPr>
          <w:rFonts w:ascii="FangSong_GB2312" w:hAnsi="FangSong_GB2312" w:eastAsia="FangSong_GB2312" w:cs="FangSong_GB2312"/>
          <w:spacing w:val="-16"/>
          <w:sz w:val="32"/>
          <w:szCs w:val="32"/>
        </w:rPr>
        <w:t>更高要求。</w:t>
      </w:r>
    </w:p>
    <w:p w14:paraId="00A518CA">
      <w:pPr>
        <w:spacing w:before="1" w:line="224" w:lineRule="auto"/>
        <w:ind w:left="621"/>
        <w:rPr>
          <w:rFonts w:ascii="KaiTi_GB2312" w:hAnsi="KaiTi_GB2312" w:eastAsia="KaiTi_GB2312" w:cs="KaiTi_GB2312"/>
          <w:sz w:val="32"/>
          <w:szCs w:val="32"/>
        </w:rPr>
      </w:pPr>
      <w:r>
        <w:rPr>
          <w:rFonts w:ascii="KaiTi_GB2312" w:hAnsi="KaiTi_GB2312" w:eastAsia="KaiTi_GB2312" w:cs="KaiTi_GB2312"/>
          <w:spacing w:val="-7"/>
          <w:sz w:val="32"/>
          <w:szCs w:val="32"/>
        </w:rPr>
        <w:t>（三）重大意义</w:t>
      </w:r>
    </w:p>
    <w:p w14:paraId="57B970C7">
      <w:pPr>
        <w:spacing w:before="186" w:line="331" w:lineRule="auto"/>
        <w:ind w:left="4" w:right="13" w:firstLine="642"/>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美丽中国是建设社会主义现代化强国的重要目标。全</w:t>
      </w:r>
      <w:r>
        <w:rPr>
          <w:rFonts w:ascii="FangSong_GB2312" w:hAnsi="FangSong_GB2312" w:eastAsia="FangSong_GB2312" w:cs="FangSong_GB2312"/>
          <w:spacing w:val="-10"/>
          <w:sz w:val="32"/>
          <w:szCs w:val="32"/>
        </w:rPr>
        <w:t>面建设</w:t>
      </w:r>
      <w:r>
        <w:rPr>
          <w:rFonts w:ascii="FangSong_GB2312" w:hAnsi="FangSong_GB2312" w:eastAsia="FangSong_GB2312" w:cs="FangSong_GB2312"/>
          <w:spacing w:val="-9"/>
          <w:sz w:val="32"/>
          <w:szCs w:val="32"/>
        </w:rPr>
        <w:t>美丽赣州，是贯彻习近平生态文明思想的重要任务，是在全面建</w:t>
      </w:r>
      <w:r>
        <w:rPr>
          <w:rFonts w:ascii="FangSong_GB2312" w:hAnsi="FangSong_GB2312" w:eastAsia="FangSong_GB2312" w:cs="FangSong_GB2312"/>
          <w:spacing w:val="-8"/>
          <w:sz w:val="32"/>
          <w:szCs w:val="32"/>
        </w:rPr>
        <w:t>设社会主义现代化国家新征程中走在全国前</w:t>
      </w:r>
      <w:r>
        <w:rPr>
          <w:rFonts w:ascii="FangSong_GB2312" w:hAnsi="FangSong_GB2312" w:eastAsia="FangSong_GB2312" w:cs="FangSong_GB2312"/>
          <w:spacing w:val="-9"/>
          <w:sz w:val="32"/>
          <w:szCs w:val="32"/>
        </w:rPr>
        <w:t>列的重要战略，是科</w:t>
      </w:r>
      <w:r>
        <w:rPr>
          <w:rFonts w:ascii="FangSong_GB2312" w:hAnsi="FangSong_GB2312" w:eastAsia="FangSong_GB2312" w:cs="FangSong_GB2312"/>
          <w:spacing w:val="-8"/>
          <w:sz w:val="32"/>
          <w:szCs w:val="32"/>
        </w:rPr>
        <w:t>学把握新发展阶段、顺应生态文明建设新要</w:t>
      </w:r>
      <w:r>
        <w:rPr>
          <w:rFonts w:ascii="FangSong_GB2312" w:hAnsi="FangSong_GB2312" w:eastAsia="FangSong_GB2312" w:cs="FangSong_GB2312"/>
          <w:spacing w:val="-9"/>
          <w:sz w:val="32"/>
          <w:szCs w:val="32"/>
        </w:rPr>
        <w:t>求的重大举措，是在建设人与自然和谐共生的美丽江西过程中先行先试、示范引领的主动作为。全面建设美丽赣州，集中解决群众反映强烈的突出生</w:t>
      </w:r>
      <w:r>
        <w:rPr>
          <w:rFonts w:ascii="FangSong_GB2312" w:hAnsi="FangSong_GB2312" w:eastAsia="FangSong_GB2312" w:cs="FangSong_GB2312"/>
          <w:spacing w:val="-8"/>
          <w:sz w:val="32"/>
          <w:szCs w:val="32"/>
        </w:rPr>
        <w:t>态环境问题和急难愁盼问题，提供更多优质</w:t>
      </w:r>
      <w:r>
        <w:rPr>
          <w:rFonts w:ascii="FangSong_GB2312" w:hAnsi="FangSong_GB2312" w:eastAsia="FangSong_GB2312" w:cs="FangSong_GB2312"/>
          <w:spacing w:val="-9"/>
          <w:sz w:val="32"/>
          <w:szCs w:val="32"/>
        </w:rPr>
        <w:t>生态环境产品，推动</w:t>
      </w:r>
      <w:r>
        <w:rPr>
          <w:rFonts w:ascii="FangSong_GB2312" w:hAnsi="FangSong_GB2312" w:eastAsia="FangSong_GB2312" w:cs="FangSong_GB2312"/>
          <w:spacing w:val="-8"/>
          <w:sz w:val="32"/>
          <w:szCs w:val="32"/>
        </w:rPr>
        <w:t>实现生态公平普惠，是不断满足人民群众美</w:t>
      </w:r>
      <w:r>
        <w:rPr>
          <w:rFonts w:ascii="FangSong_GB2312" w:hAnsi="FangSong_GB2312" w:eastAsia="FangSong_GB2312" w:cs="FangSong_GB2312"/>
          <w:spacing w:val="-9"/>
          <w:sz w:val="32"/>
          <w:szCs w:val="32"/>
        </w:rPr>
        <w:t>好生活新期待、提升人民生态福祉的必然要求。全面建设美丽赣州，锚定高标准建成</w:t>
      </w:r>
      <w:r>
        <w:rPr>
          <w:rFonts w:ascii="FangSong_GB2312" w:hAnsi="FangSong_GB2312" w:eastAsia="FangSong_GB2312" w:cs="FangSong_GB2312"/>
          <w:spacing w:val="-8"/>
          <w:sz w:val="32"/>
          <w:szCs w:val="32"/>
        </w:rPr>
        <w:t>美丽中国“赣州样板”远景目标，科学制定</w:t>
      </w:r>
      <w:r>
        <w:rPr>
          <w:rFonts w:ascii="FangSong_GB2312" w:hAnsi="FangSong_GB2312" w:eastAsia="FangSong_GB2312" w:cs="FangSong_GB2312"/>
          <w:spacing w:val="-9"/>
          <w:sz w:val="32"/>
          <w:szCs w:val="32"/>
        </w:rPr>
        <w:t>美丽赣州建设路线图</w:t>
      </w:r>
      <w:r>
        <w:rPr>
          <w:rFonts w:ascii="FangSong_GB2312" w:hAnsi="FangSong_GB2312" w:eastAsia="FangSong_GB2312" w:cs="FangSong_GB2312"/>
          <w:spacing w:val="-8"/>
          <w:sz w:val="32"/>
          <w:szCs w:val="32"/>
        </w:rPr>
        <w:t>和施工图，分区域、分阶段有序推进美丽赣</w:t>
      </w:r>
      <w:r>
        <w:rPr>
          <w:rFonts w:ascii="FangSong_GB2312" w:hAnsi="FangSong_GB2312" w:eastAsia="FangSong_GB2312" w:cs="FangSong_GB2312"/>
          <w:spacing w:val="-9"/>
          <w:sz w:val="32"/>
          <w:szCs w:val="32"/>
        </w:rPr>
        <w:t>州建设，形成更多可复制的成效经验，是推进美丽中国建设、实现可持续发展目标的</w:t>
      </w:r>
      <w:r>
        <w:rPr>
          <w:rFonts w:ascii="FangSong_GB2312" w:hAnsi="FangSong_GB2312" w:eastAsia="FangSong_GB2312" w:cs="FangSong_GB2312"/>
          <w:spacing w:val="3"/>
          <w:sz w:val="32"/>
          <w:szCs w:val="32"/>
        </w:rPr>
        <w:t>具体实践。全面建设美丽赣州，促进经济社会发展全面绿色转</w:t>
      </w:r>
    </w:p>
    <w:p w14:paraId="12E7C169">
      <w:pPr>
        <w:spacing w:line="331" w:lineRule="auto"/>
        <w:rPr>
          <w:rFonts w:ascii="FangSong_GB2312" w:hAnsi="FangSong_GB2312" w:eastAsia="FangSong_GB2312" w:cs="FangSong_GB2312"/>
          <w:sz w:val="32"/>
          <w:szCs w:val="32"/>
        </w:rPr>
        <w:sectPr>
          <w:footerReference r:id="rId10" w:type="default"/>
          <w:pgSz w:w="11905" w:h="16840"/>
          <w:pgMar w:top="1431" w:right="1564" w:bottom="1867" w:left="1592" w:header="0" w:footer="1506" w:gutter="0"/>
          <w:cols w:space="720" w:num="1"/>
        </w:sectPr>
      </w:pPr>
    </w:p>
    <w:p w14:paraId="107ABB41">
      <w:pPr>
        <w:spacing w:line="339" w:lineRule="auto"/>
        <w:rPr>
          <w:rFonts w:ascii="Arial"/>
          <w:sz w:val="21"/>
        </w:rPr>
      </w:pPr>
    </w:p>
    <w:p w14:paraId="18AAABED">
      <w:pPr>
        <w:spacing w:line="340" w:lineRule="auto"/>
        <w:rPr>
          <w:rFonts w:ascii="Arial"/>
          <w:sz w:val="21"/>
        </w:rPr>
      </w:pPr>
    </w:p>
    <w:p w14:paraId="1A08F43E">
      <w:pPr>
        <w:spacing w:before="104" w:line="332" w:lineRule="auto"/>
        <w:ind w:left="6" w:right="194" w:firstLine="1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型、创新绿水青山与金山银山转化路径，全方位促进各行业各领域高质量跨越式发展，探索走出一条经济发展和生态文明水平提</w:t>
      </w:r>
      <w:r>
        <w:rPr>
          <w:rFonts w:ascii="FangSong_GB2312" w:hAnsi="FangSong_GB2312" w:eastAsia="FangSong_GB2312" w:cs="FangSong_GB2312"/>
          <w:spacing w:val="3"/>
          <w:sz w:val="32"/>
          <w:szCs w:val="32"/>
        </w:rPr>
        <w:t>高相辅相成、相得益彰的路子，书写好绿水青山转化为金山银</w:t>
      </w:r>
      <w:r>
        <w:rPr>
          <w:rFonts w:ascii="FangSong_GB2312" w:hAnsi="FangSong_GB2312" w:eastAsia="FangSong_GB2312" w:cs="FangSong_GB2312"/>
          <w:spacing w:val="-10"/>
          <w:sz w:val="32"/>
          <w:szCs w:val="32"/>
        </w:rPr>
        <w:t>山、实现人与自然和谐共生的“赣州答卷”。</w:t>
      </w:r>
    </w:p>
    <w:p w14:paraId="4DB35FBA">
      <w:pPr>
        <w:spacing w:line="222" w:lineRule="auto"/>
        <w:ind w:left="637"/>
        <w:outlineLvl w:val="0"/>
        <w:rPr>
          <w:rFonts w:ascii="黑体" w:hAnsi="黑体" w:eastAsia="黑体" w:cs="黑体"/>
          <w:sz w:val="32"/>
          <w:szCs w:val="32"/>
        </w:rPr>
      </w:pPr>
      <w:r>
        <w:rPr>
          <w:rFonts w:ascii="黑体" w:hAnsi="黑体" w:eastAsia="黑体" w:cs="黑体"/>
          <w:spacing w:val="-8"/>
          <w:sz w:val="32"/>
          <w:szCs w:val="32"/>
        </w:rPr>
        <w:t>二、总体要求</w:t>
      </w:r>
    </w:p>
    <w:p w14:paraId="2875EA01">
      <w:pPr>
        <w:spacing w:before="189" w:line="215" w:lineRule="auto"/>
        <w:ind w:left="620"/>
        <w:rPr>
          <w:rFonts w:ascii="KaiTi_GB2312" w:hAnsi="KaiTi_GB2312" w:eastAsia="KaiTi_GB2312" w:cs="KaiTi_GB2312"/>
          <w:sz w:val="32"/>
          <w:szCs w:val="32"/>
        </w:rPr>
      </w:pPr>
      <w:r>
        <w:rPr>
          <w:rFonts w:ascii="KaiTi_GB2312" w:hAnsi="KaiTi_GB2312" w:eastAsia="KaiTi_GB2312" w:cs="KaiTi_GB2312"/>
          <w:spacing w:val="-8"/>
          <w:sz w:val="32"/>
          <w:szCs w:val="32"/>
        </w:rPr>
        <w:t>（一）指导思想</w:t>
      </w:r>
    </w:p>
    <w:p w14:paraId="162B4F96">
      <w:pPr>
        <w:spacing w:before="204" w:line="331" w:lineRule="auto"/>
        <w:ind w:firstLine="64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坚持以习近平新时代中国特色社会主义思想为指导，</w:t>
      </w:r>
      <w:r>
        <w:rPr>
          <w:rFonts w:ascii="FangSong_GB2312" w:hAnsi="FangSong_GB2312" w:eastAsia="FangSong_GB2312" w:cs="FangSong_GB2312"/>
          <w:spacing w:val="-10"/>
          <w:sz w:val="32"/>
          <w:szCs w:val="32"/>
        </w:rPr>
        <w:t>全面贯</w:t>
      </w:r>
      <w:r>
        <w:rPr>
          <w:rFonts w:ascii="FangSong_GB2312" w:hAnsi="FangSong_GB2312" w:eastAsia="FangSong_GB2312" w:cs="FangSong_GB2312"/>
          <w:spacing w:val="-8"/>
          <w:sz w:val="32"/>
          <w:szCs w:val="32"/>
        </w:rPr>
        <w:t>彻党的二十大精神，深入贯彻习近平生态文明思想及</w:t>
      </w:r>
      <w:r>
        <w:rPr>
          <w:rFonts w:ascii="FangSong_GB2312" w:hAnsi="FangSong_GB2312" w:eastAsia="FangSong_GB2312" w:cs="FangSong_GB2312"/>
          <w:spacing w:val="-9"/>
          <w:sz w:val="32"/>
          <w:szCs w:val="32"/>
        </w:rPr>
        <w:t>习近平总书</w:t>
      </w:r>
      <w:r>
        <w:rPr>
          <w:rFonts w:ascii="FangSong_GB2312" w:hAnsi="FangSong_GB2312" w:eastAsia="FangSong_GB2312" w:cs="FangSong_GB2312"/>
          <w:spacing w:val="-8"/>
          <w:sz w:val="32"/>
          <w:szCs w:val="32"/>
        </w:rPr>
        <w:t>记在全国生态环境保护大会上的重要讲话精神，牢记</w:t>
      </w:r>
      <w:r>
        <w:rPr>
          <w:rFonts w:ascii="FangSong_GB2312" w:hAnsi="FangSong_GB2312" w:eastAsia="FangSong_GB2312" w:cs="FangSong_GB2312"/>
          <w:spacing w:val="-9"/>
          <w:sz w:val="32"/>
          <w:szCs w:val="32"/>
        </w:rPr>
        <w:t>习近平总书</w:t>
      </w:r>
      <w:r>
        <w:rPr>
          <w:rFonts w:ascii="FangSong_GB2312" w:hAnsi="FangSong_GB2312" w:eastAsia="FangSong_GB2312" w:cs="FangSong_GB2312"/>
          <w:spacing w:val="-8"/>
          <w:sz w:val="32"/>
          <w:szCs w:val="32"/>
        </w:rPr>
        <w:t>记视察江西和赣州的殷殷嘱托，坚决扛起美丽中国建</w:t>
      </w:r>
      <w:r>
        <w:rPr>
          <w:rFonts w:ascii="FangSong_GB2312" w:hAnsi="FangSong_GB2312" w:eastAsia="FangSong_GB2312" w:cs="FangSong_GB2312"/>
          <w:spacing w:val="-9"/>
          <w:sz w:val="32"/>
          <w:szCs w:val="32"/>
        </w:rPr>
        <w:t>设的政治责</w:t>
      </w:r>
      <w:r>
        <w:rPr>
          <w:rFonts w:ascii="FangSong_GB2312" w:hAnsi="FangSong_GB2312" w:eastAsia="FangSong_GB2312" w:cs="FangSong_GB2312"/>
          <w:spacing w:val="-14"/>
          <w:sz w:val="32"/>
          <w:szCs w:val="32"/>
        </w:rPr>
        <w:t>任，立足新发展阶段，完整、准确、全面贯彻新发展理念， 构建</w:t>
      </w:r>
      <w:r>
        <w:rPr>
          <w:rFonts w:ascii="FangSong_GB2312" w:hAnsi="FangSong_GB2312" w:eastAsia="FangSong_GB2312" w:cs="FangSong_GB2312"/>
          <w:spacing w:val="-1"/>
          <w:sz w:val="32"/>
          <w:szCs w:val="32"/>
        </w:rPr>
        <w:t>新发展格局，聚焦“作示范、勇争先”目标定位</w:t>
      </w:r>
      <w:r>
        <w:rPr>
          <w:rFonts w:ascii="FangSong_GB2312" w:hAnsi="FangSong_GB2312" w:eastAsia="FangSong_GB2312" w:cs="FangSong_GB2312"/>
          <w:spacing w:val="-2"/>
          <w:sz w:val="32"/>
          <w:szCs w:val="32"/>
        </w:rPr>
        <w:t>和“五个推进”</w:t>
      </w:r>
      <w:r>
        <w:rPr>
          <w:rFonts w:ascii="FangSong_GB2312" w:hAnsi="FangSong_GB2312" w:eastAsia="FangSong_GB2312" w:cs="FangSong_GB2312"/>
          <w:spacing w:val="-8"/>
          <w:sz w:val="32"/>
          <w:szCs w:val="32"/>
        </w:rPr>
        <w:t>重要要求，按照市第六次党代会的决策部署，锚</w:t>
      </w:r>
      <w:r>
        <w:rPr>
          <w:rFonts w:ascii="FangSong_GB2312" w:hAnsi="FangSong_GB2312" w:eastAsia="FangSong_GB2312" w:cs="FangSong_GB2312"/>
          <w:spacing w:val="-9"/>
          <w:sz w:val="32"/>
          <w:szCs w:val="32"/>
        </w:rPr>
        <w:t>定基本实现人与</w:t>
      </w:r>
      <w:r>
        <w:rPr>
          <w:rFonts w:ascii="FangSong_GB2312" w:hAnsi="FangSong_GB2312" w:eastAsia="FangSong_GB2312" w:cs="FangSong_GB2312"/>
          <w:spacing w:val="3"/>
          <w:sz w:val="32"/>
          <w:szCs w:val="32"/>
        </w:rPr>
        <w:t>自然和谐共生现代化的目标要求，抓住新时代赣南苏区振兴发</w:t>
      </w:r>
      <w:r>
        <w:rPr>
          <w:rFonts w:ascii="FangSong_GB2312" w:hAnsi="FangSong_GB2312" w:eastAsia="FangSong_GB2312" w:cs="FangSong_GB2312"/>
          <w:spacing w:val="-8"/>
          <w:sz w:val="32"/>
          <w:szCs w:val="32"/>
        </w:rPr>
        <w:t>展、打造对接融入粤港澳大湾区桥头堡、建设省域</w:t>
      </w:r>
      <w:r>
        <w:rPr>
          <w:rFonts w:ascii="FangSong_GB2312" w:hAnsi="FangSong_GB2312" w:eastAsia="FangSong_GB2312" w:cs="FangSong_GB2312"/>
          <w:spacing w:val="-9"/>
          <w:sz w:val="32"/>
          <w:szCs w:val="32"/>
        </w:rPr>
        <w:t>副中心城市三</w:t>
      </w:r>
      <w:r>
        <w:rPr>
          <w:rFonts w:ascii="FangSong_GB2312" w:hAnsi="FangSong_GB2312" w:eastAsia="FangSong_GB2312" w:cs="FangSong_GB2312"/>
          <w:spacing w:val="-14"/>
          <w:sz w:val="32"/>
          <w:szCs w:val="32"/>
        </w:rPr>
        <w:t>大战略机遇，改革创新、先行先试， 夯实赣州优质生态基础，统筹产业结构调整、污染治理、生态保护、应对气候变化， 协同推</w:t>
      </w:r>
      <w:r>
        <w:rPr>
          <w:rFonts w:ascii="FangSong_GB2312" w:hAnsi="FangSong_GB2312" w:eastAsia="FangSong_GB2312" w:cs="FangSong_GB2312"/>
          <w:spacing w:val="-17"/>
          <w:sz w:val="32"/>
          <w:szCs w:val="32"/>
        </w:rPr>
        <w:t>进降碳、减污、扩绿、增长，</w:t>
      </w:r>
      <w:r>
        <w:rPr>
          <w:rFonts w:ascii="FangSong_GB2312" w:hAnsi="FangSong_GB2312" w:eastAsia="FangSong_GB2312" w:cs="FangSong_GB2312"/>
          <w:spacing w:val="87"/>
          <w:sz w:val="32"/>
          <w:szCs w:val="32"/>
        </w:rPr>
        <w:t xml:space="preserve"> </w:t>
      </w:r>
      <w:r>
        <w:rPr>
          <w:rFonts w:ascii="FangSong_GB2312" w:hAnsi="FangSong_GB2312" w:eastAsia="FangSong_GB2312" w:cs="FangSong_GB2312"/>
          <w:spacing w:val="-17"/>
          <w:sz w:val="32"/>
          <w:szCs w:val="32"/>
        </w:rPr>
        <w:t>推进生态优先、节约集约、绿色低</w:t>
      </w:r>
      <w:r>
        <w:rPr>
          <w:rFonts w:ascii="FangSong_GB2312" w:hAnsi="FangSong_GB2312" w:eastAsia="FangSong_GB2312" w:cs="FangSong_GB2312"/>
          <w:spacing w:val="-8"/>
          <w:sz w:val="32"/>
          <w:szCs w:val="32"/>
        </w:rPr>
        <w:t>碳发展，切实维护国家生态安全，以生态环境高水</w:t>
      </w:r>
      <w:r>
        <w:rPr>
          <w:rFonts w:ascii="FangSong_GB2312" w:hAnsi="FangSong_GB2312" w:eastAsia="FangSong_GB2312" w:cs="FangSong_GB2312"/>
          <w:spacing w:val="-9"/>
          <w:sz w:val="32"/>
          <w:szCs w:val="32"/>
        </w:rPr>
        <w:t>平保护推动经</w:t>
      </w:r>
      <w:r>
        <w:rPr>
          <w:rFonts w:ascii="FangSong_GB2312" w:hAnsi="FangSong_GB2312" w:eastAsia="FangSong_GB2312" w:cs="FangSong_GB2312"/>
          <w:spacing w:val="-10"/>
          <w:sz w:val="32"/>
          <w:szCs w:val="32"/>
        </w:rPr>
        <w:t>济社会高质量发展，高标准打造美丽中国“赣州样板”，为全国革命老区和省内其他地市美丽建设提供先行示范。</w:t>
      </w:r>
    </w:p>
    <w:p w14:paraId="48257ED6">
      <w:pPr>
        <w:spacing w:line="331" w:lineRule="auto"/>
        <w:rPr>
          <w:rFonts w:ascii="FangSong_GB2312" w:hAnsi="FangSong_GB2312" w:eastAsia="FangSong_GB2312" w:cs="FangSong_GB2312"/>
          <w:sz w:val="32"/>
          <w:szCs w:val="32"/>
        </w:rPr>
        <w:sectPr>
          <w:footerReference r:id="rId11" w:type="default"/>
          <w:pgSz w:w="11905" w:h="16840"/>
          <w:pgMar w:top="1431" w:right="1383" w:bottom="1867" w:left="1594" w:header="0" w:footer="1506" w:gutter="0"/>
          <w:cols w:space="720" w:num="1"/>
        </w:sectPr>
      </w:pPr>
    </w:p>
    <w:p w14:paraId="485D84FE">
      <w:pPr>
        <w:spacing w:line="342" w:lineRule="auto"/>
        <w:rPr>
          <w:rFonts w:ascii="Arial"/>
          <w:sz w:val="21"/>
        </w:rPr>
      </w:pPr>
    </w:p>
    <w:p w14:paraId="788E0A23">
      <w:pPr>
        <w:spacing w:line="343" w:lineRule="auto"/>
        <w:rPr>
          <w:rFonts w:ascii="Arial"/>
          <w:sz w:val="21"/>
        </w:rPr>
      </w:pPr>
    </w:p>
    <w:p w14:paraId="79971FA8">
      <w:pPr>
        <w:spacing w:before="104" w:line="217" w:lineRule="auto"/>
        <w:ind w:left="616"/>
        <w:rPr>
          <w:rFonts w:ascii="KaiTi_GB2312" w:hAnsi="KaiTi_GB2312" w:eastAsia="KaiTi_GB2312" w:cs="KaiTi_GB2312"/>
          <w:sz w:val="32"/>
          <w:szCs w:val="32"/>
        </w:rPr>
      </w:pPr>
      <w:r>
        <w:rPr>
          <w:rFonts w:ascii="KaiTi_GB2312" w:hAnsi="KaiTi_GB2312" w:eastAsia="KaiTi_GB2312" w:cs="KaiTi_GB2312"/>
          <w:spacing w:val="-12"/>
          <w:sz w:val="32"/>
          <w:szCs w:val="32"/>
        </w:rPr>
        <w:t>（二）基本原则</w:t>
      </w:r>
    </w:p>
    <w:p w14:paraId="10E16BD8">
      <w:pPr>
        <w:spacing w:before="199" w:line="331" w:lineRule="auto"/>
        <w:ind w:left="12"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坚</w:t>
      </w:r>
      <w:r>
        <w:rPr>
          <w:rFonts w:ascii="FangSong_GB2312" w:hAnsi="FangSong_GB2312" w:eastAsia="FangSong_GB2312" w:cs="FangSong_GB2312"/>
          <w:spacing w:val="-9"/>
          <w:sz w:val="32"/>
          <w:szCs w:val="32"/>
        </w:rPr>
        <w:t>持生态优先、绿色发展。牢固树立和践行绿水青山</w:t>
      </w:r>
      <w:r>
        <w:rPr>
          <w:rFonts w:ascii="FangSong_GB2312" w:hAnsi="FangSong_GB2312" w:eastAsia="FangSong_GB2312" w:cs="FangSong_GB2312"/>
          <w:spacing w:val="-10"/>
          <w:sz w:val="32"/>
          <w:szCs w:val="32"/>
        </w:rPr>
        <w:t>就是</w:t>
      </w:r>
      <w:r>
        <w:rPr>
          <w:rFonts w:ascii="FangSong_GB2312" w:hAnsi="FangSong_GB2312" w:eastAsia="FangSong_GB2312" w:cs="FangSong_GB2312"/>
          <w:spacing w:val="-9"/>
          <w:sz w:val="32"/>
          <w:szCs w:val="32"/>
        </w:rPr>
        <w:t>金山银山理念，加快发展方式绿色低碳转型，倡导节约集约、绿色消费，推动形成绿色低碳的生产生活方式，以生态环境高水平保</w:t>
      </w:r>
      <w:r>
        <w:rPr>
          <w:rFonts w:ascii="FangSong_GB2312" w:hAnsi="FangSong_GB2312" w:eastAsia="FangSong_GB2312" w:cs="FangSong_GB2312"/>
          <w:spacing w:val="-12"/>
          <w:sz w:val="32"/>
          <w:szCs w:val="32"/>
        </w:rPr>
        <w:t>护推动全市经济社会高质量发展。</w:t>
      </w:r>
    </w:p>
    <w:p w14:paraId="0850F7F9">
      <w:pPr>
        <w:spacing w:before="1" w:line="331" w:lineRule="auto"/>
        <w:ind w:left="2" w:right="1"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坚持人民中心、生态惠民。以满足人民日益增长的优</w:t>
      </w:r>
      <w:r>
        <w:rPr>
          <w:rFonts w:ascii="FangSong_GB2312" w:hAnsi="FangSong_GB2312" w:eastAsia="FangSong_GB2312" w:cs="FangSong_GB2312"/>
          <w:spacing w:val="-10"/>
          <w:sz w:val="32"/>
          <w:szCs w:val="32"/>
        </w:rPr>
        <w:t>美生态</w:t>
      </w:r>
      <w:r>
        <w:rPr>
          <w:rFonts w:ascii="FangSong_GB2312" w:hAnsi="FangSong_GB2312" w:eastAsia="FangSong_GB2312" w:cs="FangSong_GB2312"/>
          <w:spacing w:val="-9"/>
          <w:sz w:val="32"/>
          <w:szCs w:val="32"/>
        </w:rPr>
        <w:t>环境需要为导向，以生态惠民、生态利民、生态为民为立足点，积极回应人民群众对优美生态环境的迫切需要，为人民提供更多更优质的生态产品，让广大人民从美丽赣州建设中获得更多幸福</w:t>
      </w:r>
      <w:r>
        <w:rPr>
          <w:rFonts w:ascii="FangSong_GB2312" w:hAnsi="FangSong_GB2312" w:eastAsia="FangSong_GB2312" w:cs="FangSong_GB2312"/>
          <w:spacing w:val="-13"/>
          <w:sz w:val="32"/>
          <w:szCs w:val="32"/>
        </w:rPr>
        <w:t>感、获得感、安全感。</w:t>
      </w:r>
    </w:p>
    <w:p w14:paraId="5AC10385">
      <w:pPr>
        <w:spacing w:before="6" w:line="330" w:lineRule="auto"/>
        <w:ind w:left="2"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坚持系统谋划、美美与共。全局视角谋划、因地制宜推</w:t>
      </w:r>
      <w:r>
        <w:rPr>
          <w:rFonts w:ascii="FangSong_GB2312" w:hAnsi="FangSong_GB2312" w:eastAsia="FangSong_GB2312" w:cs="FangSong_GB2312"/>
          <w:spacing w:val="-10"/>
          <w:sz w:val="32"/>
          <w:szCs w:val="32"/>
        </w:rPr>
        <w:t>动美</w:t>
      </w:r>
      <w:r>
        <w:rPr>
          <w:rFonts w:ascii="FangSong_GB2312" w:hAnsi="FangSong_GB2312" w:eastAsia="FangSong_GB2312" w:cs="FangSong_GB2312"/>
          <w:spacing w:val="-14"/>
          <w:sz w:val="32"/>
          <w:szCs w:val="32"/>
        </w:rPr>
        <w:t>丽赣州建设，统筹污染治理、生态保护、应对气候变化， 立足区</w:t>
      </w:r>
      <w:r>
        <w:rPr>
          <w:rFonts w:ascii="FangSong_GB2312" w:hAnsi="FangSong_GB2312" w:eastAsia="FangSong_GB2312" w:cs="FangSong_GB2312"/>
          <w:spacing w:val="-9"/>
          <w:sz w:val="32"/>
          <w:szCs w:val="32"/>
        </w:rPr>
        <w:t>域功能定位和美丽特质，分类指导推进区域协调发展，加快城乡融合发展，构建红色基因与生态文明交融贯通、宋城风韵与青山</w:t>
      </w:r>
      <w:r>
        <w:rPr>
          <w:rFonts w:ascii="FangSong_GB2312" w:hAnsi="FangSong_GB2312" w:eastAsia="FangSong_GB2312" w:cs="FangSong_GB2312"/>
          <w:spacing w:val="-11"/>
          <w:sz w:val="32"/>
          <w:szCs w:val="32"/>
        </w:rPr>
        <w:t>绿水浑然天成的美丽赣州和谐图景。</w:t>
      </w:r>
    </w:p>
    <w:p w14:paraId="03AF7F69">
      <w:pPr>
        <w:spacing w:before="3" w:line="331" w:lineRule="auto"/>
        <w:ind w:left="3" w:firstLine="638"/>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坚持守正创新、先行先试。在构建现代化生态环境治</w:t>
      </w:r>
      <w:r>
        <w:rPr>
          <w:rFonts w:ascii="FangSong_GB2312" w:hAnsi="FangSong_GB2312" w:eastAsia="FangSong_GB2312" w:cs="FangSong_GB2312"/>
          <w:spacing w:val="-10"/>
          <w:sz w:val="32"/>
          <w:szCs w:val="32"/>
        </w:rPr>
        <w:t>理体系</w:t>
      </w:r>
      <w:r>
        <w:rPr>
          <w:rFonts w:ascii="FangSong_GB2312" w:hAnsi="FangSong_GB2312" w:eastAsia="FangSong_GB2312" w:cs="FangSong_GB2312"/>
          <w:spacing w:val="-9"/>
          <w:sz w:val="32"/>
          <w:szCs w:val="32"/>
        </w:rPr>
        <w:t>上集中发力，以深化改革和制度创新驱动美丽赣州建设，积极开</w:t>
      </w:r>
      <w:r>
        <w:rPr>
          <w:rFonts w:ascii="FangSong_GB2312" w:hAnsi="FangSong_GB2312" w:eastAsia="FangSong_GB2312" w:cs="FangSong_GB2312"/>
          <w:spacing w:val="-14"/>
          <w:sz w:val="32"/>
          <w:szCs w:val="32"/>
        </w:rPr>
        <w:t>展广领域、多层次、高规格的示范试点创建， 先行先试探索改革</w:t>
      </w:r>
      <w:r>
        <w:rPr>
          <w:rFonts w:ascii="FangSong_GB2312" w:hAnsi="FangSong_GB2312" w:eastAsia="FangSong_GB2312" w:cs="FangSong_GB2312"/>
          <w:spacing w:val="-11"/>
          <w:sz w:val="32"/>
          <w:szCs w:val="32"/>
        </w:rPr>
        <w:t>经验和美丽建设路径，领跑美丽江西建设。</w:t>
      </w:r>
    </w:p>
    <w:p w14:paraId="11D45046">
      <w:pPr>
        <w:spacing w:before="5" w:line="329" w:lineRule="auto"/>
        <w:ind w:right="1" w:firstLine="642"/>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坚持全民行动、共建共享。广泛号召社会各界参与美</w:t>
      </w:r>
      <w:r>
        <w:rPr>
          <w:rFonts w:ascii="FangSong_GB2312" w:hAnsi="FangSong_GB2312" w:eastAsia="FangSong_GB2312" w:cs="FangSong_GB2312"/>
          <w:spacing w:val="-10"/>
          <w:sz w:val="32"/>
          <w:szCs w:val="32"/>
        </w:rPr>
        <w:t>丽赣州</w:t>
      </w:r>
      <w:r>
        <w:rPr>
          <w:rFonts w:ascii="FangSong_GB2312" w:hAnsi="FangSong_GB2312" w:eastAsia="FangSong_GB2312" w:cs="FangSong_GB2312"/>
          <w:spacing w:val="-9"/>
          <w:sz w:val="32"/>
          <w:szCs w:val="32"/>
        </w:rPr>
        <w:t>建设，凝聚社会共识，把建设美丽赣州的目标转化为全体人民的自觉行动，形成人人崇尚生态文明、人人支持生态保护、人人建</w:t>
      </w:r>
    </w:p>
    <w:p w14:paraId="5EAE262B">
      <w:pPr>
        <w:spacing w:line="329" w:lineRule="auto"/>
        <w:rPr>
          <w:rFonts w:ascii="FangSong_GB2312" w:hAnsi="FangSong_GB2312" w:eastAsia="FangSong_GB2312" w:cs="FangSong_GB2312"/>
          <w:sz w:val="32"/>
          <w:szCs w:val="32"/>
        </w:rPr>
        <w:sectPr>
          <w:footerReference r:id="rId12" w:type="default"/>
          <w:pgSz w:w="11905" w:h="16840"/>
          <w:pgMar w:top="1431" w:right="1578" w:bottom="1867" w:left="1597" w:header="0" w:footer="1506" w:gutter="0"/>
          <w:cols w:space="720" w:num="1"/>
        </w:sectPr>
      </w:pPr>
    </w:p>
    <w:p w14:paraId="69B6C591">
      <w:pPr>
        <w:spacing w:line="342" w:lineRule="auto"/>
        <w:rPr>
          <w:rFonts w:ascii="Arial"/>
          <w:sz w:val="21"/>
        </w:rPr>
      </w:pPr>
    </w:p>
    <w:p w14:paraId="79DDDD09">
      <w:pPr>
        <w:spacing w:line="343" w:lineRule="auto"/>
        <w:rPr>
          <w:rFonts w:ascii="Arial"/>
          <w:sz w:val="21"/>
        </w:rPr>
      </w:pPr>
    </w:p>
    <w:p w14:paraId="751FAC32">
      <w:pPr>
        <w:spacing w:before="104" w:line="214" w:lineRule="auto"/>
        <w:ind w:left="2"/>
        <w:rPr>
          <w:rFonts w:ascii="FangSong_GB2312" w:hAnsi="FangSong_GB2312" w:eastAsia="FangSong_GB2312" w:cs="FangSong_GB2312"/>
          <w:sz w:val="32"/>
          <w:szCs w:val="32"/>
        </w:rPr>
      </w:pPr>
      <w:r>
        <w:rPr>
          <w:rFonts w:ascii="FangSong_GB2312" w:hAnsi="FangSong_GB2312" w:eastAsia="FangSong_GB2312" w:cs="FangSong_GB2312"/>
          <w:spacing w:val="-12"/>
          <w:sz w:val="32"/>
          <w:szCs w:val="32"/>
        </w:rPr>
        <w:t>设美丽中国的浓厚社会氛围。</w:t>
      </w:r>
    </w:p>
    <w:p w14:paraId="71EA0165">
      <w:pPr>
        <w:spacing w:before="203" w:line="218"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（三）战略路径</w:t>
      </w:r>
    </w:p>
    <w:p w14:paraId="6286312F">
      <w:pPr>
        <w:spacing w:before="193" w:line="331" w:lineRule="auto"/>
        <w:ind w:left="3" w:right="110" w:firstLine="638"/>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立足打造美丽中国“赣州样板”的总目标，针对重点关</w:t>
      </w:r>
      <w:r>
        <w:rPr>
          <w:rFonts w:ascii="FangSong_GB2312" w:hAnsi="FangSong_GB2312" w:eastAsia="FangSong_GB2312" w:cs="FangSong_GB2312"/>
          <w:spacing w:val="-11"/>
          <w:sz w:val="32"/>
          <w:szCs w:val="32"/>
        </w:rPr>
        <w:t>注、</w:t>
      </w:r>
      <w:r>
        <w:rPr>
          <w:rFonts w:ascii="FangSong_GB2312" w:hAnsi="FangSong_GB2312" w:eastAsia="FangSong_GB2312" w:cs="FangSong_GB2312"/>
          <w:spacing w:val="-10"/>
          <w:sz w:val="32"/>
          <w:szCs w:val="32"/>
        </w:rPr>
        <w:t>重点突破及持续推进的领域，系统谋划、分类施策、分步实施，</w:t>
      </w:r>
      <w:r>
        <w:rPr>
          <w:rFonts w:ascii="FangSong_GB2312" w:hAnsi="FangSong_GB2312" w:eastAsia="FangSong_GB2312" w:cs="FangSong_GB2312"/>
          <w:spacing w:val="-20"/>
          <w:sz w:val="32"/>
          <w:szCs w:val="32"/>
        </w:rPr>
        <w:t>按照擦亮“外在美”、激发“动态美”、筑牢“内在美”的</w:t>
      </w:r>
      <w:r>
        <w:rPr>
          <w:rFonts w:ascii="FangSong_GB2312" w:hAnsi="FangSong_GB2312" w:eastAsia="FangSong_GB2312" w:cs="FangSong_GB2312"/>
          <w:spacing w:val="-21"/>
          <w:sz w:val="32"/>
          <w:szCs w:val="32"/>
        </w:rPr>
        <w:t>路径，</w:t>
      </w:r>
      <w:r>
        <w:rPr>
          <w:rFonts w:ascii="FangSong_GB2312" w:hAnsi="FangSong_GB2312" w:eastAsia="FangSong_GB2312" w:cs="FangSong_GB2312"/>
          <w:spacing w:val="-13"/>
          <w:sz w:val="32"/>
          <w:szCs w:val="32"/>
        </w:rPr>
        <w:t>有序推进美丽赣州建设。</w:t>
      </w:r>
    </w:p>
    <w:p w14:paraId="1CC15DD9">
      <w:pPr>
        <w:spacing w:before="3" w:line="331" w:lineRule="auto"/>
        <w:ind w:left="2" w:firstLine="636"/>
        <w:jc w:val="both"/>
        <w:rPr>
          <w:rFonts w:ascii="FangSong_GB2312" w:hAnsi="FangSong_GB2312" w:eastAsia="FangSong_GB2312" w:cs="FangSong_GB2312"/>
          <w:sz w:val="32"/>
          <w:szCs w:val="32"/>
        </w:rPr>
      </w:pPr>
      <w:r>
        <w:rPr>
          <w:rFonts w:ascii="FangSong_GB2312" w:hAnsi="FangSong_GB2312" w:eastAsia="FangSong_GB2312" w:cs="FangSong_GB2312"/>
          <w:spacing w:val="-18"/>
          <w:sz w:val="32"/>
          <w:szCs w:val="32"/>
        </w:rPr>
        <w:t>巩固提升，擦亮青山绿水“外在美”。针对重点突破的领域，</w:t>
      </w:r>
      <w:r>
        <w:rPr>
          <w:rFonts w:ascii="FangSong_GB2312" w:hAnsi="FangSong_GB2312" w:eastAsia="FangSong_GB2312" w:cs="FangSong_GB2312"/>
          <w:spacing w:val="-9"/>
          <w:sz w:val="32"/>
          <w:szCs w:val="32"/>
        </w:rPr>
        <w:t>优先解决人民群众急难愁盼的生态环境问题，补足美丽赣州建设</w:t>
      </w:r>
      <w:r>
        <w:rPr>
          <w:rFonts w:ascii="FangSong_GB2312" w:hAnsi="FangSong_GB2312" w:eastAsia="FangSong_GB2312" w:cs="FangSong_GB2312"/>
          <w:spacing w:val="-14"/>
          <w:sz w:val="32"/>
          <w:szCs w:val="32"/>
        </w:rPr>
        <w:t>的突出短板，夯实赣州绿色生态优势，由点及面、梯次推进， 建</w:t>
      </w:r>
      <w:r>
        <w:rPr>
          <w:rFonts w:ascii="FangSong_GB2312" w:hAnsi="FangSong_GB2312" w:eastAsia="FangSong_GB2312" w:cs="FangSong_GB2312"/>
          <w:spacing w:val="-11"/>
          <w:sz w:val="32"/>
          <w:szCs w:val="32"/>
        </w:rPr>
        <w:t>设宜居宜游宜业的幸福美好家园。</w:t>
      </w:r>
    </w:p>
    <w:p w14:paraId="7B001264">
      <w:pPr>
        <w:spacing w:before="1" w:line="331" w:lineRule="auto"/>
        <w:ind w:left="1" w:right="84" w:firstLine="631"/>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协同增效，激发绿色低碳“动态美”。将减污降碳协同增效</w:t>
      </w:r>
      <w:r>
        <w:rPr>
          <w:rFonts w:ascii="FangSong_GB2312" w:hAnsi="FangSong_GB2312" w:eastAsia="FangSong_GB2312" w:cs="FangSong_GB2312"/>
          <w:spacing w:val="-9"/>
          <w:sz w:val="32"/>
          <w:szCs w:val="32"/>
        </w:rPr>
        <w:t>作为促进经济社会发展全面绿色转型的总抓手，促进产业生态化</w:t>
      </w:r>
      <w:r>
        <w:rPr>
          <w:rFonts w:ascii="FangSong_GB2312" w:hAnsi="FangSong_GB2312" w:eastAsia="FangSong_GB2312" w:cs="FangSong_GB2312"/>
          <w:spacing w:val="-14"/>
          <w:sz w:val="32"/>
          <w:szCs w:val="32"/>
        </w:rPr>
        <w:t>和生态产业化协同发展，推动产业结构、能源结构优化调整， 积</w:t>
      </w:r>
      <w:r>
        <w:rPr>
          <w:rFonts w:ascii="FangSong_GB2312" w:hAnsi="FangSong_GB2312" w:eastAsia="FangSong_GB2312" w:cs="FangSong_GB2312"/>
          <w:spacing w:val="-9"/>
          <w:sz w:val="32"/>
          <w:szCs w:val="32"/>
        </w:rPr>
        <w:t>极发展战略性新兴产业，大力发展绿色低碳厚植赣州生态优势，畅通绿水青山与金山银山的转化通道，推动生态产品价值实现，</w:t>
      </w:r>
      <w:r>
        <w:rPr>
          <w:rFonts w:ascii="FangSong_GB2312" w:hAnsi="FangSong_GB2312" w:eastAsia="FangSong_GB2312" w:cs="FangSong_GB2312"/>
          <w:spacing w:val="-12"/>
          <w:sz w:val="32"/>
          <w:szCs w:val="32"/>
        </w:rPr>
        <w:t>打造中部绿色崛起典范。</w:t>
      </w:r>
    </w:p>
    <w:p w14:paraId="43E3B0DF">
      <w:pPr>
        <w:spacing w:line="331" w:lineRule="auto"/>
        <w:ind w:right="84" w:firstLine="667"/>
        <w:jc w:val="both"/>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因势而新，筑牢生态文明“内在美”。加强优秀历史文</w:t>
      </w:r>
      <w:r>
        <w:rPr>
          <w:rFonts w:ascii="FangSong_GB2312" w:hAnsi="FangSong_GB2312" w:eastAsia="FangSong_GB2312" w:cs="FangSong_GB2312"/>
          <w:spacing w:val="-12"/>
          <w:sz w:val="32"/>
          <w:szCs w:val="32"/>
        </w:rPr>
        <w:t>化和</w:t>
      </w:r>
      <w:r>
        <w:rPr>
          <w:rFonts w:ascii="FangSong_GB2312" w:hAnsi="FangSong_GB2312" w:eastAsia="FangSong_GB2312" w:cs="FangSong_GB2312"/>
          <w:spacing w:val="-9"/>
          <w:sz w:val="32"/>
          <w:szCs w:val="32"/>
        </w:rPr>
        <w:t>苏区红色文化的传承弘扬，将红绿交织的生态文化作为美丽赣州</w:t>
      </w:r>
      <w:r>
        <w:rPr>
          <w:rFonts w:ascii="FangSong_GB2312" w:hAnsi="FangSong_GB2312" w:eastAsia="FangSong_GB2312" w:cs="FangSong_GB2312"/>
          <w:spacing w:val="-14"/>
          <w:sz w:val="32"/>
          <w:szCs w:val="32"/>
        </w:rPr>
        <w:t>建设的内生动力，深化技术创新、模式创新、制度创新， 凝聚全</w:t>
      </w:r>
      <w:r>
        <w:rPr>
          <w:rFonts w:ascii="FangSong_GB2312" w:hAnsi="FangSong_GB2312" w:eastAsia="FangSong_GB2312" w:cs="FangSong_GB2312"/>
          <w:spacing w:val="3"/>
          <w:sz w:val="32"/>
          <w:szCs w:val="32"/>
        </w:rPr>
        <w:t>社会合力，将智慧高效的治理体系作为美丽赣州建设的重要支</w:t>
      </w:r>
      <w:r>
        <w:rPr>
          <w:rFonts w:ascii="FangSong_GB2312" w:hAnsi="FangSong_GB2312" w:eastAsia="FangSong_GB2312" w:cs="FangSong_GB2312"/>
          <w:spacing w:val="-7"/>
          <w:sz w:val="32"/>
          <w:szCs w:val="32"/>
        </w:rPr>
        <w:t>撑，打造美丽中国建设的“赣州样板”。</w:t>
      </w:r>
    </w:p>
    <w:p w14:paraId="4E6364F4">
      <w:pPr>
        <w:spacing w:line="331" w:lineRule="auto"/>
        <w:rPr>
          <w:rFonts w:ascii="FangSong_GB2312" w:hAnsi="FangSong_GB2312" w:eastAsia="FangSong_GB2312" w:cs="FangSong_GB2312"/>
          <w:sz w:val="32"/>
          <w:szCs w:val="32"/>
        </w:rPr>
        <w:sectPr>
          <w:footerReference r:id="rId13" w:type="default"/>
          <w:pgSz w:w="11905" w:h="16840"/>
          <w:pgMar w:top="1431" w:right="1494" w:bottom="1867" w:left="1597" w:header="0" w:footer="1506" w:gutter="0"/>
          <w:cols w:space="720" w:num="1"/>
        </w:sectPr>
      </w:pPr>
    </w:p>
    <w:p w14:paraId="073D151F">
      <w:pPr>
        <w:spacing w:line="342" w:lineRule="auto"/>
        <w:rPr>
          <w:rFonts w:ascii="Arial"/>
          <w:sz w:val="21"/>
        </w:rPr>
      </w:pPr>
    </w:p>
    <w:p w14:paraId="1577B01A">
      <w:pPr>
        <w:spacing w:line="343" w:lineRule="auto"/>
        <w:rPr>
          <w:rFonts w:ascii="Arial"/>
          <w:sz w:val="21"/>
        </w:rPr>
      </w:pPr>
    </w:p>
    <w:p w14:paraId="5BB90763">
      <w:pPr>
        <w:spacing w:before="104" w:line="218" w:lineRule="auto"/>
        <w:ind w:left="621"/>
        <w:rPr>
          <w:rFonts w:ascii="KaiTi_GB2312" w:hAnsi="KaiTi_GB2312" w:eastAsia="KaiTi_GB2312" w:cs="KaiTi_GB2312"/>
          <w:sz w:val="32"/>
          <w:szCs w:val="32"/>
        </w:rPr>
      </w:pPr>
      <w:r>
        <w:rPr>
          <w:rFonts w:ascii="KaiTi_GB2312" w:hAnsi="KaiTi_GB2312" w:eastAsia="KaiTi_GB2312" w:cs="KaiTi_GB2312"/>
          <w:spacing w:val="-7"/>
          <w:sz w:val="32"/>
          <w:szCs w:val="32"/>
        </w:rPr>
        <w:t>（四）战略目标</w:t>
      </w:r>
    </w:p>
    <w:p w14:paraId="6294E162">
      <w:pPr>
        <w:pStyle w:val="2"/>
        <w:spacing w:before="197" w:line="330" w:lineRule="auto"/>
        <w:ind w:left="4" w:firstLine="642"/>
        <w:rPr>
          <w:rFonts w:ascii="FangSong_GB2312" w:hAnsi="FangSong_GB2312" w:eastAsia="FangSong_GB2312" w:cs="FangSong_GB2312"/>
        </w:rPr>
      </w:pPr>
      <w:r>
        <w:rPr>
          <w:rFonts w:ascii="FangSong_GB2312" w:hAnsi="FangSong_GB2312" w:eastAsia="FangSong_GB2312" w:cs="FangSong_GB2312"/>
          <w:spacing w:val="-3"/>
        </w:rPr>
        <w:t xml:space="preserve">到 </w:t>
      </w:r>
      <w:r>
        <w:rPr>
          <w:spacing w:val="-3"/>
        </w:rPr>
        <w:t xml:space="preserve">2025 </w:t>
      </w:r>
      <w:r>
        <w:rPr>
          <w:rFonts w:ascii="FangSong_GB2312" w:hAnsi="FangSong_GB2312" w:eastAsia="FangSong_GB2312" w:cs="FangSong_GB2312"/>
          <w:spacing w:val="-3"/>
        </w:rPr>
        <w:t>年，重点提升、夯实基础，美丽中国“赣州样板”</w:t>
      </w:r>
      <w:r>
        <w:rPr>
          <w:rFonts w:ascii="FangSong_GB2312" w:hAnsi="FangSong_GB2312" w:eastAsia="FangSong_GB2312" w:cs="FangSong_GB2312"/>
          <w:spacing w:val="-15"/>
        </w:rPr>
        <w:t>建设成效显著。</w:t>
      </w:r>
    </w:p>
    <w:p w14:paraId="143F88F9">
      <w:pPr>
        <w:pStyle w:val="2"/>
        <w:spacing w:before="2" w:line="331" w:lineRule="auto"/>
        <w:ind w:right="158" w:firstLine="633"/>
        <w:jc w:val="both"/>
        <w:rPr>
          <w:rFonts w:ascii="FangSong_GB2312" w:hAnsi="FangSong_GB2312" w:eastAsia="FangSong_GB2312" w:cs="FangSong_GB2312"/>
        </w:rPr>
      </w:pPr>
      <w:r>
        <w:rPr>
          <w:rFonts w:ascii="FangSong_GB2312" w:hAnsi="FangSong_GB2312" w:eastAsia="FangSong_GB2312" w:cs="FangSong_GB2312"/>
          <w:spacing w:val="-9"/>
        </w:rPr>
        <w:t>发展方式绿色转型成效显著。绿色低碳的生产方式和简约适</w:t>
      </w:r>
      <w:r>
        <w:rPr>
          <w:rFonts w:ascii="FangSong_GB2312" w:hAnsi="FangSong_GB2312" w:eastAsia="FangSong_GB2312" w:cs="FangSong_GB2312"/>
          <w:spacing w:val="-7"/>
        </w:rPr>
        <w:t>度的生活方式初步形成，单位地区生产总值能</w:t>
      </w:r>
      <w:r>
        <w:rPr>
          <w:rFonts w:ascii="FangSong_GB2312" w:hAnsi="FangSong_GB2312" w:eastAsia="FangSong_GB2312" w:cs="FangSong_GB2312"/>
          <w:spacing w:val="-8"/>
        </w:rPr>
        <w:t xml:space="preserve">源消耗比 </w:t>
      </w:r>
      <w:r>
        <w:rPr>
          <w:spacing w:val="-8"/>
        </w:rPr>
        <w:t xml:space="preserve">2020 </w:t>
      </w:r>
      <w:r>
        <w:rPr>
          <w:rFonts w:ascii="FangSong_GB2312" w:hAnsi="FangSong_GB2312" w:eastAsia="FangSong_GB2312" w:cs="FangSong_GB2312"/>
          <w:spacing w:val="-8"/>
        </w:rPr>
        <w:t>年</w:t>
      </w:r>
      <w:r>
        <w:rPr>
          <w:rFonts w:ascii="FangSong_GB2312" w:hAnsi="FangSong_GB2312" w:eastAsia="FangSong_GB2312" w:cs="FangSong_GB2312"/>
          <w:spacing w:val="-11"/>
        </w:rPr>
        <w:t xml:space="preserve">降低 </w:t>
      </w:r>
      <w:r>
        <w:rPr>
          <w:spacing w:val="-11"/>
        </w:rPr>
        <w:t>12.5%</w:t>
      </w:r>
      <w:r>
        <w:rPr>
          <w:rFonts w:ascii="FangSong_GB2312" w:hAnsi="FangSong_GB2312" w:eastAsia="FangSong_GB2312" w:cs="FangSong_GB2312"/>
          <w:spacing w:val="-11"/>
        </w:rPr>
        <w:t xml:space="preserve">、力争达到 </w:t>
      </w:r>
      <w:r>
        <w:rPr>
          <w:spacing w:val="-11"/>
        </w:rPr>
        <w:t>13%</w:t>
      </w:r>
      <w:r>
        <w:rPr>
          <w:rFonts w:ascii="FangSong_GB2312" w:hAnsi="FangSong_GB2312" w:eastAsia="FangSong_GB2312" w:cs="FangSong_GB2312"/>
          <w:spacing w:val="-11"/>
        </w:rPr>
        <w:t xml:space="preserve">，新能源装机达到 </w:t>
      </w:r>
      <w:r>
        <w:rPr>
          <w:spacing w:val="-11"/>
        </w:rPr>
        <w:t xml:space="preserve">700 </w:t>
      </w:r>
      <w:r>
        <w:rPr>
          <w:rFonts w:ascii="FangSong_GB2312" w:hAnsi="FangSong_GB2312" w:eastAsia="FangSong_GB2312" w:cs="FangSong_GB2312"/>
          <w:spacing w:val="-11"/>
        </w:rPr>
        <w:t>万千瓦以上，</w:t>
      </w:r>
      <w:r>
        <w:rPr>
          <w:rFonts w:ascii="FangSong_GB2312" w:hAnsi="FangSong_GB2312" w:eastAsia="FangSong_GB2312" w:cs="FangSong_GB2312"/>
          <w:spacing w:val="-8"/>
        </w:rPr>
        <w:t>创新引领发展能力明显增强，战略性新兴产业增加值</w:t>
      </w:r>
      <w:r>
        <w:rPr>
          <w:rFonts w:ascii="FangSong_GB2312" w:hAnsi="FangSong_GB2312" w:eastAsia="FangSong_GB2312" w:cs="FangSong_GB2312"/>
          <w:spacing w:val="-9"/>
        </w:rPr>
        <w:t>占规上工业</w:t>
      </w:r>
      <w:r>
        <w:rPr>
          <w:rFonts w:ascii="FangSong_GB2312" w:hAnsi="FangSong_GB2312" w:eastAsia="FangSong_GB2312" w:cs="FangSong_GB2312"/>
          <w:spacing w:val="-12"/>
        </w:rPr>
        <w:t>比重达到</w:t>
      </w:r>
      <w:r>
        <w:rPr>
          <w:rFonts w:ascii="FangSong_GB2312" w:hAnsi="FangSong_GB2312" w:eastAsia="FangSong_GB2312" w:cs="FangSong_GB2312"/>
          <w:spacing w:val="-66"/>
        </w:rPr>
        <w:t xml:space="preserve"> </w:t>
      </w:r>
      <w:r>
        <w:rPr>
          <w:spacing w:val="-12"/>
        </w:rPr>
        <w:t>35%</w:t>
      </w:r>
      <w:r>
        <w:rPr>
          <w:rFonts w:ascii="FangSong_GB2312" w:hAnsi="FangSong_GB2312" w:eastAsia="FangSong_GB2312" w:cs="FangSong_GB2312"/>
          <w:spacing w:val="-12"/>
        </w:rPr>
        <w:t xml:space="preserve">，数字经济核心产业增加值占 </w:t>
      </w:r>
      <w:r>
        <w:rPr>
          <w:spacing w:val="-12"/>
        </w:rPr>
        <w:t xml:space="preserve">GDP </w:t>
      </w:r>
      <w:r>
        <w:rPr>
          <w:rFonts w:ascii="FangSong_GB2312" w:hAnsi="FangSong_GB2312" w:eastAsia="FangSong_GB2312" w:cs="FangSong_GB2312"/>
          <w:spacing w:val="-12"/>
        </w:rPr>
        <w:t>比重达到</w:t>
      </w:r>
      <w:r>
        <w:rPr>
          <w:rFonts w:ascii="FangSong_GB2312" w:hAnsi="FangSong_GB2312" w:eastAsia="FangSong_GB2312" w:cs="FangSong_GB2312"/>
          <w:spacing w:val="-74"/>
        </w:rPr>
        <w:t xml:space="preserve"> </w:t>
      </w:r>
      <w:r>
        <w:rPr>
          <w:spacing w:val="-12"/>
        </w:rPr>
        <w:t>9.6%</w:t>
      </w:r>
      <w:r>
        <w:rPr>
          <w:rFonts w:ascii="FangSong_GB2312" w:hAnsi="FangSong_GB2312" w:eastAsia="FangSong_GB2312" w:cs="FangSong_GB2312"/>
          <w:spacing w:val="-12"/>
        </w:rPr>
        <w:t>，</w:t>
      </w:r>
      <w:r>
        <w:rPr>
          <w:rFonts w:ascii="FangSong_GB2312" w:hAnsi="FangSong_GB2312" w:eastAsia="FangSong_GB2312" w:cs="FangSong_GB2312"/>
          <w:spacing w:val="-11"/>
        </w:rPr>
        <w:t>生态产品价值实现多元化路径畅通。</w:t>
      </w:r>
    </w:p>
    <w:p w14:paraId="0406355F">
      <w:pPr>
        <w:pStyle w:val="2"/>
        <w:spacing w:line="331" w:lineRule="auto"/>
        <w:ind w:left="7" w:right="158" w:firstLine="646"/>
        <w:jc w:val="both"/>
        <w:rPr>
          <w:rFonts w:ascii="FangSong_GB2312" w:hAnsi="FangSong_GB2312" w:eastAsia="FangSong_GB2312" w:cs="FangSong_GB2312"/>
        </w:rPr>
      </w:pPr>
      <w:r>
        <w:rPr>
          <w:rFonts w:ascii="FangSong_GB2312" w:hAnsi="FangSong_GB2312" w:eastAsia="FangSong_GB2312" w:cs="FangSong_GB2312"/>
          <w:spacing w:val="3"/>
        </w:rPr>
        <w:t>生态环境质量持续改善。中心城区空气质量优良率稳定在</w:t>
      </w:r>
      <w:r>
        <w:rPr>
          <w:spacing w:val="-7"/>
        </w:rPr>
        <w:t>96%</w:t>
      </w:r>
      <w:r>
        <w:rPr>
          <w:rFonts w:ascii="FangSong_GB2312" w:hAnsi="FangSong_GB2312" w:eastAsia="FangSong_GB2312" w:cs="FangSong_GB2312"/>
          <w:spacing w:val="-7"/>
        </w:rPr>
        <w:t>左右，地表水国家考核断面水质优良比</w:t>
      </w:r>
      <w:r>
        <w:rPr>
          <w:rFonts w:ascii="FangSong_GB2312" w:hAnsi="FangSong_GB2312" w:eastAsia="FangSong_GB2312" w:cs="FangSong_GB2312"/>
          <w:spacing w:val="-8"/>
        </w:rPr>
        <w:t>例达到</w:t>
      </w:r>
      <w:r>
        <w:rPr>
          <w:spacing w:val="-8"/>
        </w:rPr>
        <w:t>96.3%</w:t>
      </w:r>
      <w:r>
        <w:rPr>
          <w:rFonts w:ascii="FangSong_GB2312" w:hAnsi="FangSong_GB2312" w:eastAsia="FangSong_GB2312" w:cs="FangSong_GB2312"/>
          <w:spacing w:val="-8"/>
        </w:rPr>
        <w:t>以上，全</w:t>
      </w:r>
      <w:r>
        <w:rPr>
          <w:rFonts w:ascii="FangSong_GB2312" w:hAnsi="FangSong_GB2312" w:eastAsia="FangSong_GB2312" w:cs="FangSong_GB2312"/>
          <w:spacing w:val="-9"/>
        </w:rPr>
        <w:t>面消除劣</w:t>
      </w:r>
      <w:r>
        <w:rPr>
          <w:rFonts w:ascii="FangSong_GB2312" w:hAnsi="FangSong_GB2312" w:eastAsia="FangSong_GB2312" w:cs="FangSong_GB2312"/>
          <w:spacing w:val="-82"/>
        </w:rPr>
        <w:t xml:space="preserve"> </w:t>
      </w:r>
      <w:r>
        <w:rPr>
          <w:spacing w:val="-9"/>
        </w:rPr>
        <w:t>V</w:t>
      </w:r>
      <w:r>
        <w:rPr>
          <w:spacing w:val="-58"/>
        </w:rPr>
        <w:t xml:space="preserve"> </w:t>
      </w:r>
      <w:r>
        <w:rPr>
          <w:rFonts w:ascii="FangSong_GB2312" w:hAnsi="FangSong_GB2312" w:eastAsia="FangSong_GB2312" w:cs="FangSong_GB2312"/>
          <w:spacing w:val="-9"/>
        </w:rPr>
        <w:t>类水，山水林田湖草生命共同体示范区基本</w:t>
      </w:r>
      <w:r>
        <w:rPr>
          <w:rFonts w:ascii="FangSong_GB2312" w:hAnsi="FangSong_GB2312" w:eastAsia="FangSong_GB2312" w:cs="FangSong_GB2312"/>
          <w:spacing w:val="-10"/>
        </w:rPr>
        <w:t>建成，土</w:t>
      </w:r>
      <w:r>
        <w:rPr>
          <w:rFonts w:ascii="FangSong_GB2312" w:hAnsi="FangSong_GB2312" w:eastAsia="FangSong_GB2312" w:cs="FangSong_GB2312"/>
          <w:spacing w:val="-13"/>
        </w:rPr>
        <w:t>壤风险安全可控，矿山生态修复成效显著，水土保持率达到</w:t>
      </w:r>
      <w:r>
        <w:rPr>
          <w:spacing w:val="-13"/>
        </w:rPr>
        <w:t>83.4%</w:t>
      </w:r>
      <w:r>
        <w:rPr>
          <w:rFonts w:ascii="FangSong_GB2312" w:hAnsi="FangSong_GB2312" w:eastAsia="FangSong_GB2312" w:cs="FangSong_GB2312"/>
          <w:spacing w:val="-8"/>
        </w:rPr>
        <w:t xml:space="preserve">以上，国家重点保护野生动植物保护率达到 </w:t>
      </w:r>
      <w:r>
        <w:rPr>
          <w:spacing w:val="-8"/>
        </w:rPr>
        <w:t>95%</w:t>
      </w:r>
      <w:r>
        <w:rPr>
          <w:rFonts w:ascii="FangSong_GB2312" w:hAnsi="FangSong_GB2312" w:eastAsia="FangSong_GB2312" w:cs="FangSong_GB2312"/>
          <w:spacing w:val="-8"/>
        </w:rPr>
        <w:t>以上，生态质量</w:t>
      </w:r>
      <w:r>
        <w:rPr>
          <w:rFonts w:ascii="FangSong_GB2312" w:hAnsi="FangSong_GB2312" w:eastAsia="FangSong_GB2312" w:cs="FangSong_GB2312"/>
          <w:spacing w:val="-9"/>
        </w:rPr>
        <w:t>指数（</w:t>
      </w:r>
      <w:r>
        <w:rPr>
          <w:spacing w:val="-9"/>
        </w:rPr>
        <w:t>EQI</w:t>
      </w:r>
      <w:r>
        <w:rPr>
          <w:rFonts w:ascii="FangSong_GB2312" w:hAnsi="FangSong_GB2312" w:eastAsia="FangSong_GB2312" w:cs="FangSong_GB2312"/>
          <w:spacing w:val="-9"/>
        </w:rPr>
        <w:t>）稳中向好，南方生态屏障更加牢</w:t>
      </w:r>
      <w:r>
        <w:rPr>
          <w:rFonts w:ascii="FangSong_GB2312" w:hAnsi="FangSong_GB2312" w:eastAsia="FangSong_GB2312" w:cs="FangSong_GB2312"/>
          <w:spacing w:val="-10"/>
        </w:rPr>
        <w:t>固。</w:t>
      </w:r>
    </w:p>
    <w:p w14:paraId="6569B103">
      <w:pPr>
        <w:spacing w:before="6" w:line="331" w:lineRule="auto"/>
        <w:ind w:left="14" w:right="158" w:firstLine="621"/>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人居生活环境明显改善。城乡发展水平差距显著缩小，城市功能品质全面提升，圩镇功能短板加快补齐，农村人居环境明显改善，城市建成区生活污水直排口和收集处理设施空白区基本消</w:t>
      </w:r>
      <w:r>
        <w:rPr>
          <w:rFonts w:ascii="FangSong_GB2312" w:hAnsi="FangSong_GB2312" w:eastAsia="FangSong_GB2312" w:cs="FangSong_GB2312"/>
          <w:spacing w:val="-14"/>
          <w:sz w:val="32"/>
          <w:szCs w:val="32"/>
        </w:rPr>
        <w:t>除，县（市、区） 基本消除黑臭水体，美丽乡镇、美丽乡村示范</w:t>
      </w:r>
      <w:r>
        <w:rPr>
          <w:rFonts w:ascii="FangSong_GB2312" w:hAnsi="FangSong_GB2312" w:eastAsia="FangSong_GB2312" w:cs="FangSong_GB2312"/>
          <w:spacing w:val="-16"/>
          <w:sz w:val="32"/>
          <w:szCs w:val="32"/>
        </w:rPr>
        <w:t>引领效应明显。</w:t>
      </w:r>
    </w:p>
    <w:p w14:paraId="72D440AD">
      <w:pPr>
        <w:spacing w:before="1" w:line="328" w:lineRule="auto"/>
        <w:ind w:left="15" w:right="158" w:firstLine="627"/>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现代治理体系智慧健全。生态文明制度不断完善，精准高</w:t>
      </w:r>
      <w:r>
        <w:rPr>
          <w:rFonts w:ascii="FangSong_GB2312" w:hAnsi="FangSong_GB2312" w:eastAsia="FangSong_GB2312" w:cs="FangSong_GB2312"/>
          <w:spacing w:val="-9"/>
          <w:sz w:val="32"/>
          <w:szCs w:val="32"/>
        </w:rPr>
        <w:t>效、效能优异、协同共治现代环境治理体系基本形成，智慧化生</w:t>
      </w:r>
    </w:p>
    <w:p w14:paraId="7BB522F9">
      <w:pPr>
        <w:spacing w:line="328" w:lineRule="auto"/>
        <w:rPr>
          <w:rFonts w:ascii="FangSong_GB2312" w:hAnsi="FangSong_GB2312" w:eastAsia="FangSong_GB2312" w:cs="FangSong_GB2312"/>
          <w:sz w:val="32"/>
          <w:szCs w:val="32"/>
        </w:rPr>
        <w:sectPr>
          <w:footerReference r:id="rId14" w:type="default"/>
          <w:pgSz w:w="11905" w:h="16840"/>
          <w:pgMar w:top="1431" w:right="1419" w:bottom="1867" w:left="1592" w:header="0" w:footer="1506" w:gutter="0"/>
          <w:cols w:space="720" w:num="1"/>
        </w:sectPr>
      </w:pPr>
    </w:p>
    <w:p w14:paraId="05FD450B">
      <w:pPr>
        <w:spacing w:line="341" w:lineRule="auto"/>
        <w:rPr>
          <w:rFonts w:ascii="Arial"/>
          <w:sz w:val="21"/>
        </w:rPr>
      </w:pPr>
    </w:p>
    <w:p w14:paraId="1185B4F3">
      <w:pPr>
        <w:spacing w:line="341" w:lineRule="auto"/>
        <w:rPr>
          <w:rFonts w:ascii="Arial"/>
          <w:sz w:val="21"/>
        </w:rPr>
      </w:pPr>
    </w:p>
    <w:p w14:paraId="6D6AD4C1">
      <w:pPr>
        <w:spacing w:before="104" w:line="332" w:lineRule="auto"/>
        <w:ind w:left="6" w:right="158" w:firstLine="17"/>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态环境监管体系加速形成，生态环境治理效能得到新提升，公众</w:t>
      </w:r>
      <w:r>
        <w:rPr>
          <w:rFonts w:ascii="FangSong_GB2312" w:hAnsi="FangSong_GB2312" w:eastAsia="FangSong_GB2312" w:cs="FangSong_GB2312"/>
          <w:spacing w:val="-12"/>
          <w:sz w:val="32"/>
          <w:szCs w:val="32"/>
        </w:rPr>
        <w:t>广泛参与美丽赣州建设。</w:t>
      </w:r>
    </w:p>
    <w:p w14:paraId="77A04B87">
      <w:pPr>
        <w:pStyle w:val="2"/>
        <w:spacing w:line="331" w:lineRule="auto"/>
        <w:ind w:left="4" w:firstLine="642"/>
        <w:jc w:val="both"/>
        <w:rPr>
          <w:rFonts w:ascii="FangSong_GB2312" w:hAnsi="FangSong_GB2312" w:eastAsia="FangSong_GB2312" w:cs="FangSong_GB2312"/>
        </w:rPr>
      </w:pPr>
      <w:r>
        <w:rPr>
          <w:rFonts w:ascii="FangSong_GB2312" w:hAnsi="FangSong_GB2312" w:eastAsia="FangSong_GB2312" w:cs="FangSong_GB2312"/>
          <w:spacing w:val="-3"/>
        </w:rPr>
        <w:t xml:space="preserve">到 </w:t>
      </w:r>
      <w:r>
        <w:rPr>
          <w:spacing w:val="-3"/>
        </w:rPr>
        <w:t xml:space="preserve">2030 </w:t>
      </w:r>
      <w:r>
        <w:rPr>
          <w:rFonts w:ascii="FangSong_GB2312" w:hAnsi="FangSong_GB2312" w:eastAsia="FangSong_GB2312" w:cs="FangSong_GB2312"/>
          <w:spacing w:val="-3"/>
        </w:rPr>
        <w:t>年，纵深推进、全面提升，美丽中国“赣州样板”</w:t>
      </w:r>
      <w:r>
        <w:rPr>
          <w:rFonts w:ascii="FangSong_GB2312" w:hAnsi="FangSong_GB2312" w:eastAsia="FangSong_GB2312" w:cs="FangSong_GB2312"/>
          <w:spacing w:val="-9"/>
        </w:rPr>
        <w:t>建设取得突破进展。绿色发展生产生活方式总体形成，二氧化碳</w:t>
      </w:r>
      <w:r>
        <w:rPr>
          <w:rFonts w:ascii="FangSong_GB2312" w:hAnsi="FangSong_GB2312" w:eastAsia="FangSong_GB2312" w:cs="FangSong_GB2312"/>
          <w:spacing w:val="-8"/>
        </w:rPr>
        <w:t>排放达到峰值，生态环境全面改善，生态系</w:t>
      </w:r>
      <w:r>
        <w:rPr>
          <w:rFonts w:ascii="FangSong_GB2312" w:hAnsi="FangSong_GB2312" w:eastAsia="FangSong_GB2312" w:cs="FangSong_GB2312"/>
          <w:spacing w:val="-9"/>
        </w:rPr>
        <w:t>统实现良性循环，优质生态产品稳定供给，绿水青山与金山银山双向转化通道持续拓</w:t>
      </w:r>
      <w:r>
        <w:rPr>
          <w:rFonts w:ascii="FangSong_GB2312" w:hAnsi="FangSong_GB2312" w:eastAsia="FangSong_GB2312" w:cs="FangSong_GB2312"/>
          <w:spacing w:val="-11"/>
        </w:rPr>
        <w:t>宽，现代化治理体系逐渐完备。</w:t>
      </w:r>
    </w:p>
    <w:p w14:paraId="7BB8A9C3">
      <w:pPr>
        <w:pStyle w:val="2"/>
        <w:spacing w:before="4" w:line="331" w:lineRule="auto"/>
        <w:ind w:right="74" w:firstLine="647"/>
        <w:jc w:val="both"/>
        <w:rPr>
          <w:rFonts w:ascii="FangSong_GB2312" w:hAnsi="FangSong_GB2312" w:eastAsia="FangSong_GB2312" w:cs="FangSong_GB2312"/>
        </w:rPr>
      </w:pPr>
      <w:r>
        <w:rPr>
          <w:rFonts w:ascii="FangSong_GB2312" w:hAnsi="FangSong_GB2312" w:eastAsia="FangSong_GB2312" w:cs="FangSong_GB2312"/>
          <w:spacing w:val="-19"/>
        </w:rPr>
        <w:t>到</w:t>
      </w:r>
      <w:r>
        <w:rPr>
          <w:rFonts w:ascii="FangSong_GB2312" w:hAnsi="FangSong_GB2312" w:eastAsia="FangSong_GB2312" w:cs="FangSong_GB2312"/>
          <w:spacing w:val="-62"/>
        </w:rPr>
        <w:t xml:space="preserve"> </w:t>
      </w:r>
      <w:r>
        <w:rPr>
          <w:spacing w:val="-19"/>
        </w:rPr>
        <w:t>2035</w:t>
      </w:r>
      <w:r>
        <w:rPr>
          <w:spacing w:val="-70"/>
        </w:rPr>
        <w:t xml:space="preserve"> </w:t>
      </w:r>
      <w:r>
        <w:rPr>
          <w:rFonts w:ascii="FangSong_GB2312" w:hAnsi="FangSong_GB2312" w:eastAsia="FangSong_GB2312" w:cs="FangSong_GB2312"/>
          <w:spacing w:val="-19"/>
        </w:rPr>
        <w:t>年，系统优化、示范引领，</w:t>
      </w:r>
      <w:r>
        <w:rPr>
          <w:rFonts w:ascii="FangSong_GB2312" w:hAnsi="FangSong_GB2312" w:eastAsia="FangSong_GB2312" w:cs="FangSong_GB2312"/>
          <w:spacing w:val="-52"/>
        </w:rPr>
        <w:t xml:space="preserve"> </w:t>
      </w:r>
      <w:r>
        <w:rPr>
          <w:rFonts w:ascii="FangSong_GB2312" w:hAnsi="FangSong_GB2312" w:eastAsia="FangSong_GB2312" w:cs="FangSong_GB2312"/>
          <w:spacing w:val="-19"/>
        </w:rPr>
        <w:t>高标准建成美丽中国“赣</w:t>
      </w:r>
      <w:r>
        <w:rPr>
          <w:rFonts w:ascii="FangSong_GB2312" w:hAnsi="FangSong_GB2312" w:eastAsia="FangSong_GB2312" w:cs="FangSong_GB2312"/>
          <w:spacing w:val="-16"/>
        </w:rPr>
        <w:t>州样板”。广泛形成绿色生产生活方式，碳排放达峰后稳中有降，</w:t>
      </w:r>
      <w:r>
        <w:rPr>
          <w:rFonts w:ascii="FangSong_GB2312" w:hAnsi="FangSong_GB2312" w:eastAsia="FangSong_GB2312" w:cs="FangSong_GB2312"/>
          <w:spacing w:val="-14"/>
        </w:rPr>
        <w:t>生态环境根本好转，蓝天、碧水、净土全面呈现， 生态安全得到</w:t>
      </w:r>
      <w:r>
        <w:rPr>
          <w:rFonts w:ascii="FangSong_GB2312" w:hAnsi="FangSong_GB2312" w:eastAsia="FangSong_GB2312" w:cs="FangSong_GB2312"/>
          <w:spacing w:val="-8"/>
        </w:rPr>
        <w:t>充分保障，生态文明体系全面构建，尊重自然、顺应</w:t>
      </w:r>
      <w:r>
        <w:rPr>
          <w:rFonts w:ascii="FangSong_GB2312" w:hAnsi="FangSong_GB2312" w:eastAsia="FangSong_GB2312" w:cs="FangSong_GB2312"/>
          <w:spacing w:val="-9"/>
        </w:rPr>
        <w:t>自然、保护</w:t>
      </w:r>
      <w:r>
        <w:rPr>
          <w:rFonts w:ascii="FangSong_GB2312" w:hAnsi="FangSong_GB2312" w:eastAsia="FangSong_GB2312" w:cs="FangSong_GB2312"/>
          <w:spacing w:val="-8"/>
        </w:rPr>
        <w:t>自然的生态价值观念深入人心，以产业生态化和生态</w:t>
      </w:r>
      <w:r>
        <w:rPr>
          <w:rFonts w:ascii="FangSong_GB2312" w:hAnsi="FangSong_GB2312" w:eastAsia="FangSong_GB2312" w:cs="FangSong_GB2312"/>
          <w:spacing w:val="-9"/>
        </w:rPr>
        <w:t>产业化为主</w:t>
      </w:r>
      <w:r>
        <w:rPr>
          <w:rFonts w:ascii="FangSong_GB2312" w:hAnsi="FangSong_GB2312" w:eastAsia="FangSong_GB2312" w:cs="FangSong_GB2312"/>
          <w:spacing w:val="-8"/>
        </w:rPr>
        <w:t>体的生态经济体系高效运转，成为中部绿色崛起、内</w:t>
      </w:r>
      <w:r>
        <w:rPr>
          <w:rFonts w:ascii="FangSong_GB2312" w:hAnsi="FangSong_GB2312" w:eastAsia="FangSong_GB2312" w:cs="FangSong_GB2312"/>
          <w:spacing w:val="-9"/>
        </w:rPr>
        <w:t>陆先行开放</w:t>
      </w:r>
      <w:r>
        <w:rPr>
          <w:rFonts w:ascii="FangSong_GB2312" w:hAnsi="FangSong_GB2312" w:eastAsia="FangSong_GB2312" w:cs="FangSong_GB2312"/>
          <w:spacing w:val="-17"/>
        </w:rPr>
        <w:t>的典范。</w:t>
      </w:r>
    </w:p>
    <w:p w14:paraId="2DBFE896">
      <w:pPr>
        <w:spacing w:before="6" w:line="330" w:lineRule="auto"/>
        <w:ind w:left="21" w:right="60"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到本世纪中叶，人与自然和谐共生的现代化美丽赣州</w:t>
      </w:r>
      <w:r>
        <w:rPr>
          <w:rFonts w:ascii="FangSong_GB2312" w:hAnsi="FangSong_GB2312" w:eastAsia="FangSong_GB2312" w:cs="FangSong_GB2312"/>
          <w:spacing w:val="-10"/>
          <w:sz w:val="32"/>
          <w:szCs w:val="32"/>
        </w:rPr>
        <w:t>全方位</w:t>
      </w:r>
      <w:r>
        <w:rPr>
          <w:rFonts w:ascii="FangSong_GB2312" w:hAnsi="FangSong_GB2312" w:eastAsia="FangSong_GB2312" w:cs="FangSong_GB2312"/>
          <w:spacing w:val="-16"/>
          <w:sz w:val="32"/>
          <w:szCs w:val="32"/>
        </w:rPr>
        <w:t>呈现。绿色发展方式和生活方式全面形成，青山</w:t>
      </w:r>
      <w:r>
        <w:rPr>
          <w:rFonts w:ascii="FangSong_GB2312" w:hAnsi="FangSong_GB2312" w:eastAsia="FangSong_GB2312" w:cs="FangSong_GB2312"/>
          <w:spacing w:val="-17"/>
          <w:sz w:val="32"/>
          <w:szCs w:val="32"/>
        </w:rPr>
        <w:t>常在、绿水长流、</w:t>
      </w:r>
      <w:r>
        <w:rPr>
          <w:rFonts w:ascii="FangSong_GB2312" w:hAnsi="FangSong_GB2312" w:eastAsia="FangSong_GB2312" w:cs="FangSong_GB2312"/>
          <w:spacing w:val="-13"/>
          <w:sz w:val="32"/>
          <w:szCs w:val="32"/>
        </w:rPr>
        <w:t>空气常新、城景交融、绿色现代成为美丽赣州的生动写照，</w:t>
      </w:r>
      <w:r>
        <w:rPr>
          <w:rFonts w:ascii="FangSong_GB2312" w:hAnsi="FangSong_GB2312" w:eastAsia="FangSong_GB2312" w:cs="FangSong_GB2312"/>
          <w:spacing w:val="-47"/>
          <w:sz w:val="32"/>
          <w:szCs w:val="32"/>
        </w:rPr>
        <w:t xml:space="preserve"> </w:t>
      </w:r>
      <w:r>
        <w:rPr>
          <w:rFonts w:ascii="FangSong_GB2312" w:hAnsi="FangSong_GB2312" w:eastAsia="FangSong_GB2312" w:cs="FangSong_GB2312"/>
          <w:spacing w:val="-13"/>
          <w:sz w:val="32"/>
          <w:szCs w:val="32"/>
        </w:rPr>
        <w:t>生态</w:t>
      </w:r>
      <w:r>
        <w:rPr>
          <w:rFonts w:ascii="FangSong_GB2312" w:hAnsi="FangSong_GB2312" w:eastAsia="FangSong_GB2312" w:cs="FangSong_GB2312"/>
          <w:spacing w:val="-10"/>
          <w:sz w:val="32"/>
          <w:szCs w:val="32"/>
        </w:rPr>
        <w:t>文明高度发达，治理体系和治理能力现代化全面实现。</w:t>
      </w:r>
    </w:p>
    <w:p w14:paraId="4807E007">
      <w:pPr>
        <w:spacing w:before="1" w:line="221" w:lineRule="auto"/>
        <w:ind w:left="640"/>
        <w:outlineLvl w:val="0"/>
        <w:rPr>
          <w:rFonts w:ascii="黑体" w:hAnsi="黑体" w:eastAsia="黑体" w:cs="黑体"/>
          <w:sz w:val="32"/>
          <w:szCs w:val="32"/>
        </w:rPr>
      </w:pPr>
      <w:r>
        <w:rPr>
          <w:rFonts w:ascii="黑体" w:hAnsi="黑体" w:eastAsia="黑体" w:cs="黑体"/>
          <w:spacing w:val="-8"/>
          <w:sz w:val="32"/>
          <w:szCs w:val="32"/>
        </w:rPr>
        <w:t>三、构建人与自然和谐共生的空间格局</w:t>
      </w:r>
    </w:p>
    <w:p w14:paraId="1FA53093">
      <w:pPr>
        <w:spacing w:before="189" w:line="330" w:lineRule="auto"/>
        <w:ind w:left="27" w:right="158" w:firstLine="633"/>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围绕区域发展战略，深度融入粤港澳大湾区，积极促进区域</w:t>
      </w:r>
      <w:r>
        <w:rPr>
          <w:rFonts w:ascii="FangSong_GB2312" w:hAnsi="FangSong_GB2312" w:eastAsia="FangSong_GB2312" w:cs="FangSong_GB2312"/>
          <w:spacing w:val="-9"/>
          <w:sz w:val="32"/>
          <w:szCs w:val="32"/>
        </w:rPr>
        <w:t>生态共保联治，统筹空间开发与保护，落实主体功能区</w:t>
      </w:r>
      <w:r>
        <w:rPr>
          <w:rFonts w:ascii="FangSong_GB2312" w:hAnsi="FangSong_GB2312" w:eastAsia="FangSong_GB2312" w:cs="FangSong_GB2312"/>
          <w:spacing w:val="-10"/>
          <w:sz w:val="32"/>
          <w:szCs w:val="32"/>
        </w:rPr>
        <w:t>战略，加</w:t>
      </w:r>
      <w:r>
        <w:rPr>
          <w:rFonts w:ascii="FangSong_GB2312" w:hAnsi="FangSong_GB2312" w:eastAsia="FangSong_GB2312" w:cs="FangSong_GB2312"/>
          <w:spacing w:val="-9"/>
          <w:sz w:val="32"/>
          <w:szCs w:val="32"/>
        </w:rPr>
        <w:t>强空间边界管理与用途管控，完善生态环境分区管控体</w:t>
      </w:r>
      <w:r>
        <w:rPr>
          <w:rFonts w:ascii="FangSong_GB2312" w:hAnsi="FangSong_GB2312" w:eastAsia="FangSong_GB2312" w:cs="FangSong_GB2312"/>
          <w:spacing w:val="-10"/>
          <w:sz w:val="32"/>
          <w:szCs w:val="32"/>
        </w:rPr>
        <w:t>系，优化</w:t>
      </w:r>
    </w:p>
    <w:p w14:paraId="2F52FF7D">
      <w:pPr>
        <w:spacing w:line="330" w:lineRule="auto"/>
        <w:rPr>
          <w:rFonts w:ascii="FangSong_GB2312" w:hAnsi="FangSong_GB2312" w:eastAsia="FangSong_GB2312" w:cs="FangSong_GB2312"/>
          <w:sz w:val="32"/>
          <w:szCs w:val="32"/>
        </w:rPr>
        <w:sectPr>
          <w:footerReference r:id="rId15" w:type="default"/>
          <w:pgSz w:w="11905" w:h="16840"/>
          <w:pgMar w:top="1431" w:right="1419" w:bottom="1867" w:left="1592" w:header="0" w:footer="1504" w:gutter="0"/>
          <w:cols w:space="720" w:num="1"/>
        </w:sectPr>
      </w:pPr>
    </w:p>
    <w:p w14:paraId="679B4270">
      <w:pPr>
        <w:spacing w:line="342" w:lineRule="auto"/>
        <w:rPr>
          <w:rFonts w:ascii="Arial"/>
          <w:sz w:val="21"/>
        </w:rPr>
      </w:pPr>
    </w:p>
    <w:p w14:paraId="552ADEAA">
      <w:pPr>
        <w:spacing w:line="343" w:lineRule="auto"/>
        <w:rPr>
          <w:rFonts w:ascii="Arial"/>
          <w:sz w:val="21"/>
        </w:rPr>
      </w:pPr>
    </w:p>
    <w:p w14:paraId="30A08584">
      <w:pPr>
        <w:spacing w:before="104" w:line="214" w:lineRule="auto"/>
        <w:ind w:left="20"/>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生活、生产、生态空间，营造人与自然和谐共生的空间格局。</w:t>
      </w:r>
    </w:p>
    <w:p w14:paraId="5B70207F">
      <w:pPr>
        <w:spacing w:before="203" w:line="218" w:lineRule="auto"/>
        <w:ind w:left="614"/>
        <w:rPr>
          <w:rFonts w:ascii="KaiTi_GB2312" w:hAnsi="KaiTi_GB2312" w:eastAsia="KaiTi_GB2312" w:cs="KaiTi_GB2312"/>
          <w:sz w:val="32"/>
          <w:szCs w:val="32"/>
        </w:rPr>
      </w:pPr>
      <w:r>
        <w:rPr>
          <w:rFonts w:ascii="KaiTi_GB2312" w:hAnsi="KaiTi_GB2312" w:eastAsia="KaiTi_GB2312" w:cs="KaiTi_GB2312"/>
          <w:spacing w:val="-7"/>
          <w:sz w:val="32"/>
          <w:szCs w:val="32"/>
        </w:rPr>
        <w:t>（一）积极融入区域发展战略</w:t>
      </w:r>
    </w:p>
    <w:p w14:paraId="694DB1CE">
      <w:pPr>
        <w:spacing w:before="194" w:line="213" w:lineRule="auto"/>
        <w:ind w:left="632"/>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对接融入粤港澳大湾区。对标粤港澳大湾区提升开放水平，</w:t>
      </w:r>
    </w:p>
    <w:p w14:paraId="6806A541">
      <w:pPr>
        <w:spacing w:before="208" w:line="331" w:lineRule="auto"/>
        <w:ind w:left="3" w:right="316"/>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培育跨境电子商务等经济新业态，推进赣州国际陆港、赣州经济技术开发区等开放平台建设，实现与广东口岸信息互通互联。围绕承接粤港澳大湾区产业转移创新区目标定位，打造粤港澳大湾区产业协作高地，加快建设深（圳）赣（州）港产城一体化合作区，与粤港澳大湾区城市共建赣粤产业合作试验区。鼓励粤港澳</w:t>
      </w:r>
      <w:r>
        <w:rPr>
          <w:rFonts w:ascii="FangSong_GB2312" w:hAnsi="FangSong_GB2312" w:eastAsia="FangSong_GB2312" w:cs="FangSong_GB2312"/>
          <w:spacing w:val="-10"/>
          <w:sz w:val="32"/>
          <w:szCs w:val="32"/>
        </w:rPr>
        <w:t>大湾区内地科研院所、龙头企业设立技术转移中心赣州分中心，</w:t>
      </w:r>
    </w:p>
    <w:p w14:paraId="65DE487A">
      <w:pPr>
        <w:spacing w:before="1" w:line="331" w:lineRule="auto"/>
        <w:ind w:firstLine="3"/>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打造赣粤科技合作试验区。打造粤港澳大湾区生态康养旅游后花</w:t>
      </w:r>
      <w:r>
        <w:rPr>
          <w:rFonts w:ascii="FangSong_GB2312" w:hAnsi="FangSong_GB2312" w:eastAsia="FangSong_GB2312" w:cs="FangSong_GB2312"/>
          <w:spacing w:val="4"/>
          <w:sz w:val="32"/>
          <w:szCs w:val="32"/>
        </w:rPr>
        <w:t xml:space="preserve"> </w:t>
      </w:r>
      <w:r>
        <w:rPr>
          <w:rFonts w:ascii="FangSong_GB2312" w:hAnsi="FangSong_GB2312" w:eastAsia="FangSong_GB2312" w:cs="FangSong_GB2312"/>
          <w:spacing w:val="-9"/>
          <w:sz w:val="32"/>
          <w:szCs w:val="32"/>
        </w:rPr>
        <w:t>园，开通赣深（港）旅游专列和粤港澳大湾区旅游直通车，推动</w:t>
      </w:r>
      <w:r>
        <w:rPr>
          <w:rFonts w:ascii="FangSong_GB2312" w:hAnsi="FangSong_GB2312" w:eastAsia="FangSong_GB2312" w:cs="FangSong_GB2312"/>
          <w:spacing w:val="5"/>
          <w:sz w:val="32"/>
          <w:szCs w:val="32"/>
        </w:rPr>
        <w:t xml:space="preserve"> </w:t>
      </w:r>
      <w:r>
        <w:rPr>
          <w:rFonts w:ascii="FangSong_GB2312" w:hAnsi="FangSong_GB2312" w:eastAsia="FangSong_GB2312" w:cs="FangSong_GB2312"/>
          <w:spacing w:val="-9"/>
          <w:sz w:val="32"/>
          <w:szCs w:val="32"/>
        </w:rPr>
        <w:t>与广东共建综合性医疗健康数据管理和健康服务中心。围绕打造</w:t>
      </w:r>
      <w:r>
        <w:rPr>
          <w:rFonts w:ascii="FangSong_GB2312" w:hAnsi="FangSong_GB2312" w:eastAsia="FangSong_GB2312" w:cs="FangSong_GB2312"/>
          <w:spacing w:val="5"/>
          <w:sz w:val="32"/>
          <w:szCs w:val="32"/>
        </w:rPr>
        <w:t xml:space="preserve"> </w:t>
      </w:r>
      <w:r>
        <w:rPr>
          <w:rFonts w:ascii="FangSong_GB2312" w:hAnsi="FangSong_GB2312" w:eastAsia="FangSong_GB2312" w:cs="FangSong_GB2312"/>
          <w:spacing w:val="-8"/>
          <w:sz w:val="32"/>
          <w:szCs w:val="32"/>
        </w:rPr>
        <w:t>粤港澳大湾区优质农产品供应基地，建成粤港澳大</w:t>
      </w:r>
      <w:r>
        <w:rPr>
          <w:rFonts w:ascii="FangSong_GB2312" w:hAnsi="FangSong_GB2312" w:eastAsia="FangSong_GB2312" w:cs="FangSong_GB2312"/>
          <w:spacing w:val="-9"/>
          <w:sz w:val="32"/>
          <w:szCs w:val="32"/>
        </w:rPr>
        <w:t>湾区“菜篮子”</w:t>
      </w:r>
      <w:r>
        <w:rPr>
          <w:rFonts w:ascii="FangSong_GB2312" w:hAnsi="FangSong_GB2312" w:eastAsia="FangSong_GB2312" w:cs="FangSong_GB2312"/>
          <w:spacing w:val="-11"/>
          <w:sz w:val="32"/>
          <w:szCs w:val="32"/>
        </w:rPr>
        <w:t>产品赣州配送分中心及城际合作机制。</w:t>
      </w:r>
    </w:p>
    <w:p w14:paraId="2C25FA5A">
      <w:pPr>
        <w:spacing w:line="331" w:lineRule="auto"/>
        <w:ind w:right="316" w:firstLine="628"/>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积极促进区域生态共保联治。加强赣南丘陵地区森林生态系统水源涵养区跨省共保，强化省际边界地区生态保护红线管控。加强省内鄱阳湖大流域互联合作，共保一湖清水入江。统筹优化流域上下游产业空间布局，重点加强流域上游水源涵养区范围内</w:t>
      </w:r>
      <w:r>
        <w:rPr>
          <w:rFonts w:ascii="FangSong_GB2312" w:hAnsi="FangSong_GB2312" w:eastAsia="FangSong_GB2312" w:cs="FangSong_GB2312"/>
          <w:spacing w:val="-10"/>
          <w:sz w:val="32"/>
          <w:szCs w:val="32"/>
        </w:rPr>
        <w:t>采矿等开发活动的管控，实施负面清单管理。</w:t>
      </w:r>
    </w:p>
    <w:p w14:paraId="799FB629">
      <w:pPr>
        <w:spacing w:before="3" w:line="215" w:lineRule="auto"/>
        <w:ind w:left="614"/>
        <w:rPr>
          <w:rFonts w:ascii="KaiTi_GB2312" w:hAnsi="KaiTi_GB2312" w:eastAsia="KaiTi_GB2312" w:cs="KaiTi_GB2312"/>
          <w:sz w:val="32"/>
          <w:szCs w:val="32"/>
        </w:rPr>
      </w:pPr>
      <w:r>
        <w:rPr>
          <w:rFonts w:ascii="KaiTi_GB2312" w:hAnsi="KaiTi_GB2312" w:eastAsia="KaiTi_GB2312" w:cs="KaiTi_GB2312"/>
          <w:spacing w:val="-8"/>
          <w:sz w:val="32"/>
          <w:szCs w:val="32"/>
        </w:rPr>
        <w:t>（二）统筹国土空间开发保护</w:t>
      </w:r>
    </w:p>
    <w:p w14:paraId="58793A1C">
      <w:pPr>
        <w:spacing w:before="198" w:line="331" w:lineRule="auto"/>
        <w:ind w:left="11" w:right="315" w:firstLine="621"/>
        <w:rPr>
          <w:rFonts w:ascii="FangSong_GB2312" w:hAnsi="FangSong_GB2312" w:eastAsia="FangSong_GB2312" w:cs="FangSong_GB2312"/>
          <w:sz w:val="32"/>
          <w:szCs w:val="32"/>
        </w:rPr>
      </w:pPr>
      <w:r>
        <w:rPr>
          <w:rFonts w:ascii="FangSong_GB2312" w:hAnsi="FangSong_GB2312" w:eastAsia="FangSong_GB2312" w:cs="FangSong_GB2312"/>
          <w:spacing w:val="-15"/>
          <w:sz w:val="32"/>
          <w:szCs w:val="32"/>
        </w:rPr>
        <w:t>深入贯彻实施主体功能区战略。优化县域主体功能分区， 细</w:t>
      </w:r>
      <w:r>
        <w:rPr>
          <w:rFonts w:ascii="FangSong_GB2312" w:hAnsi="FangSong_GB2312" w:eastAsia="FangSong_GB2312" w:cs="FangSong_GB2312"/>
          <w:spacing w:val="-9"/>
          <w:sz w:val="32"/>
          <w:szCs w:val="32"/>
        </w:rPr>
        <w:t>化明确乡镇单元主体功能区划分，探索完善主体功能区细化管控</w:t>
      </w:r>
    </w:p>
    <w:p w14:paraId="139A430E">
      <w:pPr>
        <w:spacing w:line="331" w:lineRule="auto"/>
        <w:rPr>
          <w:rFonts w:ascii="FangSong_GB2312" w:hAnsi="FangSong_GB2312" w:eastAsia="FangSong_GB2312" w:cs="FangSong_GB2312"/>
          <w:sz w:val="32"/>
          <w:szCs w:val="32"/>
        </w:rPr>
        <w:sectPr>
          <w:footerReference r:id="rId16" w:type="default"/>
          <w:pgSz w:w="11905" w:h="16840"/>
          <w:pgMar w:top="1431" w:right="1261" w:bottom="1867" w:left="1600" w:header="0" w:footer="1504" w:gutter="0"/>
          <w:cols w:space="720" w:num="1"/>
        </w:sectPr>
      </w:pPr>
    </w:p>
    <w:p w14:paraId="71C82BC8">
      <w:pPr>
        <w:spacing w:line="341" w:lineRule="auto"/>
        <w:rPr>
          <w:rFonts w:ascii="Arial"/>
          <w:sz w:val="21"/>
        </w:rPr>
      </w:pPr>
    </w:p>
    <w:p w14:paraId="5FC911A6">
      <w:pPr>
        <w:spacing w:line="341" w:lineRule="auto"/>
        <w:rPr>
          <w:rFonts w:ascii="Arial"/>
          <w:sz w:val="21"/>
        </w:rPr>
      </w:pPr>
    </w:p>
    <w:p w14:paraId="3A32D38B">
      <w:pPr>
        <w:spacing w:before="104" w:line="331" w:lineRule="auto"/>
        <w:ind w:left="13" w:right="98" w:hanging="6"/>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途径，实施差异化管控措施。加强特殊名录区的特色功能培育和</w:t>
      </w:r>
      <w:r>
        <w:rPr>
          <w:rFonts w:ascii="FangSong_GB2312" w:hAnsi="FangSong_GB2312" w:eastAsia="FangSong_GB2312" w:cs="FangSong_GB2312"/>
          <w:spacing w:val="-11"/>
          <w:sz w:val="32"/>
          <w:szCs w:val="32"/>
        </w:rPr>
        <w:t>政策支持，着重加强革命老区特色化管理。</w:t>
      </w:r>
    </w:p>
    <w:p w14:paraId="09D6D730">
      <w:pPr>
        <w:spacing w:before="3" w:line="331" w:lineRule="auto"/>
        <w:ind w:left="4" w:firstLine="628"/>
        <w:jc w:val="both"/>
        <w:rPr>
          <w:rFonts w:ascii="FangSong_GB2312" w:hAnsi="FangSong_GB2312" w:eastAsia="FangSong_GB2312" w:cs="FangSong_GB2312"/>
          <w:sz w:val="32"/>
          <w:szCs w:val="32"/>
        </w:rPr>
      </w:pPr>
      <w:r>
        <w:rPr>
          <w:rFonts w:ascii="FangSong_GB2312" w:hAnsi="FangSong_GB2312" w:eastAsia="FangSong_GB2312" w:cs="FangSong_GB2312"/>
          <w:spacing w:val="-17"/>
          <w:sz w:val="32"/>
          <w:szCs w:val="32"/>
        </w:rPr>
        <w:t>加强空间边界管理与用途管控。构建“一核引领、两谷育田、</w:t>
      </w:r>
      <w:r>
        <w:rPr>
          <w:rFonts w:ascii="FangSong_GB2312" w:hAnsi="FangSong_GB2312" w:eastAsia="FangSong_GB2312" w:cs="FangSong_GB2312"/>
          <w:spacing w:val="-9"/>
          <w:sz w:val="32"/>
          <w:szCs w:val="32"/>
        </w:rPr>
        <w:t>三脉筑屏”的国土空间总体格局，全面落实国土空间规划，严守</w:t>
      </w:r>
      <w:r>
        <w:rPr>
          <w:rFonts w:ascii="FangSong_GB2312" w:hAnsi="FangSong_GB2312" w:eastAsia="FangSong_GB2312" w:cs="FangSong_GB2312"/>
          <w:spacing w:val="-5"/>
          <w:sz w:val="32"/>
          <w:szCs w:val="32"/>
        </w:rPr>
        <w:t>永久基本农田、生态保护红线和城镇开发边界等空间管控边界，</w:t>
      </w:r>
      <w:r>
        <w:rPr>
          <w:rFonts w:ascii="FangSong_GB2312" w:hAnsi="FangSong_GB2312" w:eastAsia="FangSong_GB2312" w:cs="FangSong_GB2312"/>
          <w:spacing w:val="-9"/>
          <w:sz w:val="32"/>
          <w:szCs w:val="32"/>
        </w:rPr>
        <w:t>建立和实施常态化国土动态监测评估预警和监管机制。优化矿业</w:t>
      </w:r>
      <w:r>
        <w:rPr>
          <w:rFonts w:ascii="FangSong_GB2312" w:hAnsi="FangSong_GB2312" w:eastAsia="FangSong_GB2312" w:cs="FangSong_GB2312"/>
          <w:spacing w:val="-8"/>
          <w:sz w:val="32"/>
          <w:szCs w:val="32"/>
        </w:rPr>
        <w:t>勘查开发与保护布局，推进稀土矿等珍稀资</w:t>
      </w:r>
      <w:r>
        <w:rPr>
          <w:rFonts w:ascii="FangSong_GB2312" w:hAnsi="FangSong_GB2312" w:eastAsia="FangSong_GB2312" w:cs="FangSong_GB2312"/>
          <w:spacing w:val="-9"/>
          <w:sz w:val="32"/>
          <w:szCs w:val="32"/>
        </w:rPr>
        <w:t>源依法合理开发。落</w:t>
      </w:r>
      <w:r>
        <w:rPr>
          <w:rFonts w:ascii="FangSong_GB2312" w:hAnsi="FangSong_GB2312" w:eastAsia="FangSong_GB2312" w:cs="FangSong_GB2312"/>
          <w:spacing w:val="-8"/>
          <w:sz w:val="32"/>
          <w:szCs w:val="32"/>
        </w:rPr>
        <w:t>实水域岸线用途管制，合理划分岸线保护区</w:t>
      </w:r>
      <w:r>
        <w:rPr>
          <w:rFonts w:ascii="FangSong_GB2312" w:hAnsi="FangSong_GB2312" w:eastAsia="FangSong_GB2312" w:cs="FangSong_GB2312"/>
          <w:spacing w:val="-9"/>
          <w:sz w:val="32"/>
          <w:szCs w:val="32"/>
        </w:rPr>
        <w:t>、保留区、限制区和</w:t>
      </w:r>
      <w:r>
        <w:rPr>
          <w:rFonts w:ascii="FangSong_GB2312" w:hAnsi="FangSong_GB2312" w:eastAsia="FangSong_GB2312" w:cs="FangSong_GB2312"/>
          <w:spacing w:val="-16"/>
          <w:sz w:val="32"/>
          <w:szCs w:val="32"/>
        </w:rPr>
        <w:t>开发利用区。</w:t>
      </w:r>
    </w:p>
    <w:p w14:paraId="1C441A8A">
      <w:pPr>
        <w:spacing w:before="3" w:line="331" w:lineRule="auto"/>
        <w:ind w:right="98" w:firstLine="651"/>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落实生态环境分区管控制度。全面实施“三线</w:t>
      </w:r>
      <w:r>
        <w:rPr>
          <w:rFonts w:ascii="FangSong_GB2312" w:hAnsi="FangSong_GB2312" w:eastAsia="FangSong_GB2312" w:cs="FangSong_GB2312"/>
          <w:spacing w:val="-10"/>
          <w:sz w:val="32"/>
          <w:szCs w:val="32"/>
        </w:rPr>
        <w:t>一单”生态环</w:t>
      </w:r>
      <w:r>
        <w:rPr>
          <w:rFonts w:ascii="FangSong_GB2312" w:hAnsi="FangSong_GB2312" w:eastAsia="FangSong_GB2312" w:cs="FangSong_GB2312"/>
          <w:spacing w:val="-8"/>
          <w:sz w:val="32"/>
          <w:szCs w:val="32"/>
        </w:rPr>
        <w:t>境分区管控制度，持续健全生态环境源头预防体系，</w:t>
      </w:r>
      <w:r>
        <w:rPr>
          <w:rFonts w:ascii="FangSong_GB2312" w:hAnsi="FangSong_GB2312" w:eastAsia="FangSong_GB2312" w:cs="FangSong_GB2312"/>
          <w:spacing w:val="-9"/>
          <w:sz w:val="32"/>
          <w:szCs w:val="32"/>
        </w:rPr>
        <w:t>加强“三线</w:t>
      </w:r>
      <w:r>
        <w:rPr>
          <w:rFonts w:ascii="FangSong_GB2312" w:hAnsi="FangSong_GB2312" w:eastAsia="FangSong_GB2312" w:cs="FangSong_GB2312"/>
          <w:spacing w:val="-8"/>
          <w:sz w:val="32"/>
          <w:szCs w:val="32"/>
        </w:rPr>
        <w:t>一单”在政策制定、环境准入、园区管理、执法监管</w:t>
      </w:r>
      <w:r>
        <w:rPr>
          <w:rFonts w:ascii="FangSong_GB2312" w:hAnsi="FangSong_GB2312" w:eastAsia="FangSong_GB2312" w:cs="FangSong_GB2312"/>
          <w:spacing w:val="-9"/>
          <w:sz w:val="32"/>
          <w:szCs w:val="32"/>
        </w:rPr>
        <w:t>等方面的应</w:t>
      </w:r>
      <w:r>
        <w:rPr>
          <w:rFonts w:ascii="FangSong_GB2312" w:hAnsi="FangSong_GB2312" w:eastAsia="FangSong_GB2312" w:cs="FangSong_GB2312"/>
          <w:spacing w:val="-8"/>
          <w:sz w:val="32"/>
          <w:szCs w:val="32"/>
        </w:rPr>
        <w:t>用，明确鼓励、引导、限制、禁止等行为。做好“</w:t>
      </w:r>
      <w:r>
        <w:rPr>
          <w:rFonts w:ascii="FangSong_GB2312" w:hAnsi="FangSong_GB2312" w:eastAsia="FangSong_GB2312" w:cs="FangSong_GB2312"/>
          <w:spacing w:val="-9"/>
          <w:sz w:val="32"/>
          <w:szCs w:val="32"/>
        </w:rPr>
        <w:t>三线一单”跟踪评估、更新调整、信息共享和应用系统的建设运行工作。</w:t>
      </w:r>
    </w:p>
    <w:p w14:paraId="27B8A1A5">
      <w:pPr>
        <w:spacing w:before="1" w:line="216" w:lineRule="auto"/>
        <w:ind w:left="621"/>
        <w:rPr>
          <w:rFonts w:ascii="KaiTi_GB2312" w:hAnsi="KaiTi_GB2312" w:eastAsia="KaiTi_GB2312" w:cs="KaiTi_GB2312"/>
          <w:sz w:val="32"/>
          <w:szCs w:val="32"/>
        </w:rPr>
      </w:pPr>
      <w:r>
        <w:rPr>
          <w:rFonts w:ascii="KaiTi_GB2312" w:hAnsi="KaiTi_GB2312" w:eastAsia="KaiTi_GB2312" w:cs="KaiTi_GB2312"/>
          <w:spacing w:val="-10"/>
          <w:sz w:val="32"/>
          <w:szCs w:val="32"/>
        </w:rPr>
        <w:t>（三）优化生态农业城镇空间</w:t>
      </w:r>
    </w:p>
    <w:p w14:paraId="66C603E7">
      <w:pPr>
        <w:spacing w:before="199" w:line="331" w:lineRule="auto"/>
        <w:ind w:left="4" w:right="96" w:firstLine="625"/>
        <w:jc w:val="both"/>
        <w:rPr>
          <w:rFonts w:ascii="FangSong_GB2312" w:hAnsi="FangSong_GB2312" w:eastAsia="FangSong_GB2312" w:cs="FangSong_GB2312"/>
          <w:sz w:val="32"/>
          <w:szCs w:val="32"/>
        </w:rPr>
      </w:pPr>
      <w:r>
        <w:rPr>
          <w:rFonts w:ascii="FangSong_GB2312" w:hAnsi="FangSong_GB2312" w:eastAsia="FangSong_GB2312" w:cs="FangSong_GB2312"/>
          <w:spacing w:val="-12"/>
          <w:sz w:val="32"/>
          <w:szCs w:val="32"/>
        </w:rPr>
        <w:t>促进生态空间质量提升。完善自然保护地整合优化工作，</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12"/>
          <w:sz w:val="32"/>
          <w:szCs w:val="32"/>
        </w:rPr>
        <w:t>着</w:t>
      </w:r>
      <w:r>
        <w:rPr>
          <w:rFonts w:ascii="FangSong_GB2312" w:hAnsi="FangSong_GB2312" w:eastAsia="FangSong_GB2312" w:cs="FangSong_GB2312"/>
          <w:spacing w:val="-9"/>
          <w:sz w:val="32"/>
          <w:szCs w:val="32"/>
        </w:rPr>
        <w:t>力构建以国家公园为主体的特色自然保护地体系。健全自然保护地管理机构，提升管理水平，严格管控自然保护地范围内非生态</w:t>
      </w:r>
      <w:r>
        <w:rPr>
          <w:rFonts w:ascii="FangSong_GB2312" w:hAnsi="FangSong_GB2312" w:eastAsia="FangSong_GB2312" w:cs="FangSong_GB2312"/>
          <w:spacing w:val="-8"/>
          <w:sz w:val="32"/>
          <w:szCs w:val="32"/>
        </w:rPr>
        <w:t>活动。加强森林、草地、农田、湿地碳汇支</w:t>
      </w:r>
      <w:r>
        <w:rPr>
          <w:rFonts w:ascii="FangSong_GB2312" w:hAnsi="FangSong_GB2312" w:eastAsia="FangSong_GB2312" w:cs="FangSong_GB2312"/>
          <w:spacing w:val="-9"/>
          <w:sz w:val="32"/>
          <w:szCs w:val="32"/>
        </w:rPr>
        <w:t>持政策体系和标准建设，构建以天然林为主体的森林生态系统，逐步提升森林蓄积量和森林碳汇储量。加强兴国丹霞地质公园、九连山国家级自然保</w:t>
      </w:r>
      <w:r>
        <w:rPr>
          <w:rFonts w:ascii="FangSong_GB2312" w:hAnsi="FangSong_GB2312" w:eastAsia="FangSong_GB2312" w:cs="FangSong_GB2312"/>
          <w:spacing w:val="-16"/>
          <w:sz w:val="32"/>
          <w:szCs w:val="32"/>
        </w:rPr>
        <w:t>护区等建设。</w:t>
      </w:r>
    </w:p>
    <w:p w14:paraId="01BC2BED">
      <w:pPr>
        <w:spacing w:line="331" w:lineRule="auto"/>
        <w:rPr>
          <w:rFonts w:ascii="FangSong_GB2312" w:hAnsi="FangSong_GB2312" w:eastAsia="FangSong_GB2312" w:cs="FangSong_GB2312"/>
          <w:sz w:val="32"/>
          <w:szCs w:val="32"/>
        </w:rPr>
        <w:sectPr>
          <w:footerReference r:id="rId17" w:type="default"/>
          <w:pgSz w:w="11905" w:h="16840"/>
          <w:pgMar w:top="1431" w:right="1480" w:bottom="1867" w:left="1592" w:header="0" w:footer="1506" w:gutter="0"/>
          <w:cols w:space="720" w:num="1"/>
        </w:sectPr>
      </w:pPr>
    </w:p>
    <w:p w14:paraId="00E6EFA2">
      <w:pPr>
        <w:spacing w:line="341" w:lineRule="auto"/>
        <w:rPr>
          <w:rFonts w:ascii="Arial"/>
          <w:sz w:val="21"/>
        </w:rPr>
      </w:pPr>
    </w:p>
    <w:p w14:paraId="3FB87370">
      <w:pPr>
        <w:spacing w:line="341" w:lineRule="auto"/>
        <w:rPr>
          <w:rFonts w:ascii="Arial"/>
          <w:sz w:val="21"/>
        </w:rPr>
      </w:pPr>
    </w:p>
    <w:p w14:paraId="79259FF7">
      <w:pPr>
        <w:spacing w:before="104" w:line="331" w:lineRule="auto"/>
        <w:ind w:left="1" w:right="82" w:firstLine="62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保育农业空间安全高产。构建“一带四区多群”的农业产业空间格局。严格落实耕地“三位一体”保护，优先在永久基本农田上建设粮食生产功能区和重要农产品生产保护区。促进农业空</w:t>
      </w:r>
      <w:r>
        <w:rPr>
          <w:rFonts w:ascii="FangSong_GB2312" w:hAnsi="FangSong_GB2312" w:eastAsia="FangSong_GB2312" w:cs="FangSong_GB2312"/>
          <w:spacing w:val="-15"/>
          <w:sz w:val="32"/>
          <w:szCs w:val="32"/>
        </w:rPr>
        <w:t>间高效利用，提高耕地集中连片度。推进村庄规</w:t>
      </w:r>
      <w:r>
        <w:rPr>
          <w:rFonts w:ascii="FangSong_GB2312" w:hAnsi="FangSong_GB2312" w:eastAsia="FangSong_GB2312" w:cs="FangSong_GB2312"/>
          <w:spacing w:val="-16"/>
          <w:sz w:val="32"/>
          <w:szCs w:val="32"/>
        </w:rPr>
        <w:t>划，</w:t>
      </w:r>
      <w:r>
        <w:rPr>
          <w:rFonts w:ascii="FangSong_GB2312" w:hAnsi="FangSong_GB2312" w:eastAsia="FangSong_GB2312" w:cs="FangSong_GB2312"/>
          <w:spacing w:val="32"/>
          <w:sz w:val="32"/>
          <w:szCs w:val="32"/>
        </w:rPr>
        <w:t xml:space="preserve"> </w:t>
      </w:r>
      <w:r>
        <w:rPr>
          <w:rFonts w:ascii="FangSong_GB2312" w:hAnsi="FangSong_GB2312" w:eastAsia="FangSong_GB2312" w:cs="FangSong_GB2312"/>
          <w:spacing w:val="-16"/>
          <w:sz w:val="32"/>
          <w:szCs w:val="32"/>
        </w:rPr>
        <w:t>改善农田及</w:t>
      </w:r>
      <w:r>
        <w:rPr>
          <w:rFonts w:ascii="FangSong_GB2312" w:hAnsi="FangSong_GB2312" w:eastAsia="FangSong_GB2312" w:cs="FangSong_GB2312"/>
          <w:spacing w:val="-17"/>
          <w:sz w:val="32"/>
          <w:szCs w:val="32"/>
        </w:rPr>
        <w:t>周边环境。</w:t>
      </w:r>
    </w:p>
    <w:p w14:paraId="7BA6B3B4">
      <w:pPr>
        <w:spacing w:before="5" w:line="331" w:lineRule="auto"/>
        <w:ind w:right="83" w:firstLine="628"/>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加强城镇空间生态治理。构建“一主两副、两轴三带”的城</w:t>
      </w:r>
      <w:r>
        <w:rPr>
          <w:rFonts w:ascii="FangSong_GB2312" w:hAnsi="FangSong_GB2312" w:eastAsia="FangSong_GB2312" w:cs="FangSong_GB2312"/>
          <w:spacing w:val="-8"/>
          <w:sz w:val="32"/>
          <w:szCs w:val="32"/>
        </w:rPr>
        <w:t>镇空间结构。开展城镇生态空间修复治理，</w:t>
      </w:r>
      <w:r>
        <w:rPr>
          <w:rFonts w:ascii="FangSong_GB2312" w:hAnsi="FangSong_GB2312" w:eastAsia="FangSong_GB2312" w:cs="FangSong_GB2312"/>
          <w:spacing w:val="-9"/>
          <w:sz w:val="32"/>
          <w:szCs w:val="32"/>
        </w:rPr>
        <w:t>优化城市空间结构，提高城市蓝绿空间占比，营造城市内部蓝绿空间网络，构筑环城</w:t>
      </w:r>
      <w:r>
        <w:rPr>
          <w:rFonts w:ascii="FangSong_GB2312" w:hAnsi="FangSong_GB2312" w:eastAsia="FangSong_GB2312" w:cs="FangSong_GB2312"/>
          <w:spacing w:val="-13"/>
          <w:sz w:val="32"/>
          <w:szCs w:val="32"/>
        </w:rPr>
        <w:t>市外围生态防护带。依托河流水系、交通要道生态廊道网络，</w:t>
      </w:r>
      <w:r>
        <w:rPr>
          <w:rFonts w:ascii="FangSong_GB2312" w:hAnsi="FangSong_GB2312" w:eastAsia="FangSong_GB2312" w:cs="FangSong_GB2312"/>
          <w:spacing w:val="-29"/>
          <w:sz w:val="32"/>
          <w:szCs w:val="32"/>
        </w:rPr>
        <w:t xml:space="preserve"> </w:t>
      </w:r>
      <w:r>
        <w:rPr>
          <w:rFonts w:ascii="FangSong_GB2312" w:hAnsi="FangSong_GB2312" w:eastAsia="FangSong_GB2312" w:cs="FangSong_GB2312"/>
          <w:spacing w:val="-13"/>
          <w:sz w:val="32"/>
          <w:szCs w:val="32"/>
        </w:rPr>
        <w:t>构</w:t>
      </w:r>
      <w:r>
        <w:rPr>
          <w:rFonts w:ascii="FangSong_GB2312" w:hAnsi="FangSong_GB2312" w:eastAsia="FangSong_GB2312" w:cs="FangSong_GB2312"/>
          <w:spacing w:val="-12"/>
          <w:sz w:val="32"/>
          <w:szCs w:val="32"/>
        </w:rPr>
        <w:t>建生态绿道、遗产廊道。</w:t>
      </w:r>
    </w:p>
    <w:p w14:paraId="7EAD274D">
      <w:pPr>
        <w:spacing w:before="1" w:line="221" w:lineRule="auto"/>
        <w:ind w:left="647"/>
        <w:outlineLvl w:val="0"/>
        <w:rPr>
          <w:rFonts w:ascii="黑体" w:hAnsi="黑体" w:eastAsia="黑体" w:cs="黑体"/>
          <w:sz w:val="32"/>
          <w:szCs w:val="32"/>
        </w:rPr>
      </w:pPr>
      <w:r>
        <w:rPr>
          <w:rFonts w:ascii="黑体" w:hAnsi="黑体" w:eastAsia="黑体" w:cs="黑体"/>
          <w:spacing w:val="-9"/>
          <w:sz w:val="32"/>
          <w:szCs w:val="32"/>
        </w:rPr>
        <w:t>四、形成绿色低碳的发展方式</w:t>
      </w:r>
    </w:p>
    <w:p w14:paraId="22EB1651">
      <w:pPr>
        <w:spacing w:before="192" w:line="331" w:lineRule="auto"/>
        <w:ind w:left="3" w:right="83" w:firstLine="638"/>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坚持创新引领，以实现减污降碳协同增效为总抓手，推</w:t>
      </w:r>
      <w:r>
        <w:rPr>
          <w:rFonts w:ascii="FangSong_GB2312" w:hAnsi="FangSong_GB2312" w:eastAsia="FangSong_GB2312" w:cs="FangSong_GB2312"/>
          <w:spacing w:val="-10"/>
          <w:sz w:val="32"/>
          <w:szCs w:val="32"/>
        </w:rPr>
        <w:t>动发</w:t>
      </w:r>
      <w:r>
        <w:rPr>
          <w:rFonts w:ascii="FangSong_GB2312" w:hAnsi="FangSong_GB2312" w:eastAsia="FangSong_GB2312" w:cs="FangSong_GB2312"/>
          <w:spacing w:val="-9"/>
          <w:sz w:val="32"/>
          <w:szCs w:val="32"/>
        </w:rPr>
        <w:t>展方式全面绿色转型，有计划分步骤推进碳达峰碳中和，不断塑</w:t>
      </w:r>
      <w:r>
        <w:rPr>
          <w:rFonts w:ascii="FangSong_GB2312" w:hAnsi="FangSong_GB2312" w:eastAsia="FangSong_GB2312" w:cs="FangSong_GB2312"/>
          <w:spacing w:val="-14"/>
          <w:sz w:val="32"/>
          <w:szCs w:val="32"/>
        </w:rPr>
        <w:t>造发展的新动能、新优势， 构建绿色低碳循环产业体系，全面拓</w:t>
      </w:r>
      <w:r>
        <w:rPr>
          <w:rFonts w:ascii="FangSong_GB2312" w:hAnsi="FangSong_GB2312" w:eastAsia="FangSong_GB2312" w:cs="FangSong_GB2312"/>
          <w:spacing w:val="-9"/>
          <w:sz w:val="32"/>
          <w:szCs w:val="32"/>
        </w:rPr>
        <w:t>展优质生态环境产品供给和价值实现路径，厚植高质量发展的绿色底色，争创新时代“第一等”的高质量发展态</w:t>
      </w:r>
      <w:r>
        <w:rPr>
          <w:rFonts w:ascii="FangSong_GB2312" w:hAnsi="FangSong_GB2312" w:eastAsia="FangSong_GB2312" w:cs="FangSong_GB2312"/>
          <w:spacing w:val="-10"/>
          <w:sz w:val="32"/>
          <w:szCs w:val="32"/>
        </w:rPr>
        <w:t>势和业绩。</w:t>
      </w:r>
    </w:p>
    <w:p w14:paraId="57FF8BD4">
      <w:pPr>
        <w:spacing w:line="214"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（一）积极稳妥推动碳达峰碳中和</w:t>
      </w:r>
    </w:p>
    <w:p w14:paraId="2EE6B0CF">
      <w:pPr>
        <w:spacing w:before="203" w:line="331" w:lineRule="auto"/>
        <w:ind w:left="2" w:firstLine="634"/>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有计划分步骤推动碳达峰。推进全市二氧化碳排放达峰行</w:t>
      </w:r>
      <w:r>
        <w:rPr>
          <w:rFonts w:ascii="FangSong_GB2312" w:hAnsi="FangSong_GB2312" w:eastAsia="FangSong_GB2312" w:cs="FangSong_GB2312"/>
          <w:spacing w:val="-9"/>
          <w:sz w:val="32"/>
          <w:szCs w:val="32"/>
        </w:rPr>
        <w:t>动，明确全市以及工业、能源、交通运输、城乡建设领域碳达峰</w:t>
      </w:r>
      <w:r>
        <w:rPr>
          <w:rFonts w:ascii="FangSong_GB2312" w:hAnsi="FangSong_GB2312" w:eastAsia="FangSong_GB2312" w:cs="FangSong_GB2312"/>
          <w:spacing w:val="-16"/>
          <w:sz w:val="32"/>
          <w:szCs w:val="32"/>
        </w:rPr>
        <w:t>路线图。由能耗“双控”逐步向碳排放总量和强</w:t>
      </w:r>
      <w:r>
        <w:rPr>
          <w:rFonts w:ascii="FangSong_GB2312" w:hAnsi="FangSong_GB2312" w:eastAsia="FangSong_GB2312" w:cs="FangSong_GB2312"/>
          <w:spacing w:val="-17"/>
          <w:sz w:val="32"/>
          <w:szCs w:val="32"/>
        </w:rPr>
        <w:t>度“双控”转变，</w:t>
      </w:r>
      <w:r>
        <w:rPr>
          <w:rFonts w:ascii="FangSong_GB2312" w:hAnsi="FangSong_GB2312" w:eastAsia="FangSong_GB2312" w:cs="FangSong_GB2312"/>
          <w:spacing w:val="-9"/>
          <w:sz w:val="32"/>
          <w:szCs w:val="32"/>
        </w:rPr>
        <w:t>推动化石能源向可再生能源转型，加强对建材、有色、钢铁、化工等重点用能行业能源消耗监管。严格高耗能高排放项目准入管</w:t>
      </w:r>
    </w:p>
    <w:p w14:paraId="5D09DE4C">
      <w:pPr>
        <w:spacing w:line="331" w:lineRule="auto"/>
        <w:rPr>
          <w:rFonts w:ascii="FangSong_GB2312" w:hAnsi="FangSong_GB2312" w:eastAsia="FangSong_GB2312" w:cs="FangSong_GB2312"/>
          <w:sz w:val="32"/>
          <w:szCs w:val="32"/>
        </w:rPr>
        <w:sectPr>
          <w:footerReference r:id="rId18" w:type="default"/>
          <w:pgSz w:w="11905" w:h="16840"/>
          <w:pgMar w:top="1431" w:right="1494" w:bottom="1867" w:left="1597" w:header="0" w:footer="1504" w:gutter="0"/>
          <w:cols w:space="720" w:num="1"/>
        </w:sectPr>
      </w:pPr>
    </w:p>
    <w:p w14:paraId="5D3F1039">
      <w:pPr>
        <w:spacing w:line="341" w:lineRule="auto"/>
        <w:rPr>
          <w:rFonts w:ascii="Arial"/>
          <w:sz w:val="21"/>
        </w:rPr>
      </w:pPr>
    </w:p>
    <w:p w14:paraId="7D6EFDCF">
      <w:pPr>
        <w:spacing w:line="342" w:lineRule="auto"/>
        <w:rPr>
          <w:rFonts w:ascii="Arial"/>
          <w:sz w:val="21"/>
        </w:rPr>
      </w:pPr>
    </w:p>
    <w:p w14:paraId="2CE8D617">
      <w:pPr>
        <w:spacing w:before="104" w:line="331" w:lineRule="auto"/>
        <w:ind w:left="9" w:right="31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理，遏制“两高一低”项目盲目发展，加大对存量高耗能高排放项目的节能改造和落后产能淘汰力度。深化国家低碳城市、省级</w:t>
      </w:r>
      <w:r>
        <w:rPr>
          <w:rFonts w:ascii="FangSong_GB2312" w:hAnsi="FangSong_GB2312" w:eastAsia="FangSong_GB2312" w:cs="FangSong_GB2312"/>
          <w:spacing w:val="-10"/>
          <w:sz w:val="32"/>
          <w:szCs w:val="32"/>
        </w:rPr>
        <w:t>绿色低碳县等试点建设，引领带动全市碳达峰行动。</w:t>
      </w:r>
    </w:p>
    <w:p w14:paraId="11A34148">
      <w:pPr>
        <w:pStyle w:val="2"/>
        <w:spacing w:before="3" w:line="331" w:lineRule="auto"/>
        <w:ind w:right="315" w:firstLine="635"/>
        <w:jc w:val="both"/>
        <w:rPr>
          <w:rFonts w:ascii="FangSong_GB2312" w:hAnsi="FangSong_GB2312" w:eastAsia="FangSong_GB2312" w:cs="FangSong_GB2312"/>
        </w:rPr>
      </w:pPr>
      <w:r>
        <w:rPr>
          <w:rFonts w:ascii="FangSong_GB2312" w:hAnsi="FangSong_GB2312" w:eastAsia="FangSong_GB2312" w:cs="FangSong_GB2312"/>
          <w:spacing w:val="-13"/>
        </w:rPr>
        <w:t>积极谋划碳中和能力建设。开展近零排放示范工程建设，</w:t>
      </w:r>
      <w:r>
        <w:rPr>
          <w:rFonts w:ascii="FangSong_GB2312" w:hAnsi="FangSong_GB2312" w:eastAsia="FangSong_GB2312" w:cs="FangSong_GB2312"/>
          <w:spacing w:val="-46"/>
        </w:rPr>
        <w:t xml:space="preserve"> </w:t>
      </w:r>
      <w:r>
        <w:rPr>
          <w:rFonts w:ascii="FangSong_GB2312" w:hAnsi="FangSong_GB2312" w:eastAsia="FangSong_GB2312" w:cs="FangSong_GB2312"/>
          <w:spacing w:val="-13"/>
        </w:rPr>
        <w:t>创</w:t>
      </w:r>
      <w:r>
        <w:rPr>
          <w:rFonts w:ascii="FangSong_GB2312" w:hAnsi="FangSong_GB2312" w:eastAsia="FangSong_GB2312" w:cs="FangSong_GB2312"/>
          <w:spacing w:val="-8"/>
        </w:rPr>
        <w:t>建一批零碳园区、零碳社区、零碳校园等零碳示范</w:t>
      </w:r>
      <w:r>
        <w:rPr>
          <w:rFonts w:ascii="FangSong_GB2312" w:hAnsi="FangSong_GB2312" w:eastAsia="FangSong_GB2312" w:cs="FangSong_GB2312"/>
          <w:spacing w:val="-9"/>
        </w:rPr>
        <w:t>。推进零碳技</w:t>
      </w:r>
      <w:r>
        <w:rPr>
          <w:rFonts w:ascii="FangSong_GB2312" w:hAnsi="FangSong_GB2312" w:eastAsia="FangSong_GB2312" w:cs="FangSong_GB2312"/>
          <w:spacing w:val="-8"/>
        </w:rPr>
        <w:t>术创新研发应用，在电力、钢铁等重点行业探索推广</w:t>
      </w:r>
      <w:r>
        <w:rPr>
          <w:rFonts w:ascii="FangSong_GB2312" w:hAnsi="FangSong_GB2312" w:eastAsia="FangSong_GB2312" w:cs="FangSong_GB2312"/>
          <w:spacing w:val="-9"/>
        </w:rPr>
        <w:t>碳捕集利用</w:t>
      </w:r>
      <w:r>
        <w:rPr>
          <w:rFonts w:ascii="FangSong_GB2312" w:hAnsi="FangSong_GB2312" w:eastAsia="FangSong_GB2312" w:cs="FangSong_GB2312"/>
          <w:spacing w:val="-8"/>
        </w:rPr>
        <w:t>与封存（</w:t>
      </w:r>
      <w:r>
        <w:rPr>
          <w:spacing w:val="-8"/>
        </w:rPr>
        <w:t>CCUS</w:t>
      </w:r>
      <w:r>
        <w:rPr>
          <w:rFonts w:ascii="FangSong_GB2312" w:hAnsi="FangSong_GB2312" w:eastAsia="FangSong_GB2312" w:cs="FangSong_GB2312"/>
          <w:spacing w:val="-8"/>
        </w:rPr>
        <w:t>）等负碳技术。通过场馆绿色建筑设计、提供清洁</w:t>
      </w:r>
      <w:r>
        <w:rPr>
          <w:rFonts w:ascii="FangSong_GB2312" w:hAnsi="FangSong_GB2312" w:eastAsia="FangSong_GB2312" w:cs="FangSong_GB2312"/>
          <w:spacing w:val="-14"/>
        </w:rPr>
        <w:t>能源、智慧管理等手段， 推动大型会议、赛事、展览等活动实现</w:t>
      </w:r>
      <w:r>
        <w:rPr>
          <w:rFonts w:ascii="FangSong_GB2312" w:hAnsi="FangSong_GB2312" w:eastAsia="FangSong_GB2312" w:cs="FangSong_GB2312"/>
          <w:spacing w:val="-13"/>
        </w:rPr>
        <w:t>碳中和举办。积极申报创建碳中和试点，</w:t>
      </w:r>
      <w:r>
        <w:rPr>
          <w:rFonts w:ascii="FangSong_GB2312" w:hAnsi="FangSong_GB2312" w:eastAsia="FangSong_GB2312" w:cs="FangSong_GB2312"/>
          <w:spacing w:val="-27"/>
        </w:rPr>
        <w:t xml:space="preserve"> </w:t>
      </w:r>
      <w:r>
        <w:rPr>
          <w:rFonts w:ascii="FangSong_GB2312" w:hAnsi="FangSong_GB2312" w:eastAsia="FangSong_GB2312" w:cs="FangSong_GB2312"/>
          <w:spacing w:val="-13"/>
        </w:rPr>
        <w:t>深化崇义上堡梯田碳中</w:t>
      </w:r>
      <w:r>
        <w:rPr>
          <w:rFonts w:ascii="FangSong_GB2312" w:hAnsi="FangSong_GB2312" w:eastAsia="FangSong_GB2312" w:cs="FangSong_GB2312"/>
          <w:spacing w:val="-11"/>
        </w:rPr>
        <w:t>和试点建设，探索推广碳中和经验。</w:t>
      </w:r>
    </w:p>
    <w:p w14:paraId="0D188258">
      <w:pPr>
        <w:spacing w:before="1" w:line="215" w:lineRule="auto"/>
        <w:ind w:left="620"/>
        <w:rPr>
          <w:rFonts w:ascii="KaiTi_GB2312" w:hAnsi="KaiTi_GB2312" w:eastAsia="KaiTi_GB2312" w:cs="KaiTi_GB2312"/>
          <w:sz w:val="32"/>
          <w:szCs w:val="32"/>
        </w:rPr>
      </w:pPr>
      <w:r>
        <w:rPr>
          <w:rFonts w:ascii="KaiTi_GB2312" w:hAnsi="KaiTi_GB2312" w:eastAsia="KaiTi_GB2312" w:cs="KaiTi_GB2312"/>
          <w:spacing w:val="-10"/>
          <w:sz w:val="32"/>
          <w:szCs w:val="32"/>
        </w:rPr>
        <w:t>（二）构建绿色低碳产业体系</w:t>
      </w:r>
    </w:p>
    <w:p w14:paraId="553A58B1">
      <w:pPr>
        <w:pStyle w:val="2"/>
        <w:spacing w:before="199" w:line="331" w:lineRule="auto"/>
        <w:ind w:left="11" w:right="317" w:firstLine="621"/>
        <w:rPr>
          <w:rFonts w:ascii="FangSong_GB2312" w:hAnsi="FangSong_GB2312" w:eastAsia="FangSong_GB2312" w:cs="FangSong_GB2312"/>
        </w:rPr>
      </w:pPr>
      <w:r>
        <w:rPr>
          <w:rFonts w:ascii="FangSong_GB2312" w:hAnsi="FangSong_GB2312" w:eastAsia="FangSong_GB2312" w:cs="FangSong_GB2312"/>
          <w:spacing w:val="-14"/>
        </w:rPr>
        <w:t>加快建设绿色先进制造高地。大力推动产业绿色转</w:t>
      </w:r>
      <w:r>
        <w:rPr>
          <w:rFonts w:ascii="FangSong_GB2312" w:hAnsi="FangSong_GB2312" w:eastAsia="FangSong_GB2312" w:cs="FangSong_GB2312"/>
          <w:spacing w:val="-15"/>
        </w:rPr>
        <w:t>型， 以绿</w:t>
      </w:r>
      <w:r>
        <w:rPr>
          <w:rFonts w:ascii="FangSong_GB2312" w:hAnsi="FangSong_GB2312" w:eastAsia="FangSong_GB2312" w:cs="FangSong_GB2312"/>
          <w:spacing w:val="-5"/>
        </w:rPr>
        <w:t>色制造为重点方向，着力推进“</w:t>
      </w:r>
      <w:r>
        <w:rPr>
          <w:spacing w:val="-5"/>
        </w:rPr>
        <w:t>1+5+N</w:t>
      </w:r>
      <w:r>
        <w:rPr>
          <w:rFonts w:ascii="FangSong_GB2312" w:hAnsi="FangSong_GB2312" w:eastAsia="FangSong_GB2312" w:cs="FangSong_GB2312"/>
          <w:spacing w:val="-5"/>
        </w:rPr>
        <w:t>”产业绿色高质量发展，</w:t>
      </w:r>
    </w:p>
    <w:p w14:paraId="72CD4741">
      <w:pPr>
        <w:spacing w:before="4" w:line="330" w:lineRule="auto"/>
        <w:ind w:left="11" w:right="316" w:hanging="5"/>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推动产业链价值链现代化高端化。加快新一代信息技术等战略性新兴产业和未来产业发展，壮大低碳、零碳、负碳产业，超前布局前沿科技和产业化运用。积极创建国家重点实验室、技术创新中心、企业技术中心等国家创新平台，在绿色低碳、</w:t>
      </w:r>
      <w:r>
        <w:rPr>
          <w:rFonts w:ascii="FangSong_GB2312" w:hAnsi="FangSong_GB2312" w:eastAsia="FangSong_GB2312" w:cs="FangSong_GB2312"/>
          <w:spacing w:val="-10"/>
          <w:sz w:val="32"/>
          <w:szCs w:val="32"/>
        </w:rPr>
        <w:t>智能制造、</w:t>
      </w:r>
    </w:p>
    <w:p w14:paraId="4BA88719">
      <w:pPr>
        <w:spacing w:before="5" w:line="331" w:lineRule="auto"/>
        <w:ind w:left="21" w:hanging="15"/>
        <w:rPr>
          <w:rFonts w:ascii="FangSong_GB2312" w:hAnsi="FangSong_GB2312" w:eastAsia="FangSong_GB2312" w:cs="FangSong_GB2312"/>
          <w:sz w:val="32"/>
          <w:szCs w:val="32"/>
        </w:rPr>
      </w:pPr>
      <w:r>
        <w:rPr>
          <w:rFonts w:ascii="FangSong_GB2312" w:hAnsi="FangSong_GB2312" w:eastAsia="FangSong_GB2312" w:cs="FangSong_GB2312"/>
          <w:spacing w:val="-8"/>
          <w:sz w:val="32"/>
          <w:szCs w:val="32"/>
        </w:rPr>
        <w:t>产业数字化等领域取得一批重大科技成果。积极推</w:t>
      </w:r>
      <w:r>
        <w:rPr>
          <w:rFonts w:ascii="FangSong_GB2312" w:hAnsi="FangSong_GB2312" w:eastAsia="FangSong_GB2312" w:cs="FangSong_GB2312"/>
          <w:spacing w:val="-9"/>
          <w:sz w:val="32"/>
          <w:szCs w:val="32"/>
        </w:rPr>
        <w:t>动“美丽工厂”</w:t>
      </w:r>
      <w:r>
        <w:rPr>
          <w:rFonts w:ascii="FangSong_GB2312" w:hAnsi="FangSong_GB2312" w:eastAsia="FangSong_GB2312" w:cs="FangSong_GB2312"/>
          <w:spacing w:val="-11"/>
          <w:sz w:val="32"/>
          <w:szCs w:val="32"/>
        </w:rPr>
        <w:t>等示范试点建设，探索推广产业绿色转型经验。</w:t>
      </w:r>
    </w:p>
    <w:p w14:paraId="3C6B2442">
      <w:pPr>
        <w:spacing w:before="1" w:line="331" w:lineRule="auto"/>
        <w:ind w:left="11" w:right="233" w:firstLine="621"/>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构建生态有机现代农业体系。打好富硒牌、生态牌</w:t>
      </w:r>
      <w:r>
        <w:rPr>
          <w:rFonts w:ascii="FangSong_GB2312" w:hAnsi="FangSong_GB2312" w:eastAsia="FangSong_GB2312" w:cs="FangSong_GB2312"/>
          <w:spacing w:val="-15"/>
          <w:sz w:val="32"/>
          <w:szCs w:val="32"/>
        </w:rPr>
        <w:t>， 加强绿</w:t>
      </w:r>
      <w:r>
        <w:rPr>
          <w:rFonts w:ascii="FangSong_GB2312" w:hAnsi="FangSong_GB2312" w:eastAsia="FangSong_GB2312" w:cs="FangSong_GB2312"/>
          <w:spacing w:val="-17"/>
          <w:sz w:val="32"/>
          <w:szCs w:val="32"/>
        </w:rPr>
        <w:t>色有机地理标志农产品认证管理。以提质增效、绿色有机为重点，</w:t>
      </w:r>
      <w:r>
        <w:rPr>
          <w:rFonts w:ascii="FangSong_GB2312" w:hAnsi="FangSong_GB2312" w:eastAsia="FangSong_GB2312" w:cs="FangSong_GB2312"/>
          <w:spacing w:val="-9"/>
          <w:sz w:val="32"/>
          <w:szCs w:val="32"/>
        </w:rPr>
        <w:t>大力发展现代设施农业、循环农业、林下经济，做大</w:t>
      </w:r>
      <w:r>
        <w:rPr>
          <w:rFonts w:ascii="FangSong_GB2312" w:hAnsi="FangSong_GB2312" w:eastAsia="FangSong_GB2312" w:cs="FangSong_GB2312"/>
          <w:spacing w:val="-10"/>
          <w:sz w:val="32"/>
          <w:szCs w:val="32"/>
        </w:rPr>
        <w:t>做强脐橙、</w:t>
      </w:r>
    </w:p>
    <w:p w14:paraId="42EC8E2F">
      <w:pPr>
        <w:spacing w:line="331" w:lineRule="auto"/>
        <w:rPr>
          <w:rFonts w:ascii="FangSong_GB2312" w:hAnsi="FangSong_GB2312" w:eastAsia="FangSong_GB2312" w:cs="FangSong_GB2312"/>
          <w:sz w:val="32"/>
          <w:szCs w:val="32"/>
        </w:rPr>
        <w:sectPr>
          <w:footerReference r:id="rId19" w:type="default"/>
          <w:pgSz w:w="11905" w:h="16840"/>
          <w:pgMar w:top="1431" w:right="1261" w:bottom="1867" w:left="1593" w:header="0" w:footer="1506" w:gutter="0"/>
          <w:cols w:space="720" w:num="1"/>
        </w:sectPr>
      </w:pPr>
    </w:p>
    <w:p w14:paraId="739E9FC8">
      <w:pPr>
        <w:spacing w:line="343" w:lineRule="auto"/>
        <w:rPr>
          <w:rFonts w:ascii="Arial"/>
          <w:sz w:val="21"/>
        </w:rPr>
      </w:pPr>
    </w:p>
    <w:p w14:paraId="04AD148B">
      <w:pPr>
        <w:spacing w:line="344" w:lineRule="auto"/>
        <w:rPr>
          <w:rFonts w:ascii="Arial"/>
          <w:sz w:val="21"/>
        </w:rPr>
      </w:pPr>
    </w:p>
    <w:p w14:paraId="68D15624">
      <w:pPr>
        <w:spacing w:before="104" w:line="331" w:lineRule="auto"/>
        <w:ind w:left="3" w:firstLine="17"/>
        <w:rPr>
          <w:rFonts w:ascii="FangSong_GB2312" w:hAnsi="FangSong_GB2312" w:eastAsia="FangSong_GB2312" w:cs="FangSong_GB2312"/>
          <w:sz w:val="32"/>
          <w:szCs w:val="32"/>
        </w:rPr>
      </w:pPr>
      <w:r>
        <w:rPr>
          <w:rFonts w:ascii="FangSong_GB2312" w:hAnsi="FangSong_GB2312" w:eastAsia="FangSong_GB2312" w:cs="FangSong_GB2312"/>
          <w:spacing w:val="-5"/>
          <w:sz w:val="32"/>
          <w:szCs w:val="32"/>
        </w:rPr>
        <w:t>油茶、蔬菜三大农业产业，打造一批绿色优质农产品供应基地，</w:t>
      </w:r>
      <w:r>
        <w:rPr>
          <w:rFonts w:ascii="FangSong_GB2312" w:hAnsi="FangSong_GB2312" w:eastAsia="FangSong_GB2312" w:cs="FangSong_GB2312"/>
          <w:spacing w:val="-14"/>
          <w:sz w:val="32"/>
          <w:szCs w:val="32"/>
        </w:rPr>
        <w:t>争创一批绿色生态农产品出口安全示范区。加快国家（江西赣州）</w:t>
      </w:r>
      <w:r>
        <w:rPr>
          <w:rFonts w:ascii="FangSong_GB2312" w:hAnsi="FangSong_GB2312" w:eastAsia="FangSong_GB2312" w:cs="FangSong_GB2312"/>
          <w:spacing w:val="-3"/>
          <w:sz w:val="32"/>
          <w:szCs w:val="32"/>
        </w:rPr>
        <w:t>油茶产业园建设。推广绿色种养循环农业、水产生态健康养殖、</w:t>
      </w:r>
      <w:r>
        <w:rPr>
          <w:rFonts w:ascii="FangSong_GB2312" w:hAnsi="FangSong_GB2312" w:eastAsia="FangSong_GB2312" w:cs="FangSong_GB2312"/>
          <w:spacing w:val="-13"/>
          <w:sz w:val="32"/>
          <w:szCs w:val="32"/>
        </w:rPr>
        <w:t>生态休闲农业、增汇型农业等项目和模式，</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13"/>
          <w:sz w:val="32"/>
          <w:szCs w:val="32"/>
        </w:rPr>
        <w:t>普及绿色高质高效生</w:t>
      </w:r>
      <w:r>
        <w:rPr>
          <w:rFonts w:ascii="FangSong_GB2312" w:hAnsi="FangSong_GB2312" w:eastAsia="FangSong_GB2312" w:cs="FangSong_GB2312"/>
          <w:spacing w:val="-19"/>
          <w:sz w:val="32"/>
          <w:szCs w:val="32"/>
        </w:rPr>
        <w:t>产技术。</w:t>
      </w:r>
    </w:p>
    <w:p w14:paraId="5B5D329F">
      <w:pPr>
        <w:pStyle w:val="2"/>
        <w:spacing w:before="10" w:line="330" w:lineRule="auto"/>
        <w:ind w:left="3" w:right="154" w:firstLine="623"/>
        <w:jc w:val="both"/>
        <w:rPr>
          <w:rFonts w:ascii="FangSong_GB2312" w:hAnsi="FangSong_GB2312" w:eastAsia="FangSong_GB2312" w:cs="FangSong_GB2312"/>
        </w:rPr>
      </w:pPr>
      <w:r>
        <w:rPr>
          <w:rFonts w:ascii="FangSong_GB2312" w:hAnsi="FangSong_GB2312" w:eastAsia="FangSong_GB2312" w:cs="FangSong_GB2312"/>
          <w:spacing w:val="-9"/>
        </w:rPr>
        <w:t>提升服务业绿色发展水平。以数字经济赋能产业绿色智慧发</w:t>
      </w:r>
      <w:r>
        <w:rPr>
          <w:rFonts w:ascii="FangSong_GB2312" w:hAnsi="FangSong_GB2312" w:eastAsia="FangSong_GB2312" w:cs="FangSong_GB2312"/>
          <w:spacing w:val="-19"/>
        </w:rPr>
        <w:t>展，探索全生命周期管理、绿色供应链管理、数字绿色</w:t>
      </w:r>
      <w:r>
        <w:rPr>
          <w:rFonts w:ascii="FangSong_GB2312" w:hAnsi="FangSong_GB2312" w:eastAsia="FangSong_GB2312" w:cs="FangSong_GB2312"/>
          <w:spacing w:val="-20"/>
        </w:rPr>
        <w:t>金融等“生</w:t>
      </w:r>
      <w:r>
        <w:rPr>
          <w:rFonts w:ascii="FangSong_GB2312" w:hAnsi="FangSong_GB2312" w:eastAsia="FangSong_GB2312" w:cs="FangSong_GB2312"/>
          <w:spacing w:val="-3"/>
        </w:rPr>
        <w:t>态</w:t>
      </w:r>
      <w:r>
        <w:rPr>
          <w:spacing w:val="-3"/>
        </w:rPr>
        <w:t>+</w:t>
      </w:r>
      <w:r>
        <w:rPr>
          <w:rFonts w:ascii="FangSong_GB2312" w:hAnsi="FangSong_GB2312" w:eastAsia="FangSong_GB2312" w:cs="FangSong_GB2312"/>
          <w:spacing w:val="-3"/>
        </w:rPr>
        <w:t>数字”新模式和新业态。依托国家级普惠金融改革试验区建</w:t>
      </w:r>
      <w:r>
        <w:rPr>
          <w:rFonts w:ascii="FangSong_GB2312" w:hAnsi="FangSong_GB2312" w:eastAsia="FangSong_GB2312" w:cs="FangSong_GB2312"/>
          <w:spacing w:val="-9"/>
        </w:rPr>
        <w:t>设，推动绿色金融与普惠金融深度融合，引导金融资源流向绿色制造、清洁生产、生态产品经营开发等领域。促进商贸企业绿色升级，优化生活性服务业绿色供给，培育一批绿色流通主体。</w:t>
      </w:r>
    </w:p>
    <w:p w14:paraId="05827408">
      <w:pPr>
        <w:spacing w:before="3" w:line="331" w:lineRule="auto"/>
        <w:ind w:right="156" w:firstLine="634"/>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培育壮大新型环保产业。培育节能环保、清洁生产、清洁能</w:t>
      </w:r>
      <w:r>
        <w:rPr>
          <w:rFonts w:ascii="FangSong_GB2312" w:hAnsi="FangSong_GB2312" w:eastAsia="FangSong_GB2312" w:cs="FangSong_GB2312"/>
          <w:spacing w:val="-8"/>
          <w:sz w:val="32"/>
          <w:szCs w:val="32"/>
        </w:rPr>
        <w:t>源等静脉产业。着力提高节能、环保、资源</w:t>
      </w:r>
      <w:r>
        <w:rPr>
          <w:rFonts w:ascii="FangSong_GB2312" w:hAnsi="FangSong_GB2312" w:eastAsia="FangSong_GB2312" w:cs="FangSong_GB2312"/>
          <w:spacing w:val="-9"/>
          <w:sz w:val="32"/>
          <w:szCs w:val="32"/>
        </w:rPr>
        <w:t>循环利用等绿色产业</w:t>
      </w:r>
      <w:r>
        <w:rPr>
          <w:rFonts w:ascii="FangSong_GB2312" w:hAnsi="FangSong_GB2312" w:eastAsia="FangSong_GB2312" w:cs="FangSong_GB2312"/>
          <w:spacing w:val="-8"/>
          <w:sz w:val="32"/>
          <w:szCs w:val="32"/>
        </w:rPr>
        <w:t>技术装备水平，加大工业、建筑、交通等重</w:t>
      </w:r>
      <w:r>
        <w:rPr>
          <w:rFonts w:ascii="FangSong_GB2312" w:hAnsi="FangSong_GB2312" w:eastAsia="FangSong_GB2312" w:cs="FangSong_GB2312"/>
          <w:spacing w:val="-9"/>
          <w:sz w:val="32"/>
          <w:szCs w:val="32"/>
        </w:rPr>
        <w:t>点领域节能环保技术</w:t>
      </w:r>
      <w:r>
        <w:rPr>
          <w:rFonts w:ascii="FangSong_GB2312" w:hAnsi="FangSong_GB2312" w:eastAsia="FangSong_GB2312" w:cs="FangSong_GB2312"/>
          <w:spacing w:val="-8"/>
          <w:sz w:val="32"/>
          <w:szCs w:val="32"/>
        </w:rPr>
        <w:t>装备应用力度。支持生态环境修复、绿色认</w:t>
      </w:r>
      <w:r>
        <w:rPr>
          <w:rFonts w:ascii="FangSong_GB2312" w:hAnsi="FangSong_GB2312" w:eastAsia="FangSong_GB2312" w:cs="FangSong_GB2312"/>
          <w:spacing w:val="-9"/>
          <w:sz w:val="32"/>
          <w:szCs w:val="32"/>
        </w:rPr>
        <w:t>证、环境物联网等新</w:t>
      </w:r>
      <w:r>
        <w:rPr>
          <w:rFonts w:ascii="FangSong_GB2312" w:hAnsi="FangSong_GB2312" w:eastAsia="FangSong_GB2312" w:cs="FangSong_GB2312"/>
          <w:spacing w:val="-8"/>
          <w:sz w:val="32"/>
          <w:szCs w:val="32"/>
        </w:rPr>
        <w:t>兴环保服务业发展，推广环保管家、环境医</w:t>
      </w:r>
      <w:r>
        <w:rPr>
          <w:rFonts w:ascii="FangSong_GB2312" w:hAnsi="FangSong_GB2312" w:eastAsia="FangSong_GB2312" w:cs="FangSong_GB2312"/>
          <w:spacing w:val="-9"/>
          <w:sz w:val="32"/>
          <w:szCs w:val="32"/>
        </w:rPr>
        <w:t>院、环境顾问等服务</w:t>
      </w:r>
      <w:r>
        <w:rPr>
          <w:rFonts w:ascii="FangSong_GB2312" w:hAnsi="FangSong_GB2312" w:eastAsia="FangSong_GB2312" w:cs="FangSong_GB2312"/>
          <w:spacing w:val="-20"/>
          <w:sz w:val="32"/>
          <w:szCs w:val="32"/>
        </w:rPr>
        <w:t>模式。</w:t>
      </w:r>
    </w:p>
    <w:p w14:paraId="50818A73">
      <w:pPr>
        <w:spacing w:before="1" w:line="214" w:lineRule="auto"/>
        <w:ind w:left="617"/>
        <w:rPr>
          <w:rFonts w:ascii="KaiTi_GB2312" w:hAnsi="KaiTi_GB2312" w:eastAsia="KaiTi_GB2312" w:cs="KaiTi_GB2312"/>
          <w:sz w:val="32"/>
          <w:szCs w:val="32"/>
        </w:rPr>
      </w:pPr>
      <w:r>
        <w:rPr>
          <w:rFonts w:ascii="KaiTi_GB2312" w:hAnsi="KaiTi_GB2312" w:eastAsia="KaiTi_GB2312" w:cs="KaiTi_GB2312"/>
          <w:spacing w:val="-7"/>
          <w:sz w:val="32"/>
          <w:szCs w:val="32"/>
        </w:rPr>
        <w:t>（三）促进生态产品价值实现</w:t>
      </w:r>
    </w:p>
    <w:p w14:paraId="03D56A4F">
      <w:pPr>
        <w:pStyle w:val="2"/>
        <w:spacing w:before="201" w:line="330" w:lineRule="auto"/>
        <w:ind w:right="155" w:firstLine="630"/>
        <w:jc w:val="both"/>
        <w:rPr>
          <w:rFonts w:ascii="FangSong_GB2312" w:hAnsi="FangSong_GB2312" w:eastAsia="FangSong_GB2312" w:cs="FangSong_GB2312"/>
        </w:rPr>
      </w:pPr>
      <w:r>
        <w:rPr>
          <w:rFonts w:ascii="FangSong_GB2312" w:hAnsi="FangSong_GB2312" w:eastAsia="FangSong_GB2312" w:cs="FangSong_GB2312"/>
          <w:spacing w:val="-9"/>
        </w:rPr>
        <w:t>探索生态产品价值实现路径模式。深入推进生态产品产业化</w:t>
      </w:r>
      <w:r>
        <w:rPr>
          <w:rFonts w:ascii="FangSong_GB2312" w:hAnsi="FangSong_GB2312" w:eastAsia="FangSong_GB2312" w:cs="FangSong_GB2312"/>
          <w:spacing w:val="-14"/>
        </w:rPr>
        <w:t>利用，以赣南脐橙、赣南茶油、南康家具等为重点， 培育一批在</w:t>
      </w:r>
      <w:r>
        <w:rPr>
          <w:rFonts w:ascii="FangSong_GB2312" w:hAnsi="FangSong_GB2312" w:eastAsia="FangSong_GB2312" w:cs="FangSong_GB2312"/>
          <w:spacing w:val="-3"/>
        </w:rPr>
        <w:t>国内外具有竞争力和影响力的区域公共品牌。探索“生态</w:t>
      </w:r>
      <w:r>
        <w:rPr>
          <w:spacing w:val="-3"/>
        </w:rPr>
        <w:t>+</w:t>
      </w:r>
      <w:r>
        <w:rPr>
          <w:rFonts w:ascii="FangSong_GB2312" w:hAnsi="FangSong_GB2312" w:eastAsia="FangSong_GB2312" w:cs="FangSong_GB2312"/>
          <w:spacing w:val="-3"/>
        </w:rPr>
        <w:t>一二</w:t>
      </w:r>
      <w:r>
        <w:rPr>
          <w:rFonts w:ascii="FangSong_GB2312" w:hAnsi="FangSong_GB2312" w:eastAsia="FangSong_GB2312" w:cs="FangSong_GB2312"/>
          <w:spacing w:val="-8"/>
        </w:rPr>
        <w:t>三产”创新融合模式，推进旅游、文化、体育</w:t>
      </w:r>
      <w:r>
        <w:rPr>
          <w:rFonts w:ascii="FangSong_GB2312" w:hAnsi="FangSong_GB2312" w:eastAsia="FangSong_GB2312" w:cs="FangSong_GB2312"/>
          <w:spacing w:val="-9"/>
        </w:rPr>
        <w:t>、康养等产业融合</w:t>
      </w:r>
    </w:p>
    <w:p w14:paraId="68DE9AC2">
      <w:pPr>
        <w:spacing w:line="330" w:lineRule="auto"/>
        <w:rPr>
          <w:rFonts w:ascii="FangSong_GB2312" w:hAnsi="FangSong_GB2312" w:eastAsia="FangSong_GB2312" w:cs="FangSong_GB2312"/>
        </w:rPr>
        <w:sectPr>
          <w:footerReference r:id="rId20" w:type="default"/>
          <w:pgSz w:w="11905" w:h="16840"/>
          <w:pgMar w:top="1431" w:right="1422" w:bottom="1867" w:left="1596" w:header="0" w:footer="1506" w:gutter="0"/>
          <w:cols w:space="720" w:num="1"/>
        </w:sectPr>
      </w:pPr>
    </w:p>
    <w:p w14:paraId="2E50C364">
      <w:pPr>
        <w:spacing w:line="342" w:lineRule="auto"/>
        <w:rPr>
          <w:rFonts w:ascii="Arial"/>
          <w:sz w:val="21"/>
        </w:rPr>
      </w:pPr>
    </w:p>
    <w:p w14:paraId="68DBB29B">
      <w:pPr>
        <w:spacing w:line="343" w:lineRule="auto"/>
        <w:rPr>
          <w:rFonts w:ascii="Arial"/>
          <w:sz w:val="21"/>
        </w:rPr>
      </w:pPr>
    </w:p>
    <w:p w14:paraId="7F009EDA">
      <w:pPr>
        <w:spacing w:before="104" w:line="330" w:lineRule="auto"/>
        <w:ind w:right="85" w:firstLine="15"/>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新业态、新产业。大力发展生态旅游， 建设一批国家和省级森林</w:t>
      </w:r>
      <w:r>
        <w:rPr>
          <w:rFonts w:ascii="FangSong_GB2312" w:hAnsi="FangSong_GB2312" w:eastAsia="FangSong_GB2312" w:cs="FangSong_GB2312"/>
          <w:spacing w:val="-8"/>
          <w:sz w:val="32"/>
          <w:szCs w:val="32"/>
        </w:rPr>
        <w:t>康养基地、旅游示范基地。推广崇义县国家“绿水青山就</w:t>
      </w:r>
      <w:r>
        <w:rPr>
          <w:rFonts w:ascii="FangSong_GB2312" w:hAnsi="FangSong_GB2312" w:eastAsia="FangSong_GB2312" w:cs="FangSong_GB2312"/>
          <w:spacing w:val="-9"/>
          <w:sz w:val="32"/>
          <w:szCs w:val="32"/>
        </w:rPr>
        <w:t>是金山银山”实践创新基地经验，着力推进相关试点示范基地建设。</w:t>
      </w:r>
    </w:p>
    <w:p w14:paraId="41908C92">
      <w:pPr>
        <w:pStyle w:val="2"/>
        <w:spacing w:before="9" w:line="331" w:lineRule="auto"/>
        <w:ind w:left="4" w:firstLine="645"/>
        <w:rPr>
          <w:rFonts w:ascii="FangSong_GB2312" w:hAnsi="FangSong_GB2312" w:eastAsia="FangSong_GB2312" w:cs="FangSong_GB2312"/>
        </w:rPr>
      </w:pPr>
      <w:r>
        <w:rPr>
          <w:rFonts w:ascii="FangSong_GB2312" w:hAnsi="FangSong_GB2312" w:eastAsia="FangSong_GB2312" w:cs="FangSong_GB2312"/>
          <w:spacing w:val="-6"/>
        </w:rPr>
        <w:t>大力推动生态资产赋能增值。以产业化利用、价值化补偿、</w:t>
      </w:r>
      <w:r>
        <w:rPr>
          <w:rFonts w:ascii="FangSong_GB2312" w:hAnsi="FangSong_GB2312" w:eastAsia="FangSong_GB2312" w:cs="FangSong_GB2312"/>
          <w:spacing w:val="-8"/>
        </w:rPr>
        <w:t>市场化交易为重点，健全生态产品价值实现机</w:t>
      </w:r>
      <w:r>
        <w:rPr>
          <w:rFonts w:ascii="FangSong_GB2312" w:hAnsi="FangSong_GB2312" w:eastAsia="FangSong_GB2312" w:cs="FangSong_GB2312"/>
          <w:spacing w:val="-9"/>
        </w:rPr>
        <w:t>制。全面建立生态</w:t>
      </w:r>
      <w:r>
        <w:rPr>
          <w:rFonts w:ascii="FangSong_GB2312" w:hAnsi="FangSong_GB2312" w:eastAsia="FangSong_GB2312" w:cs="FangSong_GB2312"/>
          <w:spacing w:val="-8"/>
        </w:rPr>
        <w:t>产品价值核算评估体系，推进核算标准化。加快</w:t>
      </w:r>
      <w:r>
        <w:rPr>
          <w:rFonts w:ascii="FangSong_GB2312" w:hAnsi="FangSong_GB2312" w:eastAsia="FangSong_GB2312" w:cs="FangSong_GB2312"/>
          <w:spacing w:val="-9"/>
        </w:rPr>
        <w:t>生态产品交易平</w:t>
      </w:r>
      <w:r>
        <w:rPr>
          <w:rFonts w:ascii="FangSong_GB2312" w:hAnsi="FangSong_GB2312" w:eastAsia="FangSong_GB2312" w:cs="FangSong_GB2312"/>
          <w:spacing w:val="-8"/>
        </w:rPr>
        <w:t>台建设，推动建立生态产品与环境权益的市场化转</w:t>
      </w:r>
      <w:r>
        <w:rPr>
          <w:rFonts w:ascii="FangSong_GB2312" w:hAnsi="FangSong_GB2312" w:eastAsia="FangSong_GB2312" w:cs="FangSong_GB2312"/>
          <w:spacing w:val="-9"/>
        </w:rPr>
        <w:t>换机制，建立</w:t>
      </w:r>
      <w:r>
        <w:rPr>
          <w:rFonts w:ascii="FangSong_GB2312" w:hAnsi="FangSong_GB2312" w:eastAsia="FangSong_GB2312" w:cs="FangSong_GB2312"/>
          <w:spacing w:val="-8"/>
        </w:rPr>
        <w:t>健全林业碳汇实现机制，积极参与全国碳市场建</w:t>
      </w:r>
      <w:r>
        <w:rPr>
          <w:rFonts w:ascii="FangSong_GB2312" w:hAnsi="FangSong_GB2312" w:eastAsia="FangSong_GB2312" w:cs="FangSong_GB2312"/>
          <w:spacing w:val="-9"/>
        </w:rPr>
        <w:t>设。建立绿色金</w:t>
      </w:r>
      <w:r>
        <w:rPr>
          <w:rFonts w:ascii="FangSong_GB2312" w:hAnsi="FangSong_GB2312" w:eastAsia="FangSong_GB2312" w:cs="FangSong_GB2312"/>
          <w:spacing w:val="3"/>
        </w:rPr>
        <w:t>融助推生态产品价值实现的长效机制，着力开发权益类信贷产</w:t>
      </w:r>
      <w:r>
        <w:rPr>
          <w:rFonts w:ascii="FangSong_GB2312" w:hAnsi="FangSong_GB2312" w:eastAsia="FangSong_GB2312" w:cs="FangSong_GB2312"/>
          <w:spacing w:val="-8"/>
        </w:rPr>
        <w:t>品、推进生态产品资产证券化、支持绿色保险创</w:t>
      </w:r>
      <w:r>
        <w:rPr>
          <w:rFonts w:ascii="FangSong_GB2312" w:hAnsi="FangSong_GB2312" w:eastAsia="FangSong_GB2312" w:cs="FangSong_GB2312"/>
          <w:spacing w:val="-9"/>
        </w:rPr>
        <w:t>新、推动投融资</w:t>
      </w:r>
      <w:r>
        <w:rPr>
          <w:rFonts w:ascii="FangSong_GB2312" w:hAnsi="FangSong_GB2312" w:eastAsia="FangSong_GB2312" w:cs="FangSong_GB2312"/>
          <w:spacing w:val="-8"/>
        </w:rPr>
        <w:t>多元化，探索绿水青山与金山银山双向转化平台</w:t>
      </w:r>
      <w:r>
        <w:rPr>
          <w:rFonts w:ascii="FangSong_GB2312" w:hAnsi="FangSong_GB2312" w:eastAsia="FangSong_GB2312" w:cs="FangSong_GB2312"/>
          <w:spacing w:val="-9"/>
        </w:rPr>
        <w:t>、湿地资源运营</w:t>
      </w:r>
      <w:r>
        <w:rPr>
          <w:rFonts w:ascii="FangSong_GB2312" w:hAnsi="FangSong_GB2312" w:eastAsia="FangSong_GB2312" w:cs="FangSong_GB2312"/>
          <w:spacing w:val="-8"/>
        </w:rPr>
        <w:t>中心等建设模式。引导社会资本参与生态产品价</w:t>
      </w:r>
      <w:r>
        <w:rPr>
          <w:rFonts w:ascii="FangSong_GB2312" w:hAnsi="FangSong_GB2312" w:eastAsia="FangSong_GB2312" w:cs="FangSong_GB2312"/>
          <w:spacing w:val="-9"/>
        </w:rPr>
        <w:t>值实现等领域生</w:t>
      </w:r>
      <w:r>
        <w:rPr>
          <w:rFonts w:ascii="FangSong_GB2312" w:hAnsi="FangSong_GB2312" w:eastAsia="FangSong_GB2312" w:cs="FangSong_GB2312"/>
          <w:spacing w:val="-10"/>
        </w:rPr>
        <w:t>态环境导向（</w:t>
      </w:r>
      <w:r>
        <w:rPr>
          <w:spacing w:val="-10"/>
        </w:rPr>
        <w:t>EOD</w:t>
      </w:r>
      <w:r>
        <w:rPr>
          <w:rFonts w:ascii="FangSong_GB2312" w:hAnsi="FangSong_GB2312" w:eastAsia="FangSong_GB2312" w:cs="FangSong_GB2312"/>
          <w:spacing w:val="-10"/>
        </w:rPr>
        <w:t>）开发项目。健全完善生态产品保</w:t>
      </w:r>
      <w:r>
        <w:rPr>
          <w:rFonts w:ascii="FangSong_GB2312" w:hAnsi="FangSong_GB2312" w:eastAsia="FangSong_GB2312" w:cs="FangSong_GB2312"/>
          <w:spacing w:val="-11"/>
        </w:rPr>
        <w:t>护补偿制度，</w:t>
      </w:r>
      <w:r>
        <w:rPr>
          <w:rFonts w:ascii="FangSong_GB2312" w:hAnsi="FangSong_GB2312" w:eastAsia="FangSong_GB2312" w:cs="FangSong_GB2312"/>
          <w:spacing w:val="-13"/>
        </w:rPr>
        <w:t>强化多元化资金保障。</w:t>
      </w:r>
    </w:p>
    <w:p w14:paraId="5520D41C">
      <w:pPr>
        <w:spacing w:line="216" w:lineRule="auto"/>
        <w:ind w:left="624"/>
        <w:rPr>
          <w:rFonts w:ascii="KaiTi_GB2312" w:hAnsi="KaiTi_GB2312" w:eastAsia="KaiTi_GB2312" w:cs="KaiTi_GB2312"/>
          <w:sz w:val="32"/>
          <w:szCs w:val="32"/>
        </w:rPr>
      </w:pPr>
      <w:r>
        <w:rPr>
          <w:rFonts w:ascii="KaiTi_GB2312" w:hAnsi="KaiTi_GB2312" w:eastAsia="KaiTi_GB2312" w:cs="KaiTi_GB2312"/>
          <w:spacing w:val="-7"/>
          <w:sz w:val="32"/>
          <w:szCs w:val="32"/>
        </w:rPr>
        <w:t>（四）推动减污降碳协同增效</w:t>
      </w:r>
    </w:p>
    <w:p w14:paraId="03F0F503">
      <w:pPr>
        <w:spacing w:before="203" w:line="331" w:lineRule="auto"/>
        <w:ind w:left="2" w:right="84" w:firstLine="63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推进重点行业绿色化升级。严格实施“双超双有”企业强制</w:t>
      </w:r>
      <w:r>
        <w:rPr>
          <w:rFonts w:ascii="FangSong_GB2312" w:hAnsi="FangSong_GB2312" w:eastAsia="FangSong_GB2312" w:cs="FangSong_GB2312"/>
          <w:spacing w:val="-8"/>
          <w:sz w:val="32"/>
          <w:szCs w:val="32"/>
        </w:rPr>
        <w:t>清洁生产审核，有序淘汰高消耗、高污染、高环境风</w:t>
      </w:r>
      <w:r>
        <w:rPr>
          <w:rFonts w:ascii="FangSong_GB2312" w:hAnsi="FangSong_GB2312" w:eastAsia="FangSong_GB2312" w:cs="FangSong_GB2312"/>
          <w:spacing w:val="-9"/>
          <w:sz w:val="32"/>
          <w:szCs w:val="32"/>
        </w:rPr>
        <w:t>险的工艺和</w:t>
      </w:r>
      <w:r>
        <w:rPr>
          <w:rFonts w:ascii="FangSong_GB2312" w:hAnsi="FangSong_GB2312" w:eastAsia="FangSong_GB2312" w:cs="FangSong_GB2312"/>
          <w:spacing w:val="-14"/>
          <w:sz w:val="32"/>
          <w:szCs w:val="32"/>
        </w:rPr>
        <w:t>设备。以钢铁、化工、有色、建材等行业为重点， 实施新一轮技</w:t>
      </w:r>
      <w:r>
        <w:rPr>
          <w:rFonts w:ascii="FangSong_GB2312" w:hAnsi="FangSong_GB2312" w:eastAsia="FangSong_GB2312" w:cs="FangSong_GB2312"/>
          <w:spacing w:val="-8"/>
          <w:sz w:val="32"/>
          <w:szCs w:val="32"/>
        </w:rPr>
        <w:t>术改造升级，开展全流程清洁化、循环化、低碳化改</w:t>
      </w:r>
      <w:r>
        <w:rPr>
          <w:rFonts w:ascii="FangSong_GB2312" w:hAnsi="FangSong_GB2312" w:eastAsia="FangSong_GB2312" w:cs="FangSong_GB2312"/>
          <w:spacing w:val="-9"/>
          <w:sz w:val="32"/>
          <w:szCs w:val="32"/>
        </w:rPr>
        <w:t>造。紧盯环</w:t>
      </w:r>
      <w:r>
        <w:rPr>
          <w:rFonts w:ascii="FangSong_GB2312" w:hAnsi="FangSong_GB2312" w:eastAsia="FangSong_GB2312" w:cs="FangSong_GB2312"/>
          <w:spacing w:val="-8"/>
          <w:sz w:val="32"/>
          <w:szCs w:val="32"/>
        </w:rPr>
        <w:t>境污染物和温室气体排放主要源头，推动实施减污降碳</w:t>
      </w:r>
      <w:r>
        <w:rPr>
          <w:rFonts w:ascii="FangSong_GB2312" w:hAnsi="FangSong_GB2312" w:eastAsia="FangSong_GB2312" w:cs="FangSong_GB2312"/>
          <w:spacing w:val="-9"/>
          <w:sz w:val="32"/>
          <w:szCs w:val="32"/>
        </w:rPr>
        <w:t>重大项目</w:t>
      </w:r>
      <w:r>
        <w:rPr>
          <w:rFonts w:ascii="FangSong_GB2312" w:hAnsi="FangSong_GB2312" w:eastAsia="FangSong_GB2312" w:cs="FangSong_GB2312"/>
          <w:spacing w:val="-14"/>
          <w:sz w:val="32"/>
          <w:szCs w:val="32"/>
        </w:rPr>
        <w:t>和示范工程。持续创建省级以上绿色园区、绿色工厂， 打造国家</w:t>
      </w:r>
      <w:r>
        <w:rPr>
          <w:rFonts w:ascii="FangSong_GB2312" w:hAnsi="FangSong_GB2312" w:eastAsia="FangSong_GB2312" w:cs="FangSong_GB2312"/>
          <w:spacing w:val="-12"/>
          <w:sz w:val="32"/>
          <w:szCs w:val="32"/>
        </w:rPr>
        <w:t>级绿色产业示范基地。</w:t>
      </w:r>
    </w:p>
    <w:p w14:paraId="5F12C2CC">
      <w:pPr>
        <w:spacing w:line="331" w:lineRule="auto"/>
        <w:rPr>
          <w:rFonts w:ascii="FangSong_GB2312" w:hAnsi="FangSong_GB2312" w:eastAsia="FangSong_GB2312" w:cs="FangSong_GB2312"/>
          <w:sz w:val="32"/>
          <w:szCs w:val="32"/>
        </w:rPr>
        <w:sectPr>
          <w:footerReference r:id="rId21" w:type="default"/>
          <w:pgSz w:w="11905" w:h="16840"/>
          <w:pgMar w:top="1431" w:right="1494" w:bottom="1867" w:left="1590" w:header="0" w:footer="1506" w:gutter="0"/>
          <w:cols w:space="720" w:num="1"/>
        </w:sectPr>
      </w:pPr>
    </w:p>
    <w:p w14:paraId="325591F0">
      <w:pPr>
        <w:spacing w:line="342" w:lineRule="auto"/>
        <w:rPr>
          <w:rFonts w:ascii="Arial"/>
          <w:sz w:val="21"/>
        </w:rPr>
      </w:pPr>
    </w:p>
    <w:p w14:paraId="22FA22BC">
      <w:pPr>
        <w:spacing w:line="343" w:lineRule="auto"/>
        <w:rPr>
          <w:rFonts w:ascii="Arial"/>
          <w:sz w:val="21"/>
        </w:rPr>
      </w:pPr>
    </w:p>
    <w:p w14:paraId="5A5204FF">
      <w:pPr>
        <w:pStyle w:val="2"/>
        <w:spacing w:before="104" w:line="331" w:lineRule="auto"/>
        <w:ind w:left="11" w:right="97" w:firstLine="618"/>
        <w:jc w:val="both"/>
        <w:rPr>
          <w:rFonts w:ascii="FangSong_GB2312" w:hAnsi="FangSong_GB2312" w:eastAsia="FangSong_GB2312" w:cs="FangSong_GB2312"/>
        </w:rPr>
      </w:pPr>
      <w:r>
        <w:rPr>
          <w:rFonts w:ascii="FangSong_GB2312" w:hAnsi="FangSong_GB2312" w:eastAsia="FangSong_GB2312" w:cs="FangSong_GB2312"/>
          <w:spacing w:val="-9"/>
        </w:rPr>
        <w:t>加快能源绿色低碳转型。持续提升清洁能源和非化石能源消</w:t>
      </w:r>
      <w:r>
        <w:rPr>
          <w:rFonts w:ascii="FangSong_GB2312" w:hAnsi="FangSong_GB2312" w:eastAsia="FangSong_GB2312" w:cs="FangSong_GB2312"/>
          <w:spacing w:val="-13"/>
        </w:rPr>
        <w:t>费比重。大力发展生态友好型新能源，</w:t>
      </w:r>
      <w:r>
        <w:rPr>
          <w:rFonts w:ascii="FangSong_GB2312" w:hAnsi="FangSong_GB2312" w:eastAsia="FangSong_GB2312" w:cs="FangSong_GB2312"/>
          <w:spacing w:val="-40"/>
        </w:rPr>
        <w:t xml:space="preserve"> </w:t>
      </w:r>
      <w:r>
        <w:rPr>
          <w:rFonts w:ascii="FangSong_GB2312" w:hAnsi="FangSong_GB2312" w:eastAsia="FangSong_GB2312" w:cs="FangSong_GB2312"/>
          <w:spacing w:val="-13"/>
        </w:rPr>
        <w:t>保持风电、光伏发电合理</w:t>
      </w:r>
      <w:r>
        <w:rPr>
          <w:rFonts w:ascii="FangSong_GB2312" w:hAnsi="FangSong_GB2312" w:eastAsia="FangSong_GB2312" w:cs="FangSong_GB2312"/>
          <w:spacing w:val="-9"/>
        </w:rPr>
        <w:t>规模和发展节奏，积极稳妥发展水电、农林生物质发电、生活垃</w:t>
      </w:r>
      <w:r>
        <w:rPr>
          <w:rFonts w:ascii="FangSong_GB2312" w:hAnsi="FangSong_GB2312" w:eastAsia="FangSong_GB2312" w:cs="FangSong_GB2312"/>
          <w:spacing w:val="-3"/>
        </w:rPr>
        <w:t>圾焚烧发电，加快新型储能产业发展，开展“新能源</w:t>
      </w:r>
      <w:r>
        <w:rPr>
          <w:spacing w:val="-3"/>
        </w:rPr>
        <w:t>+</w:t>
      </w:r>
      <w:r>
        <w:rPr>
          <w:rFonts w:ascii="FangSong_GB2312" w:hAnsi="FangSong_GB2312" w:eastAsia="FangSong_GB2312" w:cs="FangSong_GB2312"/>
          <w:spacing w:val="-3"/>
        </w:rPr>
        <w:t>储能”模</w:t>
      </w:r>
      <w:r>
        <w:rPr>
          <w:rFonts w:ascii="FangSong_GB2312" w:hAnsi="FangSong_GB2312" w:eastAsia="FangSong_GB2312" w:cs="FangSong_GB2312"/>
          <w:spacing w:val="-9"/>
        </w:rPr>
        <w:t>式试点示范。实施重点县域城市、重点园区、重点行业节能降碳工程，推动综合能效提升。深入实施“以气代煤、以电代煤、以</w:t>
      </w:r>
      <w:r>
        <w:rPr>
          <w:rFonts w:ascii="FangSong_GB2312" w:hAnsi="FangSong_GB2312" w:eastAsia="FangSong_GB2312" w:cs="FangSong_GB2312"/>
          <w:spacing w:val="-10"/>
        </w:rPr>
        <w:t>电代油”工程，建立满足乡村振兴的清洁高效用能长效机制。</w:t>
      </w:r>
    </w:p>
    <w:p w14:paraId="44465DC3">
      <w:pPr>
        <w:spacing w:before="3" w:line="331" w:lineRule="auto"/>
        <w:ind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促进循环经济发展。大力推进节能、节水、节地、节材、节</w:t>
      </w:r>
      <w:r>
        <w:rPr>
          <w:rFonts w:ascii="FangSong_GB2312" w:hAnsi="FangSong_GB2312" w:eastAsia="FangSong_GB2312" w:cs="FangSong_GB2312"/>
          <w:spacing w:val="-16"/>
          <w:sz w:val="32"/>
          <w:szCs w:val="32"/>
        </w:rPr>
        <w:t>矿，深化重点领域节能，实施国家节水行动，强化农业节水增效、</w:t>
      </w:r>
      <w:r>
        <w:rPr>
          <w:rFonts w:ascii="FangSong_GB2312" w:hAnsi="FangSong_GB2312" w:eastAsia="FangSong_GB2312" w:cs="FangSong_GB2312"/>
          <w:spacing w:val="-8"/>
          <w:sz w:val="32"/>
          <w:szCs w:val="32"/>
        </w:rPr>
        <w:t>工业节水减排和城镇节水降损，深化“亩产</w:t>
      </w:r>
      <w:r>
        <w:rPr>
          <w:rFonts w:ascii="FangSong_GB2312" w:hAnsi="FangSong_GB2312" w:eastAsia="FangSong_GB2312" w:cs="FangSong_GB2312"/>
          <w:spacing w:val="-9"/>
          <w:sz w:val="32"/>
          <w:szCs w:val="32"/>
        </w:rPr>
        <w:t>论英雄”，以开发区</w:t>
      </w:r>
      <w:r>
        <w:rPr>
          <w:rFonts w:ascii="FangSong_GB2312" w:hAnsi="FangSong_GB2312" w:eastAsia="FangSong_GB2312" w:cs="FangSong_GB2312"/>
          <w:spacing w:val="-8"/>
          <w:sz w:val="32"/>
          <w:szCs w:val="32"/>
        </w:rPr>
        <w:t>为重点深入实施“节地增效”行动。引导重</w:t>
      </w:r>
      <w:r>
        <w:rPr>
          <w:rFonts w:ascii="FangSong_GB2312" w:hAnsi="FangSong_GB2312" w:eastAsia="FangSong_GB2312" w:cs="FangSong_GB2312"/>
          <w:spacing w:val="-9"/>
          <w:sz w:val="32"/>
          <w:szCs w:val="32"/>
        </w:rPr>
        <w:t>点行业深入实施清洁</w:t>
      </w:r>
      <w:r>
        <w:rPr>
          <w:rFonts w:ascii="FangSong_GB2312" w:hAnsi="FangSong_GB2312" w:eastAsia="FangSong_GB2312" w:cs="FangSong_GB2312"/>
          <w:spacing w:val="-8"/>
          <w:sz w:val="32"/>
          <w:szCs w:val="32"/>
        </w:rPr>
        <w:t>生产改造，开展自愿性清洁生产评价认证。</w:t>
      </w:r>
      <w:r>
        <w:rPr>
          <w:rFonts w:ascii="FangSong_GB2312" w:hAnsi="FangSong_GB2312" w:eastAsia="FangSong_GB2312" w:cs="FangSong_GB2312"/>
          <w:spacing w:val="-9"/>
          <w:sz w:val="32"/>
          <w:szCs w:val="32"/>
        </w:rPr>
        <w:t>加强工业园区循环化</w:t>
      </w:r>
      <w:r>
        <w:rPr>
          <w:rFonts w:ascii="FangSong_GB2312" w:hAnsi="FangSong_GB2312" w:eastAsia="FangSong_GB2312" w:cs="FangSong_GB2312"/>
          <w:spacing w:val="-8"/>
          <w:sz w:val="32"/>
          <w:szCs w:val="32"/>
        </w:rPr>
        <w:t>改造和产业共生体系建设，加快“城市矿产”</w:t>
      </w:r>
      <w:r>
        <w:rPr>
          <w:rFonts w:ascii="FangSong_GB2312" w:hAnsi="FangSong_GB2312" w:eastAsia="FangSong_GB2312" w:cs="FangSong_GB2312"/>
          <w:spacing w:val="-9"/>
          <w:sz w:val="32"/>
          <w:szCs w:val="32"/>
        </w:rPr>
        <w:t>基地、资源循环利</w:t>
      </w:r>
      <w:r>
        <w:rPr>
          <w:rFonts w:ascii="FangSong_GB2312" w:hAnsi="FangSong_GB2312" w:eastAsia="FangSong_GB2312" w:cs="FangSong_GB2312"/>
          <w:spacing w:val="-8"/>
          <w:sz w:val="32"/>
          <w:szCs w:val="32"/>
        </w:rPr>
        <w:t>用基地建设，推动大宗固体废弃物、工业资源</w:t>
      </w:r>
      <w:r>
        <w:rPr>
          <w:rFonts w:ascii="FangSong_GB2312" w:hAnsi="FangSong_GB2312" w:eastAsia="FangSong_GB2312" w:cs="FangSong_GB2312"/>
          <w:spacing w:val="-9"/>
          <w:sz w:val="32"/>
          <w:szCs w:val="32"/>
        </w:rPr>
        <w:t>和农林废弃物综合利用，推进矿山共伴生矿产资源综合利用和尾矿回收利</w:t>
      </w:r>
      <w:r>
        <w:rPr>
          <w:rFonts w:ascii="FangSong_GB2312" w:hAnsi="FangSong_GB2312" w:eastAsia="FangSong_GB2312" w:cs="FangSong_GB2312"/>
          <w:spacing w:val="-10"/>
          <w:sz w:val="32"/>
          <w:szCs w:val="32"/>
        </w:rPr>
        <w:t>用。</w:t>
      </w:r>
    </w:p>
    <w:p w14:paraId="027E8406">
      <w:pPr>
        <w:spacing w:before="1" w:line="221" w:lineRule="auto"/>
        <w:ind w:left="638"/>
        <w:outlineLvl w:val="0"/>
        <w:rPr>
          <w:rFonts w:ascii="黑体" w:hAnsi="黑体" w:eastAsia="黑体" w:cs="黑体"/>
          <w:sz w:val="32"/>
          <w:szCs w:val="32"/>
        </w:rPr>
      </w:pPr>
      <w:r>
        <w:rPr>
          <w:rFonts w:ascii="黑体" w:hAnsi="黑体" w:eastAsia="黑体" w:cs="黑体"/>
          <w:spacing w:val="-8"/>
          <w:sz w:val="32"/>
          <w:szCs w:val="32"/>
        </w:rPr>
        <w:t>五、守护万物共荣的自然生态</w:t>
      </w:r>
    </w:p>
    <w:p w14:paraId="008F0F05">
      <w:pPr>
        <w:spacing w:before="191" w:line="331" w:lineRule="auto"/>
        <w:ind w:left="2" w:right="98" w:firstLine="641"/>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坚持山水林田湖草沙一体化保护和系统治理，强化生</w:t>
      </w:r>
      <w:r>
        <w:rPr>
          <w:rFonts w:ascii="FangSong_GB2312" w:hAnsi="FangSong_GB2312" w:eastAsia="FangSong_GB2312" w:cs="FangSong_GB2312"/>
          <w:spacing w:val="-10"/>
          <w:sz w:val="32"/>
          <w:szCs w:val="32"/>
        </w:rPr>
        <w:t>态安全</w:t>
      </w:r>
      <w:r>
        <w:rPr>
          <w:rFonts w:ascii="FangSong_GB2312" w:hAnsi="FangSong_GB2312" w:eastAsia="FangSong_GB2312" w:cs="FangSong_GB2312"/>
          <w:spacing w:val="-9"/>
          <w:sz w:val="32"/>
          <w:szCs w:val="32"/>
        </w:rPr>
        <w:t>屏障体系建设，以自然恢复为主、人工修复相结合的方式推动生</w:t>
      </w:r>
      <w:r>
        <w:rPr>
          <w:rFonts w:ascii="FangSong_GB2312" w:hAnsi="FangSong_GB2312" w:eastAsia="FangSong_GB2312" w:cs="FangSong_GB2312"/>
          <w:spacing w:val="-14"/>
          <w:sz w:val="32"/>
          <w:szCs w:val="32"/>
        </w:rPr>
        <w:t>态保护修复；开展流域保护治理、生态系统综合补偿， 大力推进</w:t>
      </w:r>
      <w:r>
        <w:rPr>
          <w:rFonts w:ascii="FangSong_GB2312" w:hAnsi="FangSong_GB2312" w:eastAsia="FangSong_GB2312" w:cs="FangSong_GB2312"/>
          <w:spacing w:val="-9"/>
          <w:sz w:val="32"/>
          <w:szCs w:val="32"/>
        </w:rPr>
        <w:t>水土流失防治和崩岗治理，开展矿山生态修复和综合治理，加强生物多样性保护，持续提升生态系统多样性、稳定性和</w:t>
      </w:r>
      <w:r>
        <w:rPr>
          <w:rFonts w:ascii="FangSong_GB2312" w:hAnsi="FangSong_GB2312" w:eastAsia="FangSong_GB2312" w:cs="FangSong_GB2312"/>
          <w:spacing w:val="-10"/>
          <w:sz w:val="32"/>
          <w:szCs w:val="32"/>
        </w:rPr>
        <w:t>持续性。</w:t>
      </w:r>
    </w:p>
    <w:p w14:paraId="505FF5B3">
      <w:pPr>
        <w:spacing w:before="1" w:line="221" w:lineRule="auto"/>
        <w:ind w:left="617"/>
        <w:rPr>
          <w:rFonts w:ascii="KaiTi_GB2312" w:hAnsi="KaiTi_GB2312" w:eastAsia="KaiTi_GB2312" w:cs="KaiTi_GB2312"/>
          <w:sz w:val="32"/>
          <w:szCs w:val="32"/>
        </w:rPr>
      </w:pPr>
      <w:r>
        <w:rPr>
          <w:rFonts w:ascii="KaiTi_GB2312" w:hAnsi="KaiTi_GB2312" w:eastAsia="KaiTi_GB2312" w:cs="KaiTi_GB2312"/>
          <w:spacing w:val="-6"/>
          <w:sz w:val="32"/>
          <w:szCs w:val="32"/>
        </w:rPr>
        <w:t>（一）加强生态系统一体化保护</w:t>
      </w:r>
    </w:p>
    <w:p w14:paraId="5B4BEFFB">
      <w:pPr>
        <w:spacing w:line="221" w:lineRule="auto"/>
        <w:rPr>
          <w:rFonts w:ascii="KaiTi_GB2312" w:hAnsi="KaiTi_GB2312" w:eastAsia="KaiTi_GB2312" w:cs="KaiTi_GB2312"/>
          <w:sz w:val="32"/>
          <w:szCs w:val="32"/>
        </w:rPr>
        <w:sectPr>
          <w:footerReference r:id="rId22" w:type="default"/>
          <w:pgSz w:w="11905" w:h="16840"/>
          <w:pgMar w:top="1431" w:right="1479" w:bottom="1867" w:left="1596" w:header="0" w:footer="1506" w:gutter="0"/>
          <w:cols w:space="720" w:num="1"/>
        </w:sectPr>
      </w:pPr>
    </w:p>
    <w:p w14:paraId="71F53085">
      <w:pPr>
        <w:spacing w:line="343" w:lineRule="auto"/>
        <w:rPr>
          <w:rFonts w:ascii="Arial"/>
          <w:sz w:val="21"/>
        </w:rPr>
      </w:pPr>
    </w:p>
    <w:p w14:paraId="6C211BAD">
      <w:pPr>
        <w:spacing w:line="344" w:lineRule="auto"/>
        <w:rPr>
          <w:rFonts w:ascii="Arial"/>
          <w:sz w:val="21"/>
        </w:rPr>
      </w:pPr>
    </w:p>
    <w:p w14:paraId="728B7326">
      <w:pPr>
        <w:spacing w:before="104" w:line="331" w:lineRule="auto"/>
        <w:ind w:left="7" w:firstLine="628"/>
        <w:jc w:val="both"/>
        <w:rPr>
          <w:rFonts w:ascii="FangSong_GB2312" w:hAnsi="FangSong_GB2312" w:eastAsia="FangSong_GB2312" w:cs="FangSong_GB2312"/>
          <w:sz w:val="32"/>
          <w:szCs w:val="32"/>
        </w:rPr>
      </w:pPr>
      <w:r>
        <w:rPr>
          <w:rFonts w:ascii="FangSong_GB2312" w:hAnsi="FangSong_GB2312" w:eastAsia="FangSong_GB2312" w:cs="FangSong_GB2312"/>
          <w:spacing w:val="-1"/>
          <w:sz w:val="32"/>
          <w:szCs w:val="32"/>
        </w:rPr>
        <w:t>构建完善生态屏障功能。构建“四屏、三区、三源、</w:t>
      </w:r>
      <w:r>
        <w:rPr>
          <w:rFonts w:ascii="FangSong_GB2312" w:hAnsi="FangSong_GB2312" w:eastAsia="FangSong_GB2312" w:cs="FangSong_GB2312"/>
          <w:spacing w:val="-2"/>
          <w:sz w:val="32"/>
          <w:szCs w:val="32"/>
        </w:rPr>
        <w:t>多廊”的生态安全格局，着力加强自然保护地等生态敏感区保护力度，</w:t>
      </w:r>
      <w:r>
        <w:rPr>
          <w:rFonts w:ascii="FangSong_GB2312" w:hAnsi="FangSong_GB2312" w:eastAsia="FangSong_GB2312" w:cs="FangSong_GB2312"/>
          <w:spacing w:val="-9"/>
          <w:sz w:val="32"/>
          <w:szCs w:val="32"/>
        </w:rPr>
        <w:t>科学开展大规模国土绿化行动，开展低质低效林改造和天然林保</w:t>
      </w:r>
      <w:r>
        <w:rPr>
          <w:rFonts w:ascii="FangSong_GB2312" w:hAnsi="FangSong_GB2312" w:eastAsia="FangSong_GB2312" w:cs="FangSong_GB2312"/>
          <w:spacing w:val="-8"/>
          <w:sz w:val="32"/>
          <w:szCs w:val="32"/>
        </w:rPr>
        <w:t>护修复，推进国家储备林建设和公益林抚育</w:t>
      </w:r>
      <w:r>
        <w:rPr>
          <w:rFonts w:ascii="FangSong_GB2312" w:hAnsi="FangSong_GB2312" w:eastAsia="FangSong_GB2312" w:cs="FangSong_GB2312"/>
          <w:spacing w:val="-9"/>
          <w:sz w:val="32"/>
          <w:szCs w:val="32"/>
        </w:rPr>
        <w:t>。大力推进赣江、东江、北江发源地区森林复绿、生态修复。加大乡土森林物种培育</w:t>
      </w:r>
      <w:r>
        <w:rPr>
          <w:rFonts w:ascii="FangSong_GB2312" w:hAnsi="FangSong_GB2312" w:eastAsia="FangSong_GB2312" w:cs="FangSong_GB2312"/>
          <w:spacing w:val="-8"/>
          <w:sz w:val="32"/>
          <w:szCs w:val="32"/>
        </w:rPr>
        <w:t>栽培，加强人工林林分结构改造和森林复合</w:t>
      </w:r>
      <w:r>
        <w:rPr>
          <w:rFonts w:ascii="FangSong_GB2312" w:hAnsi="FangSong_GB2312" w:eastAsia="FangSong_GB2312" w:cs="FangSong_GB2312"/>
          <w:spacing w:val="-9"/>
          <w:sz w:val="32"/>
          <w:szCs w:val="32"/>
        </w:rPr>
        <w:t>生态系统构建。守护</w:t>
      </w:r>
      <w:r>
        <w:rPr>
          <w:rFonts w:ascii="FangSong_GB2312" w:hAnsi="FangSong_GB2312" w:eastAsia="FangSong_GB2312" w:cs="FangSong_GB2312"/>
          <w:spacing w:val="-14"/>
          <w:sz w:val="32"/>
          <w:szCs w:val="32"/>
        </w:rPr>
        <w:t>森林生态系统安全，加强森林资源保护、森林防火工作， 加强森</w:t>
      </w:r>
      <w:r>
        <w:rPr>
          <w:rFonts w:ascii="FangSong_GB2312" w:hAnsi="FangSong_GB2312" w:eastAsia="FangSong_GB2312" w:cs="FangSong_GB2312"/>
          <w:spacing w:val="-10"/>
          <w:sz w:val="32"/>
          <w:szCs w:val="32"/>
        </w:rPr>
        <w:t>林病虫害防控，加大松材线虫病除治林分改造力度。</w:t>
      </w:r>
    </w:p>
    <w:p w14:paraId="4EA1D1B0">
      <w:pPr>
        <w:spacing w:before="1" w:line="331" w:lineRule="auto"/>
        <w:ind w:left="7" w:right="109" w:firstLine="649"/>
        <w:jc w:val="both"/>
        <w:rPr>
          <w:rFonts w:ascii="FangSong_GB2312" w:hAnsi="FangSong_GB2312" w:eastAsia="FangSong_GB2312" w:cs="FangSong_GB2312"/>
          <w:sz w:val="32"/>
          <w:szCs w:val="32"/>
        </w:rPr>
      </w:pPr>
      <w:r>
        <w:rPr>
          <w:rFonts w:ascii="FangSong_GB2312" w:hAnsi="FangSong_GB2312" w:eastAsia="FangSong_GB2312" w:cs="FangSong_GB2312"/>
          <w:spacing w:val="-18"/>
          <w:sz w:val="32"/>
          <w:szCs w:val="32"/>
        </w:rPr>
        <w:t>强化河湖湿地保护。推行河湖休养生息，有序推进退圩还湿，</w:t>
      </w:r>
      <w:r>
        <w:rPr>
          <w:rFonts w:ascii="FangSong_GB2312" w:hAnsi="FangSong_GB2312" w:eastAsia="FangSong_GB2312" w:cs="FangSong_GB2312"/>
          <w:spacing w:val="-8"/>
          <w:sz w:val="32"/>
          <w:szCs w:val="32"/>
        </w:rPr>
        <w:t>采取自然恢复为主、人工修复相结合的方式</w:t>
      </w:r>
      <w:r>
        <w:rPr>
          <w:rFonts w:ascii="FangSong_GB2312" w:hAnsi="FangSong_GB2312" w:eastAsia="FangSong_GB2312" w:cs="FangSong_GB2312"/>
          <w:spacing w:val="-9"/>
          <w:sz w:val="32"/>
          <w:szCs w:val="32"/>
        </w:rPr>
        <w:t>保护自然湿地、修复退化湿地生态系统，恢复违法侵占河道岸线、滩涂湿地等生态空</w:t>
      </w:r>
      <w:r>
        <w:rPr>
          <w:rFonts w:ascii="FangSong_GB2312" w:hAnsi="FangSong_GB2312" w:eastAsia="FangSong_GB2312" w:cs="FangSong_GB2312"/>
          <w:spacing w:val="-16"/>
          <w:sz w:val="32"/>
          <w:szCs w:val="32"/>
        </w:rPr>
        <w:t>间。全力推进全流域水生态治理，重点建设江河岸线生</w:t>
      </w:r>
      <w:r>
        <w:rPr>
          <w:rFonts w:ascii="FangSong_GB2312" w:hAnsi="FangSong_GB2312" w:eastAsia="FangSong_GB2312" w:cs="FangSong_GB2312"/>
          <w:spacing w:val="-17"/>
          <w:sz w:val="32"/>
          <w:szCs w:val="32"/>
        </w:rPr>
        <w:t>态缓冲带，</w:t>
      </w:r>
      <w:r>
        <w:rPr>
          <w:rFonts w:ascii="FangSong_GB2312" w:hAnsi="FangSong_GB2312" w:eastAsia="FangSong_GB2312" w:cs="FangSong_GB2312"/>
          <w:spacing w:val="-9"/>
          <w:sz w:val="32"/>
          <w:szCs w:val="32"/>
        </w:rPr>
        <w:t>开展赣江上游生态流量保障、湿地修复、河流岸线整治。积极推</w:t>
      </w:r>
      <w:r>
        <w:rPr>
          <w:rFonts w:ascii="FangSong_GB2312" w:hAnsi="FangSong_GB2312" w:eastAsia="FangSong_GB2312" w:cs="FangSong_GB2312"/>
          <w:spacing w:val="-8"/>
          <w:sz w:val="32"/>
          <w:szCs w:val="32"/>
        </w:rPr>
        <w:t>进贡江、章江、东江、桃江等流域河道水系</w:t>
      </w:r>
      <w:r>
        <w:rPr>
          <w:rFonts w:ascii="FangSong_GB2312" w:hAnsi="FangSong_GB2312" w:eastAsia="FangSong_GB2312" w:cs="FangSong_GB2312"/>
          <w:spacing w:val="-9"/>
          <w:sz w:val="32"/>
          <w:szCs w:val="32"/>
        </w:rPr>
        <w:t>连通、河流生态廊道</w:t>
      </w:r>
      <w:r>
        <w:rPr>
          <w:rFonts w:ascii="FangSong_GB2312" w:hAnsi="FangSong_GB2312" w:eastAsia="FangSong_GB2312" w:cs="FangSong_GB2312"/>
          <w:spacing w:val="-20"/>
          <w:sz w:val="32"/>
          <w:szCs w:val="32"/>
        </w:rPr>
        <w:t>建设。</w:t>
      </w:r>
    </w:p>
    <w:p w14:paraId="7E2CB734">
      <w:pPr>
        <w:spacing w:before="12" w:line="330" w:lineRule="auto"/>
        <w:ind w:right="193" w:firstLine="653"/>
        <w:jc w:val="both"/>
        <w:rPr>
          <w:rFonts w:ascii="FangSong_GB2312" w:hAnsi="FangSong_GB2312" w:eastAsia="FangSong_GB2312" w:cs="FangSong_GB2312"/>
          <w:sz w:val="32"/>
          <w:szCs w:val="32"/>
        </w:rPr>
      </w:pPr>
      <w:r>
        <w:rPr>
          <w:rFonts w:ascii="FangSong_GB2312" w:hAnsi="FangSong_GB2312" w:eastAsia="FangSong_GB2312" w:cs="FangSong_GB2312"/>
          <w:spacing w:val="-13"/>
          <w:sz w:val="32"/>
          <w:szCs w:val="32"/>
        </w:rPr>
        <w:t>完善生态补偿机制。推进国家生态综合补偿试点建设，</w:t>
      </w:r>
      <w:r>
        <w:rPr>
          <w:rFonts w:ascii="FangSong_GB2312" w:hAnsi="FangSong_GB2312" w:eastAsia="FangSong_GB2312" w:cs="FangSong_GB2312"/>
          <w:spacing w:val="-63"/>
          <w:sz w:val="32"/>
          <w:szCs w:val="32"/>
        </w:rPr>
        <w:t xml:space="preserve"> </w:t>
      </w:r>
      <w:r>
        <w:rPr>
          <w:rFonts w:ascii="FangSong_GB2312" w:hAnsi="FangSong_GB2312" w:eastAsia="FangSong_GB2312" w:cs="FangSong_GB2312"/>
          <w:spacing w:val="-13"/>
          <w:sz w:val="32"/>
          <w:szCs w:val="32"/>
        </w:rPr>
        <w:t>探索市场化、多元化生态补偿机制， 完善自然</w:t>
      </w:r>
      <w:r>
        <w:rPr>
          <w:rFonts w:ascii="FangSong_GB2312" w:hAnsi="FangSong_GB2312" w:eastAsia="FangSong_GB2312" w:cs="FangSong_GB2312"/>
          <w:spacing w:val="-14"/>
          <w:sz w:val="32"/>
          <w:szCs w:val="32"/>
        </w:rPr>
        <w:t>资源有偿使用和生态补</w:t>
      </w:r>
      <w:r>
        <w:rPr>
          <w:rFonts w:ascii="FangSong_GB2312" w:hAnsi="FangSong_GB2312" w:eastAsia="FangSong_GB2312" w:cs="FangSong_GB2312"/>
          <w:spacing w:val="-8"/>
          <w:sz w:val="32"/>
          <w:szCs w:val="32"/>
        </w:rPr>
        <w:t>偿机制。加大重点生态功能区、重要水系源头地区、自然</w:t>
      </w:r>
      <w:r>
        <w:rPr>
          <w:rFonts w:ascii="FangSong_GB2312" w:hAnsi="FangSong_GB2312" w:eastAsia="FangSong_GB2312" w:cs="FangSong_GB2312"/>
          <w:spacing w:val="-9"/>
          <w:sz w:val="32"/>
          <w:szCs w:val="32"/>
        </w:rPr>
        <w:t>保护区</w:t>
      </w:r>
      <w:r>
        <w:rPr>
          <w:rFonts w:ascii="FangSong_GB2312" w:hAnsi="FangSong_GB2312" w:eastAsia="FangSong_GB2312" w:cs="FangSong_GB2312"/>
          <w:spacing w:val="-8"/>
          <w:sz w:val="32"/>
          <w:szCs w:val="32"/>
        </w:rPr>
        <w:t>转移支付力度，建立健全财政资金与生态环境质量和生态价</w:t>
      </w:r>
      <w:r>
        <w:rPr>
          <w:rFonts w:ascii="FangSong_GB2312" w:hAnsi="FangSong_GB2312" w:eastAsia="FangSong_GB2312" w:cs="FangSong_GB2312"/>
          <w:spacing w:val="-9"/>
          <w:sz w:val="32"/>
          <w:szCs w:val="32"/>
        </w:rPr>
        <w:t>值转</w:t>
      </w:r>
      <w:r>
        <w:rPr>
          <w:rFonts w:ascii="FangSong_GB2312" w:hAnsi="FangSong_GB2312" w:eastAsia="FangSong_GB2312" w:cs="FangSong_GB2312"/>
          <w:spacing w:val="-8"/>
          <w:sz w:val="32"/>
          <w:szCs w:val="32"/>
        </w:rPr>
        <w:t>换挂钩激励机制。建立健全东江流域上下游横向生态补偿机</w:t>
      </w:r>
      <w:r>
        <w:rPr>
          <w:rFonts w:ascii="FangSong_GB2312" w:hAnsi="FangSong_GB2312" w:eastAsia="FangSong_GB2312" w:cs="FangSong_GB2312"/>
          <w:spacing w:val="-9"/>
          <w:sz w:val="32"/>
          <w:szCs w:val="32"/>
        </w:rPr>
        <w:t>制，</w:t>
      </w:r>
      <w:r>
        <w:rPr>
          <w:rFonts w:ascii="FangSong_GB2312" w:hAnsi="FangSong_GB2312" w:eastAsia="FangSong_GB2312" w:cs="FangSong_GB2312"/>
          <w:spacing w:val="-8"/>
          <w:sz w:val="32"/>
          <w:szCs w:val="32"/>
        </w:rPr>
        <w:t>进一步完善市内流域上下游横向生态补偿机制。选择有条件</w:t>
      </w:r>
      <w:r>
        <w:rPr>
          <w:rFonts w:ascii="FangSong_GB2312" w:hAnsi="FangSong_GB2312" w:eastAsia="FangSong_GB2312" w:cs="FangSong_GB2312"/>
          <w:spacing w:val="-9"/>
          <w:sz w:val="32"/>
          <w:szCs w:val="32"/>
        </w:rPr>
        <w:t>的重</w:t>
      </w:r>
      <w:r>
        <w:rPr>
          <w:rFonts w:ascii="FangSong_GB2312" w:hAnsi="FangSong_GB2312" w:eastAsia="FangSong_GB2312" w:cs="FangSong_GB2312"/>
          <w:spacing w:val="-8"/>
          <w:sz w:val="32"/>
          <w:szCs w:val="32"/>
        </w:rPr>
        <w:t>点跨区域流域开展生态补偿试点，建立流域生态补偿与污染</w:t>
      </w:r>
      <w:r>
        <w:rPr>
          <w:rFonts w:ascii="FangSong_GB2312" w:hAnsi="FangSong_GB2312" w:eastAsia="FangSong_GB2312" w:cs="FangSong_GB2312"/>
          <w:spacing w:val="-9"/>
          <w:sz w:val="32"/>
          <w:szCs w:val="32"/>
        </w:rPr>
        <w:t>赔偿</w:t>
      </w:r>
    </w:p>
    <w:p w14:paraId="407991BE">
      <w:pPr>
        <w:spacing w:line="330" w:lineRule="auto"/>
        <w:rPr>
          <w:rFonts w:ascii="FangSong_GB2312" w:hAnsi="FangSong_GB2312" w:eastAsia="FangSong_GB2312" w:cs="FangSong_GB2312"/>
          <w:sz w:val="32"/>
          <w:szCs w:val="32"/>
        </w:rPr>
        <w:sectPr>
          <w:footerReference r:id="rId23" w:type="default"/>
          <w:pgSz w:w="11905" w:h="16840"/>
          <w:pgMar w:top="1431" w:right="1385" w:bottom="1867" w:left="1590" w:header="0" w:footer="1506" w:gutter="0"/>
          <w:cols w:space="720" w:num="1"/>
        </w:sectPr>
      </w:pPr>
    </w:p>
    <w:p w14:paraId="080229D3">
      <w:pPr>
        <w:spacing w:line="342" w:lineRule="auto"/>
        <w:rPr>
          <w:rFonts w:ascii="Arial"/>
          <w:sz w:val="21"/>
        </w:rPr>
      </w:pPr>
    </w:p>
    <w:p w14:paraId="17D9C544">
      <w:pPr>
        <w:spacing w:line="343" w:lineRule="auto"/>
        <w:rPr>
          <w:rFonts w:ascii="Arial"/>
          <w:sz w:val="21"/>
        </w:rPr>
      </w:pPr>
    </w:p>
    <w:p w14:paraId="2820B9A0">
      <w:pPr>
        <w:spacing w:before="104" w:line="215" w:lineRule="auto"/>
        <w:ind w:left="3"/>
        <w:rPr>
          <w:rFonts w:ascii="FangSong_GB2312" w:hAnsi="FangSong_GB2312" w:eastAsia="FangSong_GB2312" w:cs="FangSong_GB2312"/>
          <w:sz w:val="32"/>
          <w:szCs w:val="32"/>
        </w:rPr>
      </w:pPr>
      <w:r>
        <w:rPr>
          <w:rFonts w:ascii="FangSong_GB2312" w:hAnsi="FangSong_GB2312" w:eastAsia="FangSong_GB2312" w:cs="FangSong_GB2312"/>
          <w:spacing w:val="-18"/>
          <w:sz w:val="32"/>
          <w:szCs w:val="32"/>
        </w:rPr>
        <w:t>双向机制。</w:t>
      </w:r>
    </w:p>
    <w:p w14:paraId="131FE13E">
      <w:pPr>
        <w:spacing w:before="202" w:line="216" w:lineRule="auto"/>
        <w:ind w:left="614"/>
        <w:rPr>
          <w:rFonts w:ascii="KaiTi_GB2312" w:hAnsi="KaiTi_GB2312" w:eastAsia="KaiTi_GB2312" w:cs="KaiTi_GB2312"/>
          <w:sz w:val="32"/>
          <w:szCs w:val="32"/>
        </w:rPr>
      </w:pPr>
      <w:r>
        <w:rPr>
          <w:rFonts w:ascii="KaiTi_GB2312" w:hAnsi="KaiTi_GB2312" w:eastAsia="KaiTi_GB2312" w:cs="KaiTi_GB2312"/>
          <w:spacing w:val="-7"/>
          <w:sz w:val="32"/>
          <w:szCs w:val="32"/>
        </w:rPr>
        <w:t>（二）推进自然生态综合性修复</w:t>
      </w:r>
    </w:p>
    <w:p w14:paraId="783A0879">
      <w:pPr>
        <w:spacing w:before="197" w:line="331" w:lineRule="auto"/>
        <w:ind w:right="13" w:firstLine="646"/>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强化流域水土流失和崩岗治理。加快实施国家水土保持重点</w:t>
      </w:r>
      <w:r>
        <w:rPr>
          <w:rFonts w:ascii="FangSong_GB2312" w:hAnsi="FangSong_GB2312" w:eastAsia="FangSong_GB2312" w:cs="FangSong_GB2312"/>
          <w:spacing w:val="-16"/>
          <w:sz w:val="32"/>
          <w:szCs w:val="32"/>
        </w:rPr>
        <w:t>工程，推进生态清洁小流域建设。强化江河源头</w:t>
      </w:r>
      <w:r>
        <w:rPr>
          <w:rFonts w:ascii="FangSong_GB2312" w:hAnsi="FangSong_GB2312" w:eastAsia="FangSong_GB2312" w:cs="FangSong_GB2312"/>
          <w:spacing w:val="-17"/>
          <w:sz w:val="32"/>
          <w:szCs w:val="32"/>
        </w:rPr>
        <w:t>保护与生态修复，</w:t>
      </w:r>
      <w:r>
        <w:rPr>
          <w:rFonts w:ascii="FangSong_GB2312" w:hAnsi="FangSong_GB2312" w:eastAsia="FangSong_GB2312" w:cs="FangSong_GB2312"/>
          <w:spacing w:val="-9"/>
          <w:sz w:val="32"/>
          <w:szCs w:val="32"/>
        </w:rPr>
        <w:t>加大连片崩岗治理力度，建设南方崩岗治理示范区和全国水土保</w:t>
      </w:r>
      <w:r>
        <w:rPr>
          <w:rFonts w:ascii="FangSong_GB2312" w:hAnsi="FangSong_GB2312" w:eastAsia="FangSong_GB2312" w:cs="FangSong_GB2312"/>
          <w:spacing w:val="-6"/>
          <w:sz w:val="32"/>
          <w:szCs w:val="32"/>
        </w:rPr>
        <w:t>持高质量发展示范区。开展水土流失形成机制及治理技术研究，</w:t>
      </w:r>
      <w:r>
        <w:rPr>
          <w:rFonts w:ascii="FangSong_GB2312" w:hAnsi="FangSong_GB2312" w:eastAsia="FangSong_GB2312" w:cs="FangSong_GB2312"/>
          <w:spacing w:val="-14"/>
          <w:sz w:val="32"/>
          <w:szCs w:val="32"/>
        </w:rPr>
        <w:t>积极推广水土保持技术。加强水土流失监测， 完善水土保持监测</w:t>
      </w:r>
      <w:r>
        <w:rPr>
          <w:rFonts w:ascii="FangSong_GB2312" w:hAnsi="FangSong_GB2312" w:eastAsia="FangSong_GB2312" w:cs="FangSong_GB2312"/>
          <w:spacing w:val="3"/>
          <w:sz w:val="32"/>
          <w:szCs w:val="32"/>
        </w:rPr>
        <w:t>网络和信息系统建设。完善市县乡村四级水土保持综合管护体</w:t>
      </w:r>
      <w:r>
        <w:rPr>
          <w:rFonts w:ascii="FangSong_GB2312" w:hAnsi="FangSong_GB2312" w:eastAsia="FangSong_GB2312" w:cs="FangSong_GB2312"/>
          <w:spacing w:val="-22"/>
          <w:sz w:val="32"/>
          <w:szCs w:val="32"/>
        </w:rPr>
        <w:t>系。</w:t>
      </w:r>
    </w:p>
    <w:p w14:paraId="1480FB3C">
      <w:pPr>
        <w:spacing w:before="4" w:line="331" w:lineRule="auto"/>
        <w:ind w:left="1" w:firstLine="635"/>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开展矿山生态保护与修复。持续推动废弃矿山地质环境综合</w:t>
      </w:r>
      <w:r>
        <w:rPr>
          <w:rFonts w:ascii="FangSong_GB2312" w:hAnsi="FangSong_GB2312" w:eastAsia="FangSong_GB2312" w:cs="FangSong_GB2312"/>
          <w:spacing w:val="-16"/>
          <w:sz w:val="32"/>
          <w:szCs w:val="32"/>
        </w:rPr>
        <w:t>治理工作，全面推广废弃矿山“三同治”模式，重点加强信丰县、</w:t>
      </w:r>
      <w:r>
        <w:rPr>
          <w:rFonts w:ascii="FangSong_GB2312" w:hAnsi="FangSong_GB2312" w:eastAsia="FangSong_GB2312" w:cs="FangSong_GB2312"/>
          <w:spacing w:val="-14"/>
          <w:sz w:val="32"/>
          <w:szCs w:val="32"/>
        </w:rPr>
        <w:t>龙南市全域采煤塌陷区生态修复治理。开展尾矿库综合治理， 支</w:t>
      </w:r>
      <w:r>
        <w:rPr>
          <w:rFonts w:ascii="FangSong_GB2312" w:hAnsi="FangSong_GB2312" w:eastAsia="FangSong_GB2312" w:cs="FangSong_GB2312"/>
          <w:spacing w:val="-9"/>
          <w:sz w:val="32"/>
          <w:szCs w:val="32"/>
        </w:rPr>
        <w:t>持稀土绿色开采，提升稀土废料综合利用水平，建设绿色矿业发</w:t>
      </w:r>
      <w:r>
        <w:rPr>
          <w:rFonts w:ascii="FangSong_GB2312" w:hAnsi="FangSong_GB2312" w:eastAsia="FangSong_GB2312" w:cs="FangSong_GB2312"/>
          <w:spacing w:val="-10"/>
          <w:sz w:val="32"/>
          <w:szCs w:val="32"/>
        </w:rPr>
        <w:t>展示范区。积极推广典型绿色矿山建设经验和管理模式。</w:t>
      </w:r>
    </w:p>
    <w:p w14:paraId="522063DD">
      <w:pPr>
        <w:spacing w:before="1" w:line="217" w:lineRule="auto"/>
        <w:ind w:left="614"/>
        <w:rPr>
          <w:rFonts w:ascii="KaiTi_GB2312" w:hAnsi="KaiTi_GB2312" w:eastAsia="KaiTi_GB2312" w:cs="KaiTi_GB2312"/>
          <w:sz w:val="32"/>
          <w:szCs w:val="32"/>
        </w:rPr>
      </w:pPr>
      <w:r>
        <w:rPr>
          <w:rFonts w:ascii="KaiTi_GB2312" w:hAnsi="KaiTi_GB2312" w:eastAsia="KaiTi_GB2312" w:cs="KaiTi_GB2312"/>
          <w:spacing w:val="-7"/>
          <w:sz w:val="32"/>
          <w:szCs w:val="32"/>
        </w:rPr>
        <w:t>（三）协同推进生物多样性治理</w:t>
      </w:r>
    </w:p>
    <w:p w14:paraId="6C33E183">
      <w:pPr>
        <w:spacing w:before="196" w:line="331" w:lineRule="auto"/>
        <w:ind w:right="8"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构建生物多样性网络。以提升重要生态功能区连通性、保护中亚热带常绿阔叶林原生生态系统和提高生物多样性为重点，逐</w:t>
      </w:r>
      <w:r>
        <w:rPr>
          <w:rFonts w:ascii="FangSong_GB2312" w:hAnsi="FangSong_GB2312" w:eastAsia="FangSong_GB2312" w:cs="FangSong_GB2312"/>
          <w:spacing w:val="3"/>
          <w:sz w:val="32"/>
          <w:szCs w:val="32"/>
        </w:rPr>
        <w:t>步形成赣江上游独具特色的亚热带森林生物多样性保护生态网</w:t>
      </w:r>
      <w:r>
        <w:rPr>
          <w:rFonts w:ascii="FangSong_GB2312" w:hAnsi="FangSong_GB2312" w:eastAsia="FangSong_GB2312" w:cs="FangSong_GB2312"/>
          <w:spacing w:val="-14"/>
          <w:sz w:val="32"/>
          <w:szCs w:val="32"/>
        </w:rPr>
        <w:t>络。加强南岭、武夷山脉生物多样性保护， 强化森林生态系统保</w:t>
      </w:r>
      <w:r>
        <w:rPr>
          <w:rFonts w:ascii="FangSong_GB2312" w:hAnsi="FangSong_GB2312" w:eastAsia="FangSong_GB2312" w:cs="FangSong_GB2312"/>
          <w:spacing w:val="-16"/>
          <w:sz w:val="32"/>
          <w:szCs w:val="32"/>
        </w:rPr>
        <w:t>护。推动在重点河段开展鱼类生态通道修复，实施生境连通</w:t>
      </w:r>
      <w:r>
        <w:rPr>
          <w:rFonts w:ascii="FangSong_GB2312" w:hAnsi="FangSong_GB2312" w:eastAsia="FangSong_GB2312" w:cs="FangSong_GB2312"/>
          <w:spacing w:val="-17"/>
          <w:sz w:val="32"/>
          <w:szCs w:val="32"/>
        </w:rPr>
        <w:t>工程，</w:t>
      </w:r>
      <w:r>
        <w:rPr>
          <w:rFonts w:ascii="FangSong_GB2312" w:hAnsi="FangSong_GB2312" w:eastAsia="FangSong_GB2312" w:cs="FangSong_GB2312"/>
          <w:spacing w:val="-9"/>
          <w:sz w:val="32"/>
          <w:szCs w:val="32"/>
        </w:rPr>
        <w:t>实施调水调沙鱼类保护措施，探索建设鱼类庇护场。加强珍稀濒</w:t>
      </w:r>
      <w:r>
        <w:rPr>
          <w:rFonts w:ascii="FangSong_GB2312" w:hAnsi="FangSong_GB2312" w:eastAsia="FangSong_GB2312" w:cs="FangSong_GB2312"/>
          <w:spacing w:val="-16"/>
          <w:sz w:val="32"/>
          <w:szCs w:val="32"/>
        </w:rPr>
        <w:t>危动植物、旗舰物种和指示物种就地扩繁、迁地保护、野外</w:t>
      </w:r>
      <w:r>
        <w:rPr>
          <w:rFonts w:ascii="FangSong_GB2312" w:hAnsi="FangSong_GB2312" w:eastAsia="FangSong_GB2312" w:cs="FangSong_GB2312"/>
          <w:spacing w:val="-17"/>
          <w:sz w:val="32"/>
          <w:szCs w:val="32"/>
        </w:rPr>
        <w:t>回归。</w:t>
      </w:r>
    </w:p>
    <w:p w14:paraId="15EB82FB">
      <w:pPr>
        <w:spacing w:line="331" w:lineRule="auto"/>
        <w:rPr>
          <w:rFonts w:ascii="FangSong_GB2312" w:hAnsi="FangSong_GB2312" w:eastAsia="FangSong_GB2312" w:cs="FangSong_GB2312"/>
          <w:sz w:val="32"/>
          <w:szCs w:val="32"/>
        </w:rPr>
        <w:sectPr>
          <w:footerReference r:id="rId24" w:type="default"/>
          <w:pgSz w:w="11905" w:h="16840"/>
          <w:pgMar w:top="1431" w:right="1481" w:bottom="1867" w:left="1600" w:header="0" w:footer="1506" w:gutter="0"/>
          <w:cols w:space="720" w:num="1"/>
        </w:sectPr>
      </w:pPr>
    </w:p>
    <w:p w14:paraId="59872316">
      <w:pPr>
        <w:spacing w:line="343" w:lineRule="auto"/>
        <w:rPr>
          <w:rFonts w:ascii="Arial"/>
          <w:sz w:val="21"/>
        </w:rPr>
      </w:pPr>
    </w:p>
    <w:p w14:paraId="46B5CA7C">
      <w:pPr>
        <w:spacing w:line="343" w:lineRule="auto"/>
        <w:rPr>
          <w:rFonts w:ascii="Arial"/>
          <w:sz w:val="21"/>
        </w:rPr>
      </w:pPr>
    </w:p>
    <w:p w14:paraId="447E51DC">
      <w:pPr>
        <w:spacing w:before="104" w:line="331" w:lineRule="auto"/>
        <w:ind w:right="84"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加强生物多样性监测。完善生物多样性保护网络监</w:t>
      </w:r>
      <w:r>
        <w:rPr>
          <w:rFonts w:ascii="FangSong_GB2312" w:hAnsi="FangSong_GB2312" w:eastAsia="FangSong_GB2312" w:cs="FangSong_GB2312"/>
          <w:spacing w:val="-15"/>
          <w:sz w:val="32"/>
          <w:szCs w:val="32"/>
        </w:rPr>
        <w:t>测， 以生</w:t>
      </w:r>
      <w:r>
        <w:rPr>
          <w:rFonts w:ascii="FangSong_GB2312" w:hAnsi="FangSong_GB2312" w:eastAsia="FangSong_GB2312" w:cs="FangSong_GB2312"/>
          <w:spacing w:val="-8"/>
          <w:sz w:val="32"/>
          <w:szCs w:val="32"/>
        </w:rPr>
        <w:t>物多样性保护优先区域为重点，加强野生动物</w:t>
      </w:r>
      <w:r>
        <w:rPr>
          <w:rFonts w:ascii="FangSong_GB2312" w:hAnsi="FangSong_GB2312" w:eastAsia="FangSong_GB2312" w:cs="FangSong_GB2312"/>
          <w:spacing w:val="-9"/>
          <w:sz w:val="32"/>
          <w:szCs w:val="32"/>
        </w:rPr>
        <w:t>及其栖息地状况调</w:t>
      </w:r>
      <w:r>
        <w:rPr>
          <w:rFonts w:ascii="FangSong_GB2312" w:hAnsi="FangSong_GB2312" w:eastAsia="FangSong_GB2312" w:cs="FangSong_GB2312"/>
          <w:spacing w:val="-14"/>
          <w:sz w:val="32"/>
          <w:szCs w:val="32"/>
        </w:rPr>
        <w:t>查、监测和评估， 推动生物多样性信息平台建设。建立完善生物</w:t>
      </w:r>
      <w:r>
        <w:rPr>
          <w:rFonts w:ascii="FangSong_GB2312" w:hAnsi="FangSong_GB2312" w:eastAsia="FangSong_GB2312" w:cs="FangSong_GB2312"/>
          <w:spacing w:val="-8"/>
          <w:sz w:val="32"/>
          <w:szCs w:val="32"/>
        </w:rPr>
        <w:t>多样性评估体系，开展生物多样性保护成效</w:t>
      </w:r>
      <w:r>
        <w:rPr>
          <w:rFonts w:ascii="FangSong_GB2312" w:hAnsi="FangSong_GB2312" w:eastAsia="FangSong_GB2312" w:cs="FangSong_GB2312"/>
          <w:spacing w:val="-9"/>
          <w:sz w:val="32"/>
          <w:szCs w:val="32"/>
        </w:rPr>
        <w:t>评估，将生物多样性</w:t>
      </w:r>
      <w:r>
        <w:rPr>
          <w:rFonts w:ascii="FangSong_GB2312" w:hAnsi="FangSong_GB2312" w:eastAsia="FangSong_GB2312" w:cs="FangSong_GB2312"/>
          <w:spacing w:val="-10"/>
          <w:sz w:val="32"/>
          <w:szCs w:val="32"/>
        </w:rPr>
        <w:t>保护恢复成效纳入生态质量成效评估体系。</w:t>
      </w:r>
    </w:p>
    <w:p w14:paraId="15928024">
      <w:pPr>
        <w:spacing w:before="1" w:line="331" w:lineRule="auto"/>
        <w:ind w:left="3" w:right="84" w:firstLine="622"/>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保障生物多样性安全。探索开展大型工程建设、资源开发利用、外来物种入侵、生物技术应用、气候变化、环境污染、自然灾害等对生物多样性的影响评价。开展外来入侵物种普查、监测</w:t>
      </w:r>
      <w:r>
        <w:rPr>
          <w:rFonts w:ascii="FangSong_GB2312" w:hAnsi="FangSong_GB2312" w:eastAsia="FangSong_GB2312" w:cs="FangSong_GB2312"/>
          <w:spacing w:val="-14"/>
          <w:sz w:val="32"/>
          <w:szCs w:val="32"/>
        </w:rPr>
        <w:t>预警、影响评估， 加强农田、渔业水域、森林、湿地等重点区域</w:t>
      </w:r>
      <w:r>
        <w:rPr>
          <w:rFonts w:ascii="FangSong_GB2312" w:hAnsi="FangSong_GB2312" w:eastAsia="FangSong_GB2312" w:cs="FangSong_GB2312"/>
          <w:spacing w:val="-9"/>
          <w:sz w:val="32"/>
          <w:szCs w:val="32"/>
        </w:rPr>
        <w:t>外来入侵物种的调查、监测、预警、控制、评估、清除、生态修</w:t>
      </w:r>
      <w:r>
        <w:rPr>
          <w:rFonts w:ascii="FangSong_GB2312" w:hAnsi="FangSong_GB2312" w:eastAsia="FangSong_GB2312" w:cs="FangSong_GB2312"/>
          <w:spacing w:val="-12"/>
          <w:sz w:val="32"/>
          <w:szCs w:val="32"/>
        </w:rPr>
        <w:t>复等工作。建立完善外来物种入侵防范体系，</w:t>
      </w:r>
      <w:r>
        <w:rPr>
          <w:rFonts w:ascii="FangSong_GB2312" w:hAnsi="FangSong_GB2312" w:eastAsia="FangSong_GB2312" w:cs="FangSong_GB2312"/>
          <w:spacing w:val="-59"/>
          <w:sz w:val="32"/>
          <w:szCs w:val="32"/>
        </w:rPr>
        <w:t xml:space="preserve"> </w:t>
      </w:r>
      <w:r>
        <w:rPr>
          <w:rFonts w:ascii="FangSong_GB2312" w:hAnsi="FangSong_GB2312" w:eastAsia="FangSong_GB2312" w:cs="FangSong_GB2312"/>
          <w:spacing w:val="-12"/>
          <w:sz w:val="32"/>
          <w:szCs w:val="32"/>
        </w:rPr>
        <w:t>制定风险防控</w:t>
      </w:r>
      <w:r>
        <w:rPr>
          <w:rFonts w:ascii="FangSong_GB2312" w:hAnsi="FangSong_GB2312" w:eastAsia="FangSong_GB2312" w:cs="FangSong_GB2312"/>
          <w:spacing w:val="-13"/>
          <w:sz w:val="32"/>
          <w:szCs w:val="32"/>
        </w:rPr>
        <w:t>计划</w:t>
      </w:r>
      <w:r>
        <w:rPr>
          <w:rFonts w:ascii="FangSong_GB2312" w:hAnsi="FangSong_GB2312" w:eastAsia="FangSong_GB2312" w:cs="FangSong_GB2312"/>
          <w:spacing w:val="-10"/>
          <w:sz w:val="32"/>
          <w:szCs w:val="32"/>
        </w:rPr>
        <w:t>和生物安全事件应急预案，保障生物安全。</w:t>
      </w:r>
    </w:p>
    <w:p w14:paraId="7B6E779F">
      <w:pPr>
        <w:spacing w:line="221" w:lineRule="auto"/>
        <w:ind w:left="640"/>
        <w:outlineLvl w:val="0"/>
        <w:rPr>
          <w:rFonts w:ascii="黑体" w:hAnsi="黑体" w:eastAsia="黑体" w:cs="黑体"/>
          <w:sz w:val="32"/>
          <w:szCs w:val="32"/>
        </w:rPr>
      </w:pPr>
      <w:r>
        <w:rPr>
          <w:rFonts w:ascii="黑体" w:hAnsi="黑体" w:eastAsia="黑体" w:cs="黑体"/>
          <w:spacing w:val="-8"/>
          <w:sz w:val="32"/>
          <w:szCs w:val="32"/>
        </w:rPr>
        <w:t>六、打造水秀山明的美丽环境</w:t>
      </w:r>
    </w:p>
    <w:p w14:paraId="646DB7C0">
      <w:pPr>
        <w:spacing w:before="192" w:line="331" w:lineRule="auto"/>
        <w:ind w:left="7" w:right="84" w:firstLine="666"/>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以改善环境质量为核心，坚持系统观念，坚持</w:t>
      </w:r>
      <w:r>
        <w:rPr>
          <w:rFonts w:ascii="FangSong_GB2312" w:hAnsi="FangSong_GB2312" w:eastAsia="FangSong_GB2312" w:cs="FangSong_GB2312"/>
          <w:spacing w:val="-11"/>
          <w:sz w:val="32"/>
          <w:szCs w:val="32"/>
        </w:rPr>
        <w:t>综合治理、系</w:t>
      </w:r>
      <w:r>
        <w:rPr>
          <w:rFonts w:ascii="FangSong_GB2312" w:hAnsi="FangSong_GB2312" w:eastAsia="FangSong_GB2312" w:cs="FangSong_GB2312"/>
          <w:spacing w:val="-21"/>
          <w:sz w:val="32"/>
          <w:szCs w:val="32"/>
        </w:rPr>
        <w:t>统治理、源头治理， 更加突出精准、科学、依法治污，</w:t>
      </w:r>
      <w:r>
        <w:rPr>
          <w:rFonts w:ascii="FangSong_GB2312" w:hAnsi="FangSong_GB2312" w:eastAsia="FangSong_GB2312" w:cs="FangSong_GB2312"/>
          <w:spacing w:val="49"/>
          <w:sz w:val="32"/>
          <w:szCs w:val="32"/>
        </w:rPr>
        <w:t xml:space="preserve"> </w:t>
      </w:r>
      <w:r>
        <w:rPr>
          <w:rFonts w:ascii="FangSong_GB2312" w:hAnsi="FangSong_GB2312" w:eastAsia="FangSong_GB2312" w:cs="FangSong_GB2312"/>
          <w:spacing w:val="-21"/>
          <w:sz w:val="32"/>
          <w:szCs w:val="32"/>
        </w:rPr>
        <w:t>统筹重点</w:t>
      </w:r>
      <w:r>
        <w:rPr>
          <w:rFonts w:ascii="FangSong_GB2312" w:hAnsi="FangSong_GB2312" w:eastAsia="FangSong_GB2312" w:cs="FangSong_GB2312"/>
          <w:spacing w:val="-14"/>
          <w:sz w:val="32"/>
          <w:szCs w:val="32"/>
        </w:rPr>
        <w:t>攻坚和协同治理，深入打好蓝天、碧水、净土保卫战， 着力解决</w:t>
      </w:r>
      <w:r>
        <w:rPr>
          <w:rFonts w:ascii="FangSong_GB2312" w:hAnsi="FangSong_GB2312" w:eastAsia="FangSong_GB2312" w:cs="FangSong_GB2312"/>
          <w:spacing w:val="-9"/>
          <w:sz w:val="32"/>
          <w:szCs w:val="32"/>
        </w:rPr>
        <w:t>突出环境问题，强化协同治理，持续提升生态环境品质，展现美</w:t>
      </w:r>
      <w:r>
        <w:rPr>
          <w:rFonts w:ascii="FangSong_GB2312" w:hAnsi="FangSong_GB2312" w:eastAsia="FangSong_GB2312" w:cs="FangSong_GB2312"/>
          <w:spacing w:val="-17"/>
          <w:sz w:val="32"/>
          <w:szCs w:val="32"/>
        </w:rPr>
        <w:t>丽赣州新貌。</w:t>
      </w:r>
    </w:p>
    <w:p w14:paraId="6FB0DD87">
      <w:pPr>
        <w:spacing w:before="1" w:line="215" w:lineRule="auto"/>
        <w:ind w:left="617"/>
        <w:rPr>
          <w:rFonts w:ascii="KaiTi_GB2312" w:hAnsi="KaiTi_GB2312" w:eastAsia="KaiTi_GB2312" w:cs="KaiTi_GB2312"/>
          <w:sz w:val="32"/>
          <w:szCs w:val="32"/>
        </w:rPr>
      </w:pPr>
      <w:r>
        <w:rPr>
          <w:rFonts w:ascii="KaiTi_GB2312" w:hAnsi="KaiTi_GB2312" w:eastAsia="KaiTi_GB2312" w:cs="KaiTi_GB2312"/>
          <w:spacing w:val="-7"/>
          <w:sz w:val="32"/>
          <w:szCs w:val="32"/>
        </w:rPr>
        <w:t>（一）持续推进“三水”统筹</w:t>
      </w:r>
    </w:p>
    <w:p w14:paraId="78D971CC">
      <w:pPr>
        <w:spacing w:before="197" w:line="332" w:lineRule="auto"/>
        <w:ind w:left="18" w:firstLine="631"/>
        <w:jc w:val="both"/>
        <w:rPr>
          <w:rFonts w:ascii="FangSong_GB2312" w:hAnsi="FangSong_GB2312" w:eastAsia="FangSong_GB2312" w:cs="FangSong_GB2312"/>
          <w:sz w:val="32"/>
          <w:szCs w:val="32"/>
        </w:rPr>
      </w:pPr>
      <w:r>
        <w:rPr>
          <w:rFonts w:ascii="FangSong_GB2312" w:hAnsi="FangSong_GB2312" w:eastAsia="FangSong_GB2312" w:cs="FangSong_GB2312"/>
          <w:spacing w:val="-18"/>
          <w:sz w:val="32"/>
          <w:szCs w:val="32"/>
        </w:rPr>
        <w:t>强化“三水”统筹管理。以水生态环境质量持续改善为核心，</w:t>
      </w:r>
      <w:r>
        <w:rPr>
          <w:rFonts w:ascii="FangSong_GB2312" w:hAnsi="FangSong_GB2312" w:eastAsia="FangSong_GB2312" w:cs="FangSong_GB2312"/>
          <w:spacing w:val="-9"/>
          <w:sz w:val="32"/>
          <w:szCs w:val="32"/>
        </w:rPr>
        <w:t>统筹推进水资源、水环境、水生态治理。建立健全水资源、水生</w:t>
      </w:r>
      <w:r>
        <w:rPr>
          <w:rFonts w:ascii="FangSong_GB2312" w:hAnsi="FangSong_GB2312" w:eastAsia="FangSong_GB2312" w:cs="FangSong_GB2312"/>
          <w:spacing w:val="2"/>
          <w:sz w:val="32"/>
          <w:szCs w:val="32"/>
        </w:rPr>
        <w:t>态和水环境监测评价体系，对重要江河湖库开展水生态环境评</w:t>
      </w:r>
    </w:p>
    <w:p w14:paraId="7D9F9F75">
      <w:pPr>
        <w:spacing w:line="332" w:lineRule="auto"/>
        <w:rPr>
          <w:rFonts w:ascii="FangSong_GB2312" w:hAnsi="FangSong_GB2312" w:eastAsia="FangSong_GB2312" w:cs="FangSong_GB2312"/>
          <w:sz w:val="32"/>
          <w:szCs w:val="32"/>
        </w:rPr>
        <w:sectPr>
          <w:footerReference r:id="rId25" w:type="default"/>
          <w:pgSz w:w="11905" w:h="16840"/>
          <w:pgMar w:top="1431" w:right="1493" w:bottom="1867" w:left="1596" w:header="0" w:footer="1504" w:gutter="0"/>
          <w:cols w:space="720" w:num="1"/>
        </w:sectPr>
      </w:pPr>
    </w:p>
    <w:p w14:paraId="1BF28BB8">
      <w:pPr>
        <w:spacing w:line="339" w:lineRule="auto"/>
        <w:rPr>
          <w:rFonts w:ascii="Arial"/>
          <w:sz w:val="21"/>
        </w:rPr>
      </w:pPr>
    </w:p>
    <w:p w14:paraId="32D3F70F">
      <w:pPr>
        <w:spacing w:line="340" w:lineRule="auto"/>
        <w:rPr>
          <w:rFonts w:ascii="Arial"/>
          <w:sz w:val="21"/>
        </w:rPr>
      </w:pPr>
    </w:p>
    <w:p w14:paraId="57801E9A">
      <w:pPr>
        <w:spacing w:before="104" w:line="332" w:lineRule="auto"/>
        <w:ind w:left="4" w:hanging="1"/>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价，深化水环境功能分区管控，统筹推进流域开发保护，增加生态用水保障，促进水生态恢复，持续改善水生态环境质量。强化</w:t>
      </w:r>
      <w:r>
        <w:rPr>
          <w:rFonts w:ascii="FangSong_GB2312" w:hAnsi="FangSong_GB2312" w:eastAsia="FangSong_GB2312" w:cs="FangSong_GB2312"/>
          <w:spacing w:val="-16"/>
          <w:sz w:val="32"/>
          <w:szCs w:val="32"/>
        </w:rPr>
        <w:t>流域上下游各级政府各部门协调联动，实施联合监测、联合执法、</w:t>
      </w:r>
      <w:r>
        <w:rPr>
          <w:rFonts w:ascii="FangSong_GB2312" w:hAnsi="FangSong_GB2312" w:eastAsia="FangSong_GB2312" w:cs="FangSong_GB2312"/>
          <w:spacing w:val="-13"/>
          <w:sz w:val="32"/>
          <w:szCs w:val="32"/>
        </w:rPr>
        <w:t>应急联动和信息共享。</w:t>
      </w:r>
    </w:p>
    <w:p w14:paraId="24A3BAB1">
      <w:pPr>
        <w:spacing w:line="331" w:lineRule="auto"/>
        <w:ind w:left="2" w:right="97" w:firstLine="627"/>
        <w:jc w:val="both"/>
        <w:rPr>
          <w:rFonts w:ascii="FangSong_GB2312" w:hAnsi="FangSong_GB2312" w:eastAsia="FangSong_GB2312" w:cs="FangSong_GB2312"/>
          <w:sz w:val="32"/>
          <w:szCs w:val="32"/>
        </w:rPr>
      </w:pPr>
      <w:r>
        <w:rPr>
          <w:rFonts w:ascii="FangSong_GB2312" w:hAnsi="FangSong_GB2312" w:eastAsia="FangSong_GB2312" w:cs="FangSong_GB2312"/>
          <w:spacing w:val="-13"/>
          <w:sz w:val="32"/>
          <w:szCs w:val="32"/>
        </w:rPr>
        <w:t>加强水资源保障。落实最严格水资源保护制度，</w:t>
      </w:r>
      <w:r>
        <w:rPr>
          <w:rFonts w:ascii="FangSong_GB2312" w:hAnsi="FangSong_GB2312" w:eastAsia="FangSong_GB2312" w:cs="FangSong_GB2312"/>
          <w:spacing w:val="-45"/>
          <w:sz w:val="32"/>
          <w:szCs w:val="32"/>
        </w:rPr>
        <w:t xml:space="preserve"> </w:t>
      </w:r>
      <w:r>
        <w:rPr>
          <w:rFonts w:ascii="FangSong_GB2312" w:hAnsi="FangSong_GB2312" w:eastAsia="FangSong_GB2312" w:cs="FangSong_GB2312"/>
          <w:spacing w:val="-13"/>
          <w:sz w:val="32"/>
          <w:szCs w:val="32"/>
        </w:rPr>
        <w:t>持续实施用</w:t>
      </w:r>
      <w:r>
        <w:rPr>
          <w:rFonts w:ascii="FangSong_GB2312" w:hAnsi="FangSong_GB2312" w:eastAsia="FangSong_GB2312" w:cs="FangSong_GB2312"/>
          <w:spacing w:val="-9"/>
          <w:sz w:val="32"/>
          <w:szCs w:val="32"/>
        </w:rPr>
        <w:t>水总量和强度“双控”。促进非常规水源利用，对重点企业实施中水利用工程，加强对现有污水处理厂深度改造，提升再生水供给能力。健全河湖生态流量保障机制，保障河湖生态用</w:t>
      </w:r>
      <w:r>
        <w:rPr>
          <w:rFonts w:ascii="FangSong_GB2312" w:hAnsi="FangSong_GB2312" w:eastAsia="FangSong_GB2312" w:cs="FangSong_GB2312"/>
          <w:spacing w:val="-10"/>
          <w:sz w:val="32"/>
          <w:szCs w:val="32"/>
        </w:rPr>
        <w:t>水需求。</w:t>
      </w:r>
    </w:p>
    <w:p w14:paraId="771B0176">
      <w:pPr>
        <w:spacing w:before="3" w:line="331" w:lineRule="auto"/>
        <w:ind w:left="7" w:right="96" w:firstLine="628"/>
        <w:jc w:val="both"/>
        <w:rPr>
          <w:rFonts w:ascii="FangSong_GB2312" w:hAnsi="FangSong_GB2312" w:eastAsia="FangSong_GB2312" w:cs="FangSong_GB2312"/>
          <w:sz w:val="32"/>
          <w:szCs w:val="32"/>
        </w:rPr>
      </w:pPr>
      <w:r>
        <w:rPr>
          <w:rFonts w:ascii="FangSong_GB2312" w:hAnsi="FangSong_GB2312" w:eastAsia="FangSong_GB2312" w:cs="FangSong_GB2312"/>
          <w:spacing w:val="-15"/>
          <w:sz w:val="32"/>
          <w:szCs w:val="32"/>
        </w:rPr>
        <w:t>深化水环境治理。强化入河排污口管理， 完善流域排污口监</w:t>
      </w:r>
      <w:r>
        <w:rPr>
          <w:rFonts w:ascii="FangSong_GB2312" w:hAnsi="FangSong_GB2312" w:eastAsia="FangSong_GB2312" w:cs="FangSong_GB2312"/>
          <w:spacing w:val="-9"/>
          <w:sz w:val="32"/>
          <w:szCs w:val="32"/>
        </w:rPr>
        <w:t>测网络，建立“水体—入河湖排污口—排污管线—污染源”全链</w:t>
      </w:r>
      <w:r>
        <w:rPr>
          <w:rFonts w:ascii="FangSong_GB2312" w:hAnsi="FangSong_GB2312" w:eastAsia="FangSong_GB2312" w:cs="FangSong_GB2312"/>
          <w:spacing w:val="-13"/>
          <w:sz w:val="32"/>
          <w:szCs w:val="32"/>
        </w:rPr>
        <w:t>条管理的水污染物排放治理体系。强化工业水污染防治</w:t>
      </w:r>
      <w:r>
        <w:rPr>
          <w:rFonts w:ascii="FangSong_GB2312" w:hAnsi="FangSong_GB2312" w:eastAsia="FangSong_GB2312" w:cs="FangSong_GB2312"/>
          <w:spacing w:val="-14"/>
          <w:sz w:val="32"/>
          <w:szCs w:val="32"/>
        </w:rPr>
        <w:t>，</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14"/>
          <w:sz w:val="32"/>
          <w:szCs w:val="32"/>
        </w:rPr>
        <w:t>推动工</w:t>
      </w:r>
      <w:r>
        <w:rPr>
          <w:rFonts w:ascii="FangSong_GB2312" w:hAnsi="FangSong_GB2312" w:eastAsia="FangSong_GB2312" w:cs="FangSong_GB2312"/>
          <w:spacing w:val="-9"/>
          <w:sz w:val="32"/>
          <w:szCs w:val="32"/>
        </w:rPr>
        <w:t>业企业外排污染物稳定达标排放，持续提升开发区污水处理设施</w:t>
      </w:r>
      <w:r>
        <w:rPr>
          <w:rFonts w:ascii="FangSong_GB2312" w:hAnsi="FangSong_GB2312" w:eastAsia="FangSong_GB2312" w:cs="FangSong_GB2312"/>
          <w:spacing w:val="-12"/>
          <w:sz w:val="32"/>
          <w:szCs w:val="32"/>
        </w:rPr>
        <w:t>处理能力和管理水平。加强城镇污水收集处理能力建设，</w:t>
      </w:r>
      <w:r>
        <w:rPr>
          <w:rFonts w:ascii="FangSong_GB2312" w:hAnsi="FangSong_GB2312" w:eastAsia="FangSong_GB2312" w:cs="FangSong_GB2312"/>
          <w:spacing w:val="-65"/>
          <w:sz w:val="32"/>
          <w:szCs w:val="32"/>
        </w:rPr>
        <w:t xml:space="preserve"> </w:t>
      </w:r>
      <w:r>
        <w:rPr>
          <w:rFonts w:ascii="FangSong_GB2312" w:hAnsi="FangSong_GB2312" w:eastAsia="FangSong_GB2312" w:cs="FangSong_GB2312"/>
          <w:spacing w:val="-12"/>
          <w:sz w:val="32"/>
          <w:szCs w:val="32"/>
        </w:rPr>
        <w:t>加快补</w:t>
      </w:r>
      <w:r>
        <w:rPr>
          <w:rFonts w:ascii="FangSong_GB2312" w:hAnsi="FangSong_GB2312" w:eastAsia="FangSong_GB2312" w:cs="FangSong_GB2312"/>
          <w:spacing w:val="-9"/>
          <w:sz w:val="32"/>
          <w:szCs w:val="32"/>
        </w:rPr>
        <w:t>齐城镇污水管网短板，实施城镇污水处理提质增效，提升污泥无</w:t>
      </w:r>
      <w:r>
        <w:rPr>
          <w:rFonts w:ascii="FangSong_GB2312" w:hAnsi="FangSong_GB2312" w:eastAsia="FangSong_GB2312" w:cs="FangSong_GB2312"/>
          <w:spacing w:val="-13"/>
          <w:sz w:val="32"/>
          <w:szCs w:val="32"/>
        </w:rPr>
        <w:t>害化处理和资源化利用水平。加强农业面源污染监管，</w:t>
      </w:r>
      <w:r>
        <w:rPr>
          <w:rFonts w:ascii="FangSong_GB2312" w:hAnsi="FangSong_GB2312" w:eastAsia="FangSong_GB2312" w:cs="FangSong_GB2312"/>
          <w:spacing w:val="-36"/>
          <w:sz w:val="32"/>
          <w:szCs w:val="32"/>
        </w:rPr>
        <w:t xml:space="preserve"> </w:t>
      </w:r>
      <w:r>
        <w:rPr>
          <w:rFonts w:ascii="FangSong_GB2312" w:hAnsi="FangSong_GB2312" w:eastAsia="FangSong_GB2312" w:cs="FangSong_GB2312"/>
          <w:spacing w:val="-13"/>
          <w:sz w:val="32"/>
          <w:szCs w:val="32"/>
        </w:rPr>
        <w:t>推进养殖业污染防治。强化船舶与港口污染防治，</w:t>
      </w:r>
      <w:r>
        <w:rPr>
          <w:rFonts w:ascii="FangSong_GB2312" w:hAnsi="FangSong_GB2312" w:eastAsia="FangSong_GB2312" w:cs="FangSong_GB2312"/>
          <w:spacing w:val="-37"/>
          <w:sz w:val="32"/>
          <w:szCs w:val="32"/>
        </w:rPr>
        <w:t xml:space="preserve"> </w:t>
      </w:r>
      <w:r>
        <w:rPr>
          <w:rFonts w:ascii="FangSong_GB2312" w:hAnsi="FangSong_GB2312" w:eastAsia="FangSong_GB2312" w:cs="FangSong_GB2312"/>
          <w:spacing w:val="-13"/>
          <w:sz w:val="32"/>
          <w:szCs w:val="32"/>
        </w:rPr>
        <w:t>严格落实船舶港口污染</w:t>
      </w:r>
      <w:r>
        <w:rPr>
          <w:rFonts w:ascii="FangSong_GB2312" w:hAnsi="FangSong_GB2312" w:eastAsia="FangSong_GB2312" w:cs="FangSong_GB2312"/>
          <w:spacing w:val="-14"/>
          <w:sz w:val="32"/>
          <w:szCs w:val="32"/>
        </w:rPr>
        <w:t>物接收、转运、处置联合监管机制。加强黑臭水体治理， 确保实</w:t>
      </w:r>
      <w:r>
        <w:rPr>
          <w:rFonts w:ascii="FangSong_GB2312" w:hAnsi="FangSong_GB2312" w:eastAsia="FangSong_GB2312" w:cs="FangSong_GB2312"/>
          <w:spacing w:val="-8"/>
          <w:sz w:val="32"/>
          <w:szCs w:val="32"/>
        </w:rPr>
        <w:t>现“长治久清”。</w:t>
      </w:r>
    </w:p>
    <w:p w14:paraId="34ED3C58">
      <w:pPr>
        <w:spacing w:before="6" w:line="330" w:lineRule="auto"/>
        <w:ind w:right="97" w:firstLine="627"/>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提升水生态品质。强化美丽河湖示范引领， 以“两河</w:t>
      </w:r>
      <w:r>
        <w:rPr>
          <w:rFonts w:ascii="FangSong_GB2312" w:hAnsi="FangSong_GB2312" w:eastAsia="FangSong_GB2312" w:cs="FangSong_GB2312"/>
          <w:spacing w:val="-15"/>
          <w:sz w:val="32"/>
          <w:szCs w:val="32"/>
        </w:rPr>
        <w:t>一湖两</w:t>
      </w:r>
      <w:r>
        <w:rPr>
          <w:rFonts w:ascii="FangSong_GB2312" w:hAnsi="FangSong_GB2312" w:eastAsia="FangSong_GB2312" w:cs="FangSong_GB2312"/>
          <w:spacing w:val="-8"/>
          <w:sz w:val="32"/>
          <w:szCs w:val="32"/>
        </w:rPr>
        <w:t>江”为骨架，实施赣江、东江、北江干流及支</w:t>
      </w:r>
      <w:r>
        <w:rPr>
          <w:rFonts w:ascii="FangSong_GB2312" w:hAnsi="FangSong_GB2312" w:eastAsia="FangSong_GB2312" w:cs="FangSong_GB2312"/>
          <w:spacing w:val="-9"/>
          <w:sz w:val="32"/>
          <w:szCs w:val="32"/>
        </w:rPr>
        <w:t>流等重点河湖生态</w:t>
      </w:r>
      <w:r>
        <w:rPr>
          <w:rFonts w:ascii="FangSong_GB2312" w:hAnsi="FangSong_GB2312" w:eastAsia="FangSong_GB2312" w:cs="FangSong_GB2312"/>
          <w:spacing w:val="-8"/>
          <w:sz w:val="32"/>
          <w:szCs w:val="32"/>
        </w:rPr>
        <w:t>保护修复工程，推进阳明湖、长岗水库等重</w:t>
      </w:r>
      <w:r>
        <w:rPr>
          <w:rFonts w:ascii="FangSong_GB2312" w:hAnsi="FangSong_GB2312" w:eastAsia="FangSong_GB2312" w:cs="FangSong_GB2312"/>
          <w:spacing w:val="-9"/>
          <w:sz w:val="32"/>
          <w:szCs w:val="32"/>
        </w:rPr>
        <w:t>点河湖治理与生态修</w:t>
      </w:r>
      <w:r>
        <w:rPr>
          <w:rFonts w:ascii="FangSong_GB2312" w:hAnsi="FangSong_GB2312" w:eastAsia="FangSong_GB2312" w:cs="FangSong_GB2312"/>
          <w:spacing w:val="-8"/>
          <w:sz w:val="32"/>
          <w:szCs w:val="32"/>
        </w:rPr>
        <w:t>复工程，构建赣江和东江流域系统化河湖生态</w:t>
      </w:r>
      <w:r>
        <w:rPr>
          <w:rFonts w:ascii="FangSong_GB2312" w:hAnsi="FangSong_GB2312" w:eastAsia="FangSong_GB2312" w:cs="FangSong_GB2312"/>
          <w:spacing w:val="-9"/>
          <w:sz w:val="32"/>
          <w:szCs w:val="32"/>
        </w:rPr>
        <w:t>缓冲带和“水下森</w:t>
      </w:r>
    </w:p>
    <w:p w14:paraId="13459F93">
      <w:pPr>
        <w:spacing w:line="330" w:lineRule="auto"/>
        <w:rPr>
          <w:rFonts w:ascii="FangSong_GB2312" w:hAnsi="FangSong_GB2312" w:eastAsia="FangSong_GB2312" w:cs="FangSong_GB2312"/>
          <w:sz w:val="32"/>
          <w:szCs w:val="32"/>
        </w:rPr>
        <w:sectPr>
          <w:footerReference r:id="rId26" w:type="default"/>
          <w:pgSz w:w="11905" w:h="16840"/>
          <w:pgMar w:top="1431" w:right="1480" w:bottom="1867" w:left="1596" w:header="0" w:footer="1504" w:gutter="0"/>
          <w:cols w:space="720" w:num="1"/>
        </w:sectPr>
      </w:pPr>
    </w:p>
    <w:p w14:paraId="3808D974">
      <w:pPr>
        <w:spacing w:line="343" w:lineRule="auto"/>
        <w:rPr>
          <w:rFonts w:ascii="Arial"/>
          <w:sz w:val="21"/>
        </w:rPr>
      </w:pPr>
    </w:p>
    <w:p w14:paraId="087FC7CD">
      <w:pPr>
        <w:spacing w:line="343" w:lineRule="auto"/>
        <w:rPr>
          <w:rFonts w:ascii="Arial"/>
          <w:sz w:val="21"/>
        </w:rPr>
      </w:pPr>
    </w:p>
    <w:p w14:paraId="22919732">
      <w:pPr>
        <w:pStyle w:val="2"/>
        <w:spacing w:before="104" w:line="331" w:lineRule="auto"/>
        <w:ind w:right="97" w:firstLine="2"/>
        <w:jc w:val="both"/>
        <w:rPr>
          <w:rFonts w:ascii="FangSong_GB2312" w:hAnsi="FangSong_GB2312" w:eastAsia="FangSong_GB2312" w:cs="FangSong_GB2312"/>
        </w:rPr>
      </w:pPr>
      <w:r>
        <w:rPr>
          <w:rFonts w:ascii="FangSong_GB2312" w:hAnsi="FangSong_GB2312" w:eastAsia="FangSong_GB2312" w:cs="FangSong_GB2312"/>
          <w:spacing w:val="-9"/>
        </w:rPr>
        <w:t>林”生态系统，推进赣县大湖江国家湿地公园等一批国家级湿地</w:t>
      </w:r>
      <w:r>
        <w:rPr>
          <w:rFonts w:ascii="FangSong_GB2312" w:hAnsi="FangSong_GB2312" w:eastAsia="FangSong_GB2312" w:cs="FangSong_GB2312"/>
          <w:spacing w:val="-8"/>
        </w:rPr>
        <w:t>公园开展湿地保护与恢复，建成一批美丽河湖保</w:t>
      </w:r>
      <w:r>
        <w:rPr>
          <w:rFonts w:ascii="FangSong_GB2312" w:hAnsi="FangSong_GB2312" w:eastAsia="FangSong_GB2312" w:cs="FangSong_GB2312"/>
          <w:spacing w:val="-9"/>
        </w:rPr>
        <w:t>护与建设优秀案</w:t>
      </w:r>
      <w:r>
        <w:rPr>
          <w:rFonts w:ascii="FangSong_GB2312" w:hAnsi="FangSong_GB2312" w:eastAsia="FangSong_GB2312" w:cs="FangSong_GB2312"/>
          <w:spacing w:val="-10"/>
        </w:rPr>
        <w:t>例。到</w:t>
      </w:r>
      <w:r>
        <w:rPr>
          <w:rFonts w:ascii="FangSong_GB2312" w:hAnsi="FangSong_GB2312" w:eastAsia="FangSong_GB2312" w:cs="FangSong_GB2312"/>
          <w:spacing w:val="-58"/>
        </w:rPr>
        <w:t xml:space="preserve"> </w:t>
      </w:r>
      <w:r>
        <w:rPr>
          <w:spacing w:val="-10"/>
        </w:rPr>
        <w:t>2035</w:t>
      </w:r>
      <w:r>
        <w:rPr>
          <w:spacing w:val="-70"/>
        </w:rPr>
        <w:t xml:space="preserve"> </w:t>
      </w:r>
      <w:r>
        <w:rPr>
          <w:rFonts w:ascii="FangSong_GB2312" w:hAnsi="FangSong_GB2312" w:eastAsia="FangSong_GB2312" w:cs="FangSong_GB2312"/>
          <w:spacing w:val="-10"/>
        </w:rPr>
        <w:t>年，全域实现水清水美、人水和谐景象。</w:t>
      </w:r>
    </w:p>
    <w:p w14:paraId="29C72EFB">
      <w:pPr>
        <w:spacing w:before="1" w:line="221" w:lineRule="auto"/>
        <w:ind w:left="619"/>
        <w:rPr>
          <w:rFonts w:ascii="KaiTi_GB2312" w:hAnsi="KaiTi_GB2312" w:eastAsia="KaiTi_GB2312" w:cs="KaiTi_GB2312"/>
          <w:sz w:val="32"/>
          <w:szCs w:val="32"/>
        </w:rPr>
      </w:pPr>
      <w:r>
        <w:rPr>
          <w:rFonts w:ascii="KaiTi_GB2312" w:hAnsi="KaiTi_GB2312" w:eastAsia="KaiTi_GB2312" w:cs="KaiTi_GB2312"/>
          <w:spacing w:val="-7"/>
          <w:sz w:val="32"/>
          <w:szCs w:val="32"/>
        </w:rPr>
        <w:t>（二）协同治理大气环境</w:t>
      </w:r>
    </w:p>
    <w:p w14:paraId="10632CD4">
      <w:pPr>
        <w:spacing w:before="190" w:line="331" w:lineRule="auto"/>
        <w:ind w:left="2" w:firstLine="628"/>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加强细颗粒物和臭氧污染协同防治。持续优化赣州市（中心城区五区）大气污染防治管家服务，探索建立细颗粒物、臭氧协</w:t>
      </w:r>
      <w:r>
        <w:rPr>
          <w:rFonts w:ascii="FangSong_GB2312" w:hAnsi="FangSong_GB2312" w:eastAsia="FangSong_GB2312" w:cs="FangSong_GB2312"/>
          <w:spacing w:val="-16"/>
          <w:sz w:val="32"/>
          <w:szCs w:val="32"/>
        </w:rPr>
        <w:t>同控制体系，研究制定协同控制方案，分季节、分区域、分时段、</w:t>
      </w:r>
      <w:r>
        <w:rPr>
          <w:rFonts w:ascii="FangSong_GB2312" w:hAnsi="FangSong_GB2312" w:eastAsia="FangSong_GB2312" w:cs="FangSong_GB2312"/>
          <w:spacing w:val="-9"/>
          <w:sz w:val="32"/>
          <w:szCs w:val="32"/>
        </w:rPr>
        <w:t>分行业开展差异化精细化管控，推动细颗粒物浓度持续下降，臭</w:t>
      </w:r>
      <w:r>
        <w:rPr>
          <w:rFonts w:ascii="FangSong_GB2312" w:hAnsi="FangSong_GB2312" w:eastAsia="FangSong_GB2312" w:cs="FangSong_GB2312"/>
          <w:spacing w:val="-5"/>
          <w:sz w:val="32"/>
          <w:szCs w:val="32"/>
        </w:rPr>
        <w:t>氧浓度稳中向好。推动火电、钢铁、水泥等行业超低排放改造。</w:t>
      </w:r>
      <w:r>
        <w:rPr>
          <w:rFonts w:ascii="FangSong_GB2312" w:hAnsi="FangSong_GB2312" w:eastAsia="FangSong_GB2312" w:cs="FangSong_GB2312"/>
          <w:spacing w:val="-9"/>
          <w:sz w:val="32"/>
          <w:szCs w:val="32"/>
        </w:rPr>
        <w:t>实施石化、化工、工业涂装、包装印刷等重点行业挥发性有机物综合治理，进一步推广“共性车间”建设，推动建设家具、汽车</w:t>
      </w:r>
      <w:r>
        <w:rPr>
          <w:rFonts w:ascii="FangSong_GB2312" w:hAnsi="FangSong_GB2312" w:eastAsia="FangSong_GB2312" w:cs="FangSong_GB2312"/>
          <w:spacing w:val="-14"/>
          <w:sz w:val="32"/>
          <w:szCs w:val="32"/>
        </w:rPr>
        <w:t>维修等典型行业喷涂共性工厂。细化城市扬尘管控， 加强餐饮油</w:t>
      </w:r>
      <w:r>
        <w:rPr>
          <w:rFonts w:ascii="FangSong_GB2312" w:hAnsi="FangSong_GB2312" w:eastAsia="FangSong_GB2312" w:cs="FangSong_GB2312"/>
          <w:spacing w:val="-11"/>
          <w:sz w:val="32"/>
          <w:szCs w:val="32"/>
        </w:rPr>
        <w:t>烟治理，严格整治露天焚烧行为。</w:t>
      </w:r>
    </w:p>
    <w:p w14:paraId="142BA100">
      <w:pPr>
        <w:spacing w:before="10" w:line="330" w:lineRule="auto"/>
        <w:ind w:left="5" w:right="12" w:firstLine="646"/>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强化大气污染联防联控。与邻省及省内周边城市建立区域大</w:t>
      </w:r>
      <w:r>
        <w:rPr>
          <w:rFonts w:ascii="FangSong_GB2312" w:hAnsi="FangSong_GB2312" w:eastAsia="FangSong_GB2312" w:cs="FangSong_GB2312"/>
          <w:spacing w:val="-9"/>
          <w:sz w:val="32"/>
          <w:szCs w:val="32"/>
        </w:rPr>
        <w:t>气污染联防联控机制，形成区域统一的重大环境问题决策协商机制、信息通告与报告机制。加强与龙岩市、三明市、梅州市、河源市、韶关市、郴州市、吉安市、抚州市区域大气污染防治联防</w:t>
      </w:r>
      <w:r>
        <w:rPr>
          <w:rFonts w:ascii="FangSong_GB2312" w:hAnsi="FangSong_GB2312" w:eastAsia="FangSong_GB2312" w:cs="FangSong_GB2312"/>
          <w:spacing w:val="-16"/>
          <w:sz w:val="32"/>
          <w:szCs w:val="32"/>
        </w:rPr>
        <w:t>联控合作，推动实现共同预警、同时响应、联合执</w:t>
      </w:r>
      <w:r>
        <w:rPr>
          <w:rFonts w:ascii="FangSong_GB2312" w:hAnsi="FangSong_GB2312" w:eastAsia="FangSong_GB2312" w:cs="FangSong_GB2312"/>
          <w:spacing w:val="-17"/>
          <w:sz w:val="32"/>
          <w:szCs w:val="32"/>
        </w:rPr>
        <w:t>法、统一评估，</w:t>
      </w:r>
      <w:r>
        <w:rPr>
          <w:rFonts w:ascii="FangSong_GB2312" w:hAnsi="FangSong_GB2312" w:eastAsia="FangSong_GB2312" w:cs="FangSong_GB2312"/>
          <w:spacing w:val="3"/>
          <w:sz w:val="32"/>
          <w:szCs w:val="32"/>
        </w:rPr>
        <w:t>加强重污染天气应急联动。推进区域大气环境质量信息数据共</w:t>
      </w:r>
      <w:r>
        <w:rPr>
          <w:rFonts w:ascii="FangSong_GB2312" w:hAnsi="FangSong_GB2312" w:eastAsia="FangSong_GB2312" w:cs="FangSong_GB2312"/>
          <w:spacing w:val="-9"/>
          <w:sz w:val="32"/>
          <w:szCs w:val="32"/>
        </w:rPr>
        <w:t>享。合作开展区域臭氧污染成因分析和治理技术攻关，探索区域</w:t>
      </w:r>
      <w:r>
        <w:rPr>
          <w:rFonts w:ascii="FangSong_GB2312" w:hAnsi="FangSong_GB2312" w:eastAsia="FangSong_GB2312" w:cs="FangSong_GB2312"/>
          <w:spacing w:val="-11"/>
          <w:sz w:val="32"/>
          <w:szCs w:val="32"/>
        </w:rPr>
        <w:t>大气环境质量持续共同改善路径。</w:t>
      </w:r>
    </w:p>
    <w:p w14:paraId="56F37448">
      <w:pPr>
        <w:spacing w:before="8" w:line="215" w:lineRule="auto"/>
        <w:ind w:left="619"/>
        <w:rPr>
          <w:rFonts w:ascii="KaiTi_GB2312" w:hAnsi="KaiTi_GB2312" w:eastAsia="KaiTi_GB2312" w:cs="KaiTi_GB2312"/>
          <w:sz w:val="32"/>
          <w:szCs w:val="32"/>
        </w:rPr>
      </w:pPr>
      <w:r>
        <w:rPr>
          <w:rFonts w:ascii="KaiTi_GB2312" w:hAnsi="KaiTi_GB2312" w:eastAsia="KaiTi_GB2312" w:cs="KaiTi_GB2312"/>
          <w:spacing w:val="-8"/>
          <w:sz w:val="32"/>
          <w:szCs w:val="32"/>
        </w:rPr>
        <w:t>（三）系统防控土壤污染</w:t>
      </w:r>
    </w:p>
    <w:p w14:paraId="50B30EDB">
      <w:pPr>
        <w:spacing w:line="215" w:lineRule="auto"/>
        <w:rPr>
          <w:rFonts w:ascii="KaiTi_GB2312" w:hAnsi="KaiTi_GB2312" w:eastAsia="KaiTi_GB2312" w:cs="KaiTi_GB2312"/>
          <w:sz w:val="32"/>
          <w:szCs w:val="32"/>
        </w:rPr>
        <w:sectPr>
          <w:footerReference r:id="rId27" w:type="default"/>
          <w:pgSz w:w="11905" w:h="16840"/>
          <w:pgMar w:top="1431" w:right="1481" w:bottom="1867" w:left="1594" w:header="0" w:footer="1506" w:gutter="0"/>
          <w:cols w:space="720" w:num="1"/>
        </w:sectPr>
      </w:pPr>
    </w:p>
    <w:p w14:paraId="32A5954A">
      <w:pPr>
        <w:spacing w:line="343" w:lineRule="auto"/>
        <w:rPr>
          <w:rFonts w:ascii="Arial"/>
          <w:sz w:val="21"/>
        </w:rPr>
      </w:pPr>
    </w:p>
    <w:p w14:paraId="71B967FA">
      <w:pPr>
        <w:spacing w:line="343" w:lineRule="auto"/>
        <w:rPr>
          <w:rFonts w:ascii="Arial"/>
          <w:sz w:val="21"/>
        </w:rPr>
      </w:pPr>
    </w:p>
    <w:p w14:paraId="59A3671B">
      <w:pPr>
        <w:spacing w:before="104" w:line="331" w:lineRule="auto"/>
        <w:ind w:left="4" w:right="1" w:firstLine="627"/>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土壤环境全生命周期管理。统筹土壤和地下水污染协同防治，健全多部门联合监管机制，以问题为导向，推动构建查、防、控、治、评五位一体的全生命周期环境监管和绿色可持续修复体系，推动土壤生态环境管理从风险管控、质量提升到健康安</w:t>
      </w:r>
      <w:r>
        <w:rPr>
          <w:rFonts w:ascii="FangSong_GB2312" w:hAnsi="FangSong_GB2312" w:eastAsia="FangSong_GB2312" w:cs="FangSong_GB2312"/>
          <w:spacing w:val="-16"/>
          <w:sz w:val="32"/>
          <w:szCs w:val="32"/>
        </w:rPr>
        <w:t>全逐步健全。</w:t>
      </w:r>
    </w:p>
    <w:p w14:paraId="68C2C77A">
      <w:pPr>
        <w:spacing w:before="2" w:line="331" w:lineRule="auto"/>
        <w:ind w:firstLine="652"/>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强化土壤和地下水污染风险防控。加强耕地土壤污染源头管</w:t>
      </w:r>
      <w:r>
        <w:rPr>
          <w:rFonts w:ascii="FangSong_GB2312" w:hAnsi="FangSong_GB2312" w:eastAsia="FangSong_GB2312" w:cs="FangSong_GB2312"/>
          <w:spacing w:val="-8"/>
          <w:sz w:val="32"/>
          <w:szCs w:val="32"/>
        </w:rPr>
        <w:t>控，建立健全农用地安全利用可持续效果评价机</w:t>
      </w:r>
      <w:r>
        <w:rPr>
          <w:rFonts w:ascii="FangSong_GB2312" w:hAnsi="FangSong_GB2312" w:eastAsia="FangSong_GB2312" w:cs="FangSong_GB2312"/>
          <w:spacing w:val="-9"/>
          <w:sz w:val="32"/>
          <w:szCs w:val="32"/>
        </w:rPr>
        <w:t>制和农用地土壤</w:t>
      </w:r>
      <w:r>
        <w:rPr>
          <w:rFonts w:ascii="FangSong_GB2312" w:hAnsi="FangSong_GB2312" w:eastAsia="FangSong_GB2312" w:cs="FangSong_GB2312"/>
          <w:spacing w:val="-8"/>
          <w:sz w:val="32"/>
          <w:szCs w:val="32"/>
        </w:rPr>
        <w:t>污染及农产品质量联动监管机制，持续推进农用</w:t>
      </w:r>
      <w:r>
        <w:rPr>
          <w:rFonts w:ascii="FangSong_GB2312" w:hAnsi="FangSong_GB2312" w:eastAsia="FangSong_GB2312" w:cs="FangSong_GB2312"/>
          <w:spacing w:val="-9"/>
          <w:sz w:val="32"/>
          <w:szCs w:val="32"/>
        </w:rPr>
        <w:t>地分类管理和安</w:t>
      </w:r>
      <w:r>
        <w:rPr>
          <w:rFonts w:ascii="FangSong_GB2312" w:hAnsi="FangSong_GB2312" w:eastAsia="FangSong_GB2312" w:cs="FangSong_GB2312"/>
          <w:spacing w:val="-11"/>
          <w:sz w:val="32"/>
          <w:szCs w:val="32"/>
        </w:rPr>
        <w:t>全利用。落实建设用地土壤污染风险管控和修复名录制度，</w:t>
      </w:r>
      <w:r>
        <w:rPr>
          <w:rFonts w:ascii="FangSong_GB2312" w:hAnsi="FangSong_GB2312" w:eastAsia="FangSong_GB2312" w:cs="FangSong_GB2312"/>
          <w:spacing w:val="-81"/>
          <w:sz w:val="32"/>
          <w:szCs w:val="32"/>
        </w:rPr>
        <w:t xml:space="preserve"> </w:t>
      </w:r>
      <w:r>
        <w:rPr>
          <w:rFonts w:ascii="FangSong_GB2312" w:hAnsi="FangSong_GB2312" w:eastAsia="FangSong_GB2312" w:cs="FangSong_GB2312"/>
          <w:spacing w:val="-11"/>
          <w:sz w:val="32"/>
          <w:szCs w:val="32"/>
        </w:rPr>
        <w:t>强化</w:t>
      </w:r>
      <w:r>
        <w:rPr>
          <w:rFonts w:ascii="FangSong_GB2312" w:hAnsi="FangSong_GB2312" w:eastAsia="FangSong_GB2312" w:cs="FangSong_GB2312"/>
          <w:spacing w:val="-8"/>
          <w:sz w:val="32"/>
          <w:szCs w:val="32"/>
        </w:rPr>
        <w:t>用地准入管理和部门联动监管，推进建设用地风险</w:t>
      </w:r>
      <w:r>
        <w:rPr>
          <w:rFonts w:ascii="FangSong_GB2312" w:hAnsi="FangSong_GB2312" w:eastAsia="FangSong_GB2312" w:cs="FangSong_GB2312"/>
          <w:spacing w:val="-9"/>
          <w:sz w:val="32"/>
          <w:szCs w:val="32"/>
        </w:rPr>
        <w:t>管控和绿色低</w:t>
      </w:r>
      <w:r>
        <w:rPr>
          <w:rFonts w:ascii="FangSong_GB2312" w:hAnsi="FangSong_GB2312" w:eastAsia="FangSong_GB2312" w:cs="FangSong_GB2312"/>
          <w:spacing w:val="-12"/>
          <w:sz w:val="32"/>
          <w:szCs w:val="32"/>
        </w:rPr>
        <w:t>碳可持续修复。健全地下水分级分区管控机制，</w:t>
      </w:r>
      <w:r>
        <w:rPr>
          <w:rFonts w:ascii="FangSong_GB2312" w:hAnsi="FangSong_GB2312" w:eastAsia="FangSong_GB2312" w:cs="FangSong_GB2312"/>
          <w:spacing w:val="-54"/>
          <w:sz w:val="32"/>
          <w:szCs w:val="32"/>
        </w:rPr>
        <w:t xml:space="preserve"> </w:t>
      </w:r>
      <w:r>
        <w:rPr>
          <w:rFonts w:ascii="FangSong_GB2312" w:hAnsi="FangSong_GB2312" w:eastAsia="FangSong_GB2312" w:cs="FangSong_GB2312"/>
          <w:spacing w:val="-12"/>
          <w:sz w:val="32"/>
          <w:szCs w:val="32"/>
        </w:rPr>
        <w:t>加强地下水环境</w:t>
      </w:r>
      <w:r>
        <w:rPr>
          <w:rFonts w:ascii="FangSong_GB2312" w:hAnsi="FangSong_GB2312" w:eastAsia="FangSong_GB2312" w:cs="FangSong_GB2312"/>
          <w:spacing w:val="-8"/>
          <w:sz w:val="32"/>
          <w:szCs w:val="32"/>
        </w:rPr>
        <w:t>状况调查与风险评估，推进地下水污染质量目标管</w:t>
      </w:r>
      <w:r>
        <w:rPr>
          <w:rFonts w:ascii="FangSong_GB2312" w:hAnsi="FangSong_GB2312" w:eastAsia="FangSong_GB2312" w:cs="FangSong_GB2312"/>
          <w:spacing w:val="-9"/>
          <w:sz w:val="32"/>
          <w:szCs w:val="32"/>
        </w:rPr>
        <w:t>理、风险管控</w:t>
      </w:r>
      <w:r>
        <w:rPr>
          <w:rFonts w:ascii="FangSong_GB2312" w:hAnsi="FangSong_GB2312" w:eastAsia="FangSong_GB2312" w:cs="FangSong_GB2312"/>
          <w:spacing w:val="-15"/>
          <w:sz w:val="32"/>
          <w:szCs w:val="32"/>
        </w:rPr>
        <w:t>与修复治理。</w:t>
      </w:r>
    </w:p>
    <w:p w14:paraId="6EF7E016">
      <w:pPr>
        <w:spacing w:before="1" w:line="219" w:lineRule="auto"/>
        <w:ind w:left="631"/>
        <w:outlineLvl w:val="0"/>
        <w:rPr>
          <w:rFonts w:ascii="黑体" w:hAnsi="黑体" w:eastAsia="黑体" w:cs="黑体"/>
          <w:sz w:val="32"/>
          <w:szCs w:val="32"/>
        </w:rPr>
      </w:pPr>
      <w:r>
        <w:rPr>
          <w:rFonts w:ascii="黑体" w:hAnsi="黑体" w:eastAsia="黑体" w:cs="黑体"/>
          <w:spacing w:val="-7"/>
          <w:sz w:val="32"/>
          <w:szCs w:val="32"/>
        </w:rPr>
        <w:t>七、筑牢稳定可靠的安全防线</w:t>
      </w:r>
    </w:p>
    <w:p w14:paraId="0133C315">
      <w:pPr>
        <w:spacing w:before="187" w:line="332" w:lineRule="auto"/>
        <w:ind w:left="9" w:firstLine="666"/>
        <w:jc w:val="both"/>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以环境健康安全为出发点，牢固树立环境风险防控底线思</w:t>
      </w:r>
      <w:r>
        <w:rPr>
          <w:rFonts w:ascii="FangSong_GB2312" w:hAnsi="FangSong_GB2312" w:eastAsia="FangSong_GB2312" w:cs="FangSong_GB2312"/>
          <w:spacing w:val="-9"/>
          <w:sz w:val="32"/>
          <w:szCs w:val="32"/>
        </w:rPr>
        <w:t>维，健全环境风险防范和应急管理体系，提升重点领域环境隐患</w:t>
      </w:r>
      <w:r>
        <w:rPr>
          <w:rFonts w:ascii="FangSong_GB2312" w:hAnsi="FangSong_GB2312" w:eastAsia="FangSong_GB2312" w:cs="FangSong_GB2312"/>
          <w:spacing w:val="-14"/>
          <w:sz w:val="32"/>
          <w:szCs w:val="32"/>
        </w:rPr>
        <w:t>排查、风险预警和防控水平， 全域推进无废城市建设，守牢美丽赣州建设安全底线。</w:t>
      </w:r>
    </w:p>
    <w:p w14:paraId="40300FDF">
      <w:pPr>
        <w:spacing w:before="1" w:line="217" w:lineRule="auto"/>
        <w:ind w:left="620"/>
        <w:rPr>
          <w:rFonts w:ascii="KaiTi_GB2312" w:hAnsi="KaiTi_GB2312" w:eastAsia="KaiTi_GB2312" w:cs="KaiTi_GB2312"/>
          <w:sz w:val="32"/>
          <w:szCs w:val="32"/>
        </w:rPr>
      </w:pPr>
      <w:r>
        <w:rPr>
          <w:rFonts w:ascii="KaiTi_GB2312" w:hAnsi="KaiTi_GB2312" w:eastAsia="KaiTi_GB2312" w:cs="KaiTi_GB2312"/>
          <w:spacing w:val="-11"/>
          <w:sz w:val="32"/>
          <w:szCs w:val="32"/>
        </w:rPr>
        <w:t>（一）完善风险防范体系</w:t>
      </w:r>
    </w:p>
    <w:p w14:paraId="54487E8A">
      <w:pPr>
        <w:spacing w:before="196" w:line="330" w:lineRule="auto"/>
        <w:ind w:left="9" w:firstLine="622"/>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加强生态环境风险防范与应急管理。统筹环境污染、生态破</w:t>
      </w:r>
      <w:r>
        <w:rPr>
          <w:rFonts w:ascii="FangSong_GB2312" w:hAnsi="FangSong_GB2312" w:eastAsia="FangSong_GB2312" w:cs="FangSong_GB2312"/>
          <w:spacing w:val="-14"/>
          <w:sz w:val="32"/>
          <w:szCs w:val="32"/>
        </w:rPr>
        <w:t>坏、气候风险等类型， 以人体健康为导向，持续健全事前事中事</w:t>
      </w:r>
      <w:r>
        <w:rPr>
          <w:rFonts w:ascii="FangSong_GB2312" w:hAnsi="FangSong_GB2312" w:eastAsia="FangSong_GB2312" w:cs="FangSong_GB2312"/>
          <w:spacing w:val="-9"/>
          <w:sz w:val="32"/>
          <w:szCs w:val="32"/>
        </w:rPr>
        <w:t>后全周期、全过程、多层级的生态环境风险防范体系和预案、管</w:t>
      </w:r>
    </w:p>
    <w:p w14:paraId="578723C8">
      <w:pPr>
        <w:spacing w:line="330" w:lineRule="auto"/>
        <w:rPr>
          <w:rFonts w:ascii="FangSong_GB2312" w:hAnsi="FangSong_GB2312" w:eastAsia="FangSong_GB2312" w:cs="FangSong_GB2312"/>
          <w:sz w:val="32"/>
          <w:szCs w:val="32"/>
        </w:rPr>
        <w:sectPr>
          <w:footerReference r:id="rId28" w:type="default"/>
          <w:pgSz w:w="11905" w:h="16840"/>
          <w:pgMar w:top="1431" w:right="1578" w:bottom="1867" w:left="1593" w:header="0" w:footer="1504" w:gutter="0"/>
          <w:cols w:space="720" w:num="1"/>
        </w:sectPr>
      </w:pPr>
    </w:p>
    <w:p w14:paraId="682C3322">
      <w:pPr>
        <w:spacing w:line="342" w:lineRule="auto"/>
        <w:rPr>
          <w:rFonts w:ascii="Arial"/>
          <w:sz w:val="21"/>
        </w:rPr>
      </w:pPr>
    </w:p>
    <w:p w14:paraId="1AF6A1B1">
      <w:pPr>
        <w:spacing w:line="342" w:lineRule="auto"/>
        <w:rPr>
          <w:rFonts w:ascii="Arial"/>
          <w:sz w:val="21"/>
        </w:rPr>
      </w:pPr>
    </w:p>
    <w:p w14:paraId="14D2E802">
      <w:pPr>
        <w:spacing w:before="104" w:line="331" w:lineRule="auto"/>
        <w:ind w:left="12" w:hanging="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理、支撑、预警四位一体的环境应急管理体系。全面推广南阳实践，编制章江、贡江、东江等重点流域“一河一策一图”环境应急响应方案，绘制生态环境健康风险地图。依托环境应急专家库和环境应急指挥平台，提升突发环境应急事件处理与舆情应对专</w:t>
      </w:r>
      <w:r>
        <w:rPr>
          <w:rFonts w:ascii="FangSong_GB2312" w:hAnsi="FangSong_GB2312" w:eastAsia="FangSong_GB2312" w:cs="FangSong_GB2312"/>
          <w:spacing w:val="-18"/>
          <w:sz w:val="32"/>
          <w:szCs w:val="32"/>
        </w:rPr>
        <w:t>业化水平。</w:t>
      </w:r>
    </w:p>
    <w:p w14:paraId="2FEF6C01">
      <w:pPr>
        <w:spacing w:before="4" w:line="331" w:lineRule="auto"/>
        <w:ind w:firstLine="651"/>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强化生态环境与健康管理。建立环境与健康调查、监测和风</w:t>
      </w:r>
      <w:r>
        <w:rPr>
          <w:rFonts w:ascii="FangSong_GB2312" w:hAnsi="FangSong_GB2312" w:eastAsia="FangSong_GB2312" w:cs="FangSong_GB2312"/>
          <w:spacing w:val="-8"/>
          <w:sz w:val="32"/>
          <w:szCs w:val="32"/>
        </w:rPr>
        <w:t>险评估制度，开展重点地区、重点企业环境健康</w:t>
      </w:r>
      <w:r>
        <w:rPr>
          <w:rFonts w:ascii="FangSong_GB2312" w:hAnsi="FangSong_GB2312" w:eastAsia="FangSong_GB2312" w:cs="FangSong_GB2312"/>
          <w:spacing w:val="-9"/>
          <w:sz w:val="32"/>
          <w:szCs w:val="32"/>
        </w:rPr>
        <w:t>风险评估与环境</w:t>
      </w:r>
      <w:r>
        <w:rPr>
          <w:rFonts w:ascii="FangSong_GB2312" w:hAnsi="FangSong_GB2312" w:eastAsia="FangSong_GB2312" w:cs="FangSong_GB2312"/>
          <w:spacing w:val="-8"/>
          <w:sz w:val="32"/>
          <w:szCs w:val="32"/>
        </w:rPr>
        <w:t>风险管理。持续开展公民环境与健康素养调查和提</w:t>
      </w:r>
      <w:r>
        <w:rPr>
          <w:rFonts w:ascii="FangSong_GB2312" w:hAnsi="FangSong_GB2312" w:eastAsia="FangSong_GB2312" w:cs="FangSong_GB2312"/>
          <w:spacing w:val="-9"/>
          <w:sz w:val="32"/>
          <w:szCs w:val="32"/>
        </w:rPr>
        <w:t>升活动。完善</w:t>
      </w:r>
      <w:r>
        <w:rPr>
          <w:rFonts w:ascii="FangSong_GB2312" w:hAnsi="FangSong_GB2312" w:eastAsia="FangSong_GB2312" w:cs="FangSong_GB2312"/>
          <w:spacing w:val="-8"/>
          <w:sz w:val="32"/>
          <w:szCs w:val="32"/>
        </w:rPr>
        <w:t>突发环境事件风险评估制度，动态更新重点环境</w:t>
      </w:r>
      <w:r>
        <w:rPr>
          <w:rFonts w:ascii="FangSong_GB2312" w:hAnsi="FangSong_GB2312" w:eastAsia="FangSong_GB2312" w:cs="FangSong_GB2312"/>
          <w:spacing w:val="-9"/>
          <w:sz w:val="32"/>
          <w:szCs w:val="32"/>
        </w:rPr>
        <w:t>风险源管理目录</w:t>
      </w:r>
      <w:r>
        <w:rPr>
          <w:rFonts w:ascii="FangSong_GB2312" w:hAnsi="FangSong_GB2312" w:eastAsia="FangSong_GB2312" w:cs="FangSong_GB2312"/>
          <w:spacing w:val="-8"/>
          <w:sz w:val="32"/>
          <w:szCs w:val="32"/>
        </w:rPr>
        <w:t>清单，建立信息齐全、数据准确的风险源及敏感</w:t>
      </w:r>
      <w:r>
        <w:rPr>
          <w:rFonts w:ascii="FangSong_GB2312" w:hAnsi="FangSong_GB2312" w:eastAsia="FangSong_GB2312" w:cs="FangSong_GB2312"/>
          <w:spacing w:val="-9"/>
          <w:sz w:val="32"/>
          <w:szCs w:val="32"/>
        </w:rPr>
        <w:t>保护目标的数据</w:t>
      </w:r>
      <w:r>
        <w:rPr>
          <w:rFonts w:ascii="FangSong_GB2312" w:hAnsi="FangSong_GB2312" w:eastAsia="FangSong_GB2312" w:cs="FangSong_GB2312"/>
          <w:spacing w:val="-8"/>
          <w:sz w:val="32"/>
          <w:szCs w:val="32"/>
        </w:rPr>
        <w:t>库，准确掌握区域流域重点环境风险分布情况，</w:t>
      </w:r>
      <w:r>
        <w:rPr>
          <w:rFonts w:ascii="FangSong_GB2312" w:hAnsi="FangSong_GB2312" w:eastAsia="FangSong_GB2312" w:cs="FangSong_GB2312"/>
          <w:spacing w:val="-9"/>
          <w:sz w:val="32"/>
          <w:szCs w:val="32"/>
        </w:rPr>
        <w:t>切实做到环境风</w:t>
      </w:r>
      <w:r>
        <w:rPr>
          <w:rFonts w:ascii="FangSong_GB2312" w:hAnsi="FangSong_GB2312" w:eastAsia="FangSong_GB2312" w:cs="FangSong_GB2312"/>
          <w:spacing w:val="-15"/>
          <w:sz w:val="32"/>
          <w:szCs w:val="32"/>
        </w:rPr>
        <w:t>险精准防控。</w:t>
      </w:r>
    </w:p>
    <w:p w14:paraId="23874885">
      <w:pPr>
        <w:spacing w:line="215" w:lineRule="auto"/>
        <w:ind w:left="619"/>
        <w:rPr>
          <w:rFonts w:ascii="KaiTi_GB2312" w:hAnsi="KaiTi_GB2312" w:eastAsia="KaiTi_GB2312" w:cs="KaiTi_GB2312"/>
          <w:sz w:val="32"/>
          <w:szCs w:val="32"/>
        </w:rPr>
      </w:pPr>
      <w:r>
        <w:rPr>
          <w:rFonts w:ascii="KaiTi_GB2312" w:hAnsi="KaiTi_GB2312" w:eastAsia="KaiTi_GB2312" w:cs="KaiTi_GB2312"/>
          <w:spacing w:val="-7"/>
          <w:sz w:val="32"/>
          <w:szCs w:val="32"/>
        </w:rPr>
        <w:t>（二）保障重点领域环境安全</w:t>
      </w:r>
    </w:p>
    <w:p w14:paraId="514DF2F8">
      <w:pPr>
        <w:spacing w:before="200" w:line="331" w:lineRule="auto"/>
        <w:ind w:left="2"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建立饮用水安全保障体系。深入推进城乡饮用水水源保护区规范化建设和城市应急备用饮用水水源地建设，优化跨区域应急水源一网调度体系。着力构建以城镇供水管网延伸和规模化供水</w:t>
      </w:r>
      <w:r>
        <w:rPr>
          <w:rFonts w:ascii="FangSong_GB2312" w:hAnsi="FangSong_GB2312" w:eastAsia="FangSong_GB2312" w:cs="FangSong_GB2312"/>
          <w:spacing w:val="-8"/>
          <w:sz w:val="32"/>
          <w:szCs w:val="32"/>
        </w:rPr>
        <w:t>工程为主，小型集中式供水工程为辅，分散</w:t>
      </w:r>
      <w:r>
        <w:rPr>
          <w:rFonts w:ascii="FangSong_GB2312" w:hAnsi="FangSong_GB2312" w:eastAsia="FangSong_GB2312" w:cs="FangSong_GB2312"/>
          <w:spacing w:val="-9"/>
          <w:sz w:val="32"/>
          <w:szCs w:val="32"/>
        </w:rPr>
        <w:t>式供水工程为补充的</w:t>
      </w:r>
      <w:r>
        <w:rPr>
          <w:rFonts w:ascii="FangSong_GB2312" w:hAnsi="FangSong_GB2312" w:eastAsia="FangSong_GB2312" w:cs="FangSong_GB2312"/>
          <w:spacing w:val="-12"/>
          <w:sz w:val="32"/>
          <w:szCs w:val="32"/>
        </w:rPr>
        <w:t>城乡供水工程体系。增加饮用水水源地全指标分析频次，</w:t>
      </w:r>
      <w:r>
        <w:rPr>
          <w:rFonts w:ascii="FangSong_GB2312" w:hAnsi="FangSong_GB2312" w:eastAsia="FangSong_GB2312" w:cs="FangSong_GB2312"/>
          <w:spacing w:val="-58"/>
          <w:sz w:val="32"/>
          <w:szCs w:val="32"/>
        </w:rPr>
        <w:t xml:space="preserve"> </w:t>
      </w:r>
      <w:r>
        <w:rPr>
          <w:rFonts w:ascii="FangSong_GB2312" w:hAnsi="FangSong_GB2312" w:eastAsia="FangSong_GB2312" w:cs="FangSong_GB2312"/>
          <w:spacing w:val="-12"/>
          <w:sz w:val="32"/>
          <w:szCs w:val="32"/>
        </w:rPr>
        <w:t>完善饮</w:t>
      </w:r>
      <w:r>
        <w:rPr>
          <w:rFonts w:ascii="FangSong_GB2312" w:hAnsi="FangSong_GB2312" w:eastAsia="FangSong_GB2312" w:cs="FangSong_GB2312"/>
          <w:spacing w:val="-9"/>
          <w:sz w:val="32"/>
          <w:szCs w:val="32"/>
        </w:rPr>
        <w:t>用水水源预警监测自动站建设和运行管理，严格饮用水水源保护区上游及周边有毒有害物质全过程监管，有针对性推进有毒有害物质“源头—过程—末端—修复”的综合管控、多环境介质协同</w:t>
      </w:r>
      <w:r>
        <w:rPr>
          <w:rFonts w:ascii="FangSong_GB2312" w:hAnsi="FangSong_GB2312" w:eastAsia="FangSong_GB2312" w:cs="FangSong_GB2312"/>
          <w:spacing w:val="-13"/>
          <w:sz w:val="32"/>
          <w:szCs w:val="32"/>
        </w:rPr>
        <w:t>治理政策措施研究。</w:t>
      </w:r>
    </w:p>
    <w:p w14:paraId="198AFACD">
      <w:pPr>
        <w:spacing w:line="331" w:lineRule="auto"/>
        <w:rPr>
          <w:rFonts w:ascii="FangSong_GB2312" w:hAnsi="FangSong_GB2312" w:eastAsia="FangSong_GB2312" w:cs="FangSong_GB2312"/>
          <w:sz w:val="32"/>
          <w:szCs w:val="32"/>
        </w:rPr>
        <w:sectPr>
          <w:footerReference r:id="rId29" w:type="default"/>
          <w:pgSz w:w="11905" w:h="16840"/>
          <w:pgMar w:top="1431" w:right="1578" w:bottom="1867" w:left="1594" w:header="0" w:footer="1506" w:gutter="0"/>
          <w:cols w:space="720" w:num="1"/>
        </w:sectPr>
      </w:pPr>
    </w:p>
    <w:p w14:paraId="1FE72450">
      <w:pPr>
        <w:spacing w:line="344" w:lineRule="auto"/>
        <w:rPr>
          <w:rFonts w:ascii="Arial"/>
          <w:sz w:val="21"/>
        </w:rPr>
      </w:pPr>
    </w:p>
    <w:p w14:paraId="2569371A">
      <w:pPr>
        <w:spacing w:line="344" w:lineRule="auto"/>
        <w:rPr>
          <w:rFonts w:ascii="Arial"/>
          <w:sz w:val="21"/>
        </w:rPr>
      </w:pPr>
    </w:p>
    <w:p w14:paraId="5600687A">
      <w:pPr>
        <w:spacing w:before="104" w:line="331" w:lineRule="auto"/>
        <w:ind w:left="2" w:firstLine="634"/>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深化重金属和尾矿库综合治理。完善全口径清单动态调整机</w:t>
      </w:r>
      <w:r>
        <w:rPr>
          <w:rFonts w:ascii="FangSong_GB2312" w:hAnsi="FangSong_GB2312" w:eastAsia="FangSong_GB2312" w:cs="FangSong_GB2312"/>
          <w:spacing w:val="-16"/>
          <w:sz w:val="32"/>
          <w:szCs w:val="32"/>
        </w:rPr>
        <w:t>制，动态更新全口径涉重金属重点行业企业清单。聚焦重点区域、</w:t>
      </w:r>
      <w:r>
        <w:rPr>
          <w:rFonts w:ascii="FangSong_GB2312" w:hAnsi="FangSong_GB2312" w:eastAsia="FangSong_GB2312" w:cs="FangSong_GB2312"/>
          <w:spacing w:val="3"/>
          <w:sz w:val="32"/>
          <w:szCs w:val="32"/>
        </w:rPr>
        <w:t>重点行业和重点重金属污染物，加强重金属污染物减排分类管</w:t>
      </w:r>
      <w:r>
        <w:rPr>
          <w:rFonts w:ascii="FangSong_GB2312" w:hAnsi="FangSong_GB2312" w:eastAsia="FangSong_GB2312" w:cs="FangSong_GB2312"/>
          <w:spacing w:val="-11"/>
          <w:sz w:val="32"/>
          <w:szCs w:val="32"/>
        </w:rPr>
        <w:t>理。深入推进重点行业企业清洁生产审核，</w:t>
      </w:r>
      <w:r>
        <w:rPr>
          <w:rFonts w:ascii="FangSong_GB2312" w:hAnsi="FangSong_GB2312" w:eastAsia="FangSong_GB2312" w:cs="FangSong_GB2312"/>
          <w:spacing w:val="-82"/>
          <w:sz w:val="32"/>
          <w:szCs w:val="32"/>
        </w:rPr>
        <w:t xml:space="preserve"> </w:t>
      </w:r>
      <w:r>
        <w:rPr>
          <w:rFonts w:ascii="FangSong_GB2312" w:hAnsi="FangSong_GB2312" w:eastAsia="FangSong_GB2312" w:cs="FangSong_GB2312"/>
          <w:spacing w:val="-11"/>
          <w:sz w:val="32"/>
          <w:szCs w:val="32"/>
        </w:rPr>
        <w:t>推动重金</w:t>
      </w:r>
      <w:r>
        <w:rPr>
          <w:rFonts w:ascii="FangSong_GB2312" w:hAnsi="FangSong_GB2312" w:eastAsia="FangSong_GB2312" w:cs="FangSong_GB2312"/>
          <w:spacing w:val="-12"/>
          <w:sz w:val="32"/>
          <w:szCs w:val="32"/>
        </w:rPr>
        <w:t>属污染深度治理。加强矿区历史遗留固体废物排查，</w:t>
      </w:r>
      <w:r>
        <w:rPr>
          <w:rFonts w:ascii="FangSong_GB2312" w:hAnsi="FangSong_GB2312" w:eastAsia="FangSong_GB2312" w:cs="FangSong_GB2312"/>
          <w:spacing w:val="-59"/>
          <w:sz w:val="32"/>
          <w:szCs w:val="32"/>
        </w:rPr>
        <w:t xml:space="preserve"> </w:t>
      </w:r>
      <w:r>
        <w:rPr>
          <w:rFonts w:ascii="FangSong_GB2312" w:hAnsi="FangSong_GB2312" w:eastAsia="FangSong_GB2312" w:cs="FangSong_GB2312"/>
          <w:spacing w:val="-12"/>
          <w:sz w:val="32"/>
          <w:szCs w:val="32"/>
        </w:rPr>
        <w:t>推进涉重金属历史遗留</w:t>
      </w:r>
      <w:r>
        <w:rPr>
          <w:rFonts w:ascii="FangSong_GB2312" w:hAnsi="FangSong_GB2312" w:eastAsia="FangSong_GB2312" w:cs="FangSong_GB2312"/>
          <w:spacing w:val="-9"/>
          <w:sz w:val="32"/>
          <w:szCs w:val="32"/>
        </w:rPr>
        <w:t>问题治理。持续推进“一库（矿）一策”分级分类整治，建立健全尾矿库环境预警监测体系，提升尾矿库环境治理设施运行和管</w:t>
      </w:r>
      <w:r>
        <w:rPr>
          <w:rFonts w:ascii="FangSong_GB2312" w:hAnsi="FangSong_GB2312" w:eastAsia="FangSong_GB2312" w:cs="FangSong_GB2312"/>
          <w:spacing w:val="-19"/>
          <w:sz w:val="32"/>
          <w:szCs w:val="32"/>
        </w:rPr>
        <w:t>理水平。</w:t>
      </w:r>
    </w:p>
    <w:p w14:paraId="3FB2714E">
      <w:pPr>
        <w:spacing w:before="2" w:line="331" w:lineRule="auto"/>
        <w:ind w:right="96"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加强新污染物和化学品治理。以源头管控、过程控制、末端</w:t>
      </w:r>
      <w:r>
        <w:rPr>
          <w:rFonts w:ascii="FangSong_GB2312" w:hAnsi="FangSong_GB2312" w:eastAsia="FangSong_GB2312" w:cs="FangSong_GB2312"/>
          <w:spacing w:val="-19"/>
          <w:sz w:val="32"/>
          <w:szCs w:val="32"/>
        </w:rPr>
        <w:t>治理、生态修复为思路，加强新污染物全过程污染防治。建立“筛</w:t>
      </w:r>
      <w:r>
        <w:rPr>
          <w:rFonts w:ascii="FangSong_GB2312" w:hAnsi="FangSong_GB2312" w:eastAsia="FangSong_GB2312" w:cs="FangSong_GB2312"/>
          <w:spacing w:val="-8"/>
          <w:sz w:val="32"/>
          <w:szCs w:val="32"/>
        </w:rPr>
        <w:t>查、评估、管控”的新化学物质环境风险评</w:t>
      </w:r>
      <w:r>
        <w:rPr>
          <w:rFonts w:ascii="FangSong_GB2312" w:hAnsi="FangSong_GB2312" w:eastAsia="FangSong_GB2312" w:cs="FangSong_GB2312"/>
          <w:spacing w:val="-9"/>
          <w:sz w:val="32"/>
          <w:szCs w:val="32"/>
        </w:rPr>
        <w:t>估与全生命周期管控</w:t>
      </w:r>
      <w:r>
        <w:rPr>
          <w:rFonts w:ascii="FangSong_GB2312" w:hAnsi="FangSong_GB2312" w:eastAsia="FangSong_GB2312" w:cs="FangSong_GB2312"/>
          <w:spacing w:val="3"/>
          <w:sz w:val="32"/>
          <w:szCs w:val="32"/>
        </w:rPr>
        <w:t>技术体系，逐步建立以重点管控清单为核心的新污染物治理体</w:t>
      </w:r>
      <w:r>
        <w:rPr>
          <w:rFonts w:ascii="FangSong_GB2312" w:hAnsi="FangSong_GB2312" w:eastAsia="FangSong_GB2312" w:cs="FangSong_GB2312"/>
          <w:spacing w:val="-8"/>
          <w:sz w:val="32"/>
          <w:szCs w:val="32"/>
        </w:rPr>
        <w:t>系。淘汰石化、涂料、纺织印染、橡胶、烟花</w:t>
      </w:r>
      <w:r>
        <w:rPr>
          <w:rFonts w:ascii="FangSong_GB2312" w:hAnsi="FangSong_GB2312" w:eastAsia="FangSong_GB2312" w:cs="FangSong_GB2312"/>
          <w:spacing w:val="-9"/>
          <w:sz w:val="32"/>
          <w:szCs w:val="32"/>
        </w:rPr>
        <w:t>爆竹等重点行业涉</w:t>
      </w:r>
      <w:r>
        <w:rPr>
          <w:rFonts w:ascii="FangSong_GB2312" w:hAnsi="FangSong_GB2312" w:eastAsia="FangSong_GB2312" w:cs="FangSong_GB2312"/>
          <w:spacing w:val="-8"/>
          <w:sz w:val="32"/>
          <w:szCs w:val="32"/>
        </w:rPr>
        <w:t>新污染物落后产能。因地制宜开展新污染物多</w:t>
      </w:r>
      <w:r>
        <w:rPr>
          <w:rFonts w:ascii="FangSong_GB2312" w:hAnsi="FangSong_GB2312" w:eastAsia="FangSong_GB2312" w:cs="FangSong_GB2312"/>
          <w:spacing w:val="-9"/>
          <w:sz w:val="32"/>
          <w:szCs w:val="32"/>
        </w:rPr>
        <w:t>环境介质协同治理</w:t>
      </w:r>
      <w:r>
        <w:rPr>
          <w:rFonts w:ascii="FangSong_GB2312" w:hAnsi="FangSong_GB2312" w:eastAsia="FangSong_GB2312" w:cs="FangSong_GB2312"/>
          <w:spacing w:val="-8"/>
          <w:sz w:val="32"/>
          <w:szCs w:val="32"/>
        </w:rPr>
        <w:t>模式，推动章江、贡江流域家具制造、化工</w:t>
      </w:r>
      <w:r>
        <w:rPr>
          <w:rFonts w:ascii="FangSong_GB2312" w:hAnsi="FangSong_GB2312" w:eastAsia="FangSong_GB2312" w:cs="FangSong_GB2312"/>
          <w:spacing w:val="-9"/>
          <w:sz w:val="32"/>
          <w:szCs w:val="32"/>
        </w:rPr>
        <w:t>产业等重点行业新污</w:t>
      </w:r>
      <w:r>
        <w:rPr>
          <w:rFonts w:ascii="FangSong_GB2312" w:hAnsi="FangSong_GB2312" w:eastAsia="FangSong_GB2312" w:cs="FangSong_GB2312"/>
          <w:spacing w:val="-8"/>
          <w:sz w:val="32"/>
          <w:szCs w:val="32"/>
        </w:rPr>
        <w:t>染物治理工程试点示范。统筹推进新化学物质</w:t>
      </w:r>
      <w:r>
        <w:rPr>
          <w:rFonts w:ascii="FangSong_GB2312" w:hAnsi="FangSong_GB2312" w:eastAsia="FangSong_GB2312" w:cs="FangSong_GB2312"/>
          <w:spacing w:val="-9"/>
          <w:sz w:val="32"/>
          <w:szCs w:val="32"/>
        </w:rPr>
        <w:t>环境管理登记制度</w:t>
      </w:r>
      <w:r>
        <w:rPr>
          <w:rFonts w:ascii="FangSong_GB2312" w:hAnsi="FangSong_GB2312" w:eastAsia="FangSong_GB2312" w:cs="FangSong_GB2312"/>
          <w:spacing w:val="-8"/>
          <w:sz w:val="32"/>
          <w:szCs w:val="32"/>
        </w:rPr>
        <w:t>和现有化学物质环境管理，建立以生态环境</w:t>
      </w:r>
      <w:r>
        <w:rPr>
          <w:rFonts w:ascii="FangSong_GB2312" w:hAnsi="FangSong_GB2312" w:eastAsia="FangSong_GB2312" w:cs="FangSong_GB2312"/>
          <w:spacing w:val="-9"/>
          <w:sz w:val="32"/>
          <w:szCs w:val="32"/>
        </w:rPr>
        <w:t>部门为主、其他部门</w:t>
      </w:r>
      <w:r>
        <w:rPr>
          <w:rFonts w:ascii="FangSong_GB2312" w:hAnsi="FangSong_GB2312" w:eastAsia="FangSong_GB2312" w:cs="FangSong_GB2312"/>
          <w:spacing w:val="-11"/>
          <w:sz w:val="32"/>
          <w:szCs w:val="32"/>
        </w:rPr>
        <w:t>共同参与的新污染物治理机制。</w:t>
      </w:r>
    </w:p>
    <w:p w14:paraId="05887600">
      <w:pPr>
        <w:spacing w:line="331" w:lineRule="auto"/>
        <w:ind w:left="3" w:right="97" w:firstLine="646"/>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强化核与辐射安全监管。以放射源利用活动、核技术利用放</w:t>
      </w:r>
      <w:r>
        <w:rPr>
          <w:rFonts w:ascii="FangSong_GB2312" w:hAnsi="FangSong_GB2312" w:eastAsia="FangSong_GB2312" w:cs="FangSong_GB2312"/>
          <w:spacing w:val="-13"/>
          <w:sz w:val="32"/>
          <w:szCs w:val="32"/>
        </w:rPr>
        <w:t>射性废物、伴生矿开发利用企业等为重点，</w:t>
      </w:r>
      <w:r>
        <w:rPr>
          <w:rFonts w:ascii="FangSong_GB2312" w:hAnsi="FangSong_GB2312" w:eastAsia="FangSong_GB2312" w:cs="FangSong_GB2312"/>
          <w:spacing w:val="-32"/>
          <w:sz w:val="32"/>
          <w:szCs w:val="32"/>
        </w:rPr>
        <w:t xml:space="preserve"> </w:t>
      </w:r>
      <w:r>
        <w:rPr>
          <w:rFonts w:ascii="FangSong_GB2312" w:hAnsi="FangSong_GB2312" w:eastAsia="FangSong_GB2312" w:cs="FangSong_GB2312"/>
          <w:spacing w:val="-13"/>
          <w:sz w:val="32"/>
          <w:szCs w:val="32"/>
        </w:rPr>
        <w:t>从严审批、许可、监</w:t>
      </w:r>
      <w:r>
        <w:rPr>
          <w:rFonts w:ascii="FangSong_GB2312" w:hAnsi="FangSong_GB2312" w:eastAsia="FangSong_GB2312" w:cs="FangSong_GB2312"/>
          <w:spacing w:val="-9"/>
          <w:sz w:val="32"/>
          <w:szCs w:val="32"/>
        </w:rPr>
        <w:t>督、执法，强化核与辐射安全的全过程监管。发挥人力、实体、技术等多要素协同防范措施，落实好重点区域和相关主体的核与</w:t>
      </w:r>
    </w:p>
    <w:p w14:paraId="0512448A">
      <w:pPr>
        <w:spacing w:line="331" w:lineRule="auto"/>
        <w:rPr>
          <w:rFonts w:ascii="FangSong_GB2312" w:hAnsi="FangSong_GB2312" w:eastAsia="FangSong_GB2312" w:cs="FangSong_GB2312"/>
          <w:sz w:val="32"/>
          <w:szCs w:val="32"/>
        </w:rPr>
        <w:sectPr>
          <w:footerReference r:id="rId30" w:type="default"/>
          <w:pgSz w:w="11905" w:h="16840"/>
          <w:pgMar w:top="1431" w:right="1481" w:bottom="1867" w:left="1596" w:header="0" w:footer="1506" w:gutter="0"/>
          <w:cols w:space="720" w:num="1"/>
        </w:sectPr>
      </w:pPr>
    </w:p>
    <w:p w14:paraId="6C97FC52">
      <w:pPr>
        <w:spacing w:line="343" w:lineRule="auto"/>
        <w:rPr>
          <w:rFonts w:ascii="Arial"/>
          <w:sz w:val="21"/>
        </w:rPr>
      </w:pPr>
    </w:p>
    <w:p w14:paraId="42222B5C">
      <w:pPr>
        <w:spacing w:line="343" w:lineRule="auto"/>
        <w:rPr>
          <w:rFonts w:ascii="Arial"/>
          <w:sz w:val="21"/>
        </w:rPr>
      </w:pPr>
    </w:p>
    <w:p w14:paraId="036074C4">
      <w:pPr>
        <w:spacing w:before="104" w:line="331" w:lineRule="auto"/>
        <w:ind w:right="233"/>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辐射风险防范责任，推进核与辐射安全隐患排查专项整治行动，</w:t>
      </w:r>
      <w:r>
        <w:rPr>
          <w:rFonts w:ascii="FangSong_GB2312" w:hAnsi="FangSong_GB2312" w:eastAsia="FangSong_GB2312" w:cs="FangSong_GB2312"/>
          <w:spacing w:val="-12"/>
          <w:sz w:val="32"/>
          <w:szCs w:val="32"/>
        </w:rPr>
        <w:t>提升核与辐射安全监管水平。</w:t>
      </w:r>
    </w:p>
    <w:p w14:paraId="6740868F">
      <w:pPr>
        <w:spacing w:before="1" w:line="217" w:lineRule="auto"/>
        <w:ind w:left="616"/>
        <w:rPr>
          <w:rFonts w:ascii="KaiTi_GB2312" w:hAnsi="KaiTi_GB2312" w:eastAsia="KaiTi_GB2312" w:cs="KaiTi_GB2312"/>
          <w:sz w:val="32"/>
          <w:szCs w:val="32"/>
        </w:rPr>
      </w:pPr>
      <w:r>
        <w:rPr>
          <w:rFonts w:ascii="KaiTi_GB2312" w:hAnsi="KaiTi_GB2312" w:eastAsia="KaiTi_GB2312" w:cs="KaiTi_GB2312"/>
          <w:spacing w:val="-7"/>
          <w:sz w:val="32"/>
          <w:szCs w:val="32"/>
        </w:rPr>
        <w:t>（三）推进无废城市建设</w:t>
      </w:r>
    </w:p>
    <w:p w14:paraId="5A23E8AE">
      <w:pPr>
        <w:pStyle w:val="2"/>
        <w:spacing w:before="196" w:line="331" w:lineRule="auto"/>
        <w:ind w:firstLine="626"/>
        <w:jc w:val="both"/>
        <w:rPr>
          <w:rFonts w:ascii="FangSong_GB2312" w:hAnsi="FangSong_GB2312" w:eastAsia="FangSong_GB2312" w:cs="FangSong_GB2312"/>
        </w:rPr>
      </w:pPr>
      <w:r>
        <w:rPr>
          <w:rFonts w:ascii="FangSong_GB2312" w:hAnsi="FangSong_GB2312" w:eastAsia="FangSong_GB2312" w:cs="FangSong_GB2312"/>
          <w:spacing w:val="-13"/>
        </w:rPr>
        <w:t>建设全域无废城市。总结瑞金市“无废城市”建设试点经验，</w:t>
      </w:r>
      <w:r>
        <w:rPr>
          <w:rFonts w:ascii="FangSong_GB2312" w:hAnsi="FangSong_GB2312" w:eastAsia="FangSong_GB2312" w:cs="FangSong_GB2312"/>
          <w:spacing w:val="-9"/>
        </w:rPr>
        <w:t>全力打造具有赣州特色的“无废城市”建设模式和全国“无废城</w:t>
      </w:r>
      <w:r>
        <w:rPr>
          <w:rFonts w:ascii="FangSong_GB2312" w:hAnsi="FangSong_GB2312" w:eastAsia="FangSong_GB2312" w:cs="FangSong_GB2312"/>
          <w:spacing w:val="-8"/>
        </w:rPr>
        <w:t>市”模板，围绕工业固体废物、农业源固体废</w:t>
      </w:r>
      <w:r>
        <w:rPr>
          <w:rFonts w:ascii="FangSong_GB2312" w:hAnsi="FangSong_GB2312" w:eastAsia="FangSong_GB2312" w:cs="FangSong_GB2312"/>
          <w:spacing w:val="-9"/>
        </w:rPr>
        <w:t>物、生活源固体废</w:t>
      </w:r>
      <w:r>
        <w:rPr>
          <w:rFonts w:ascii="FangSong_GB2312" w:hAnsi="FangSong_GB2312" w:eastAsia="FangSong_GB2312" w:cs="FangSong_GB2312"/>
          <w:spacing w:val="-2"/>
        </w:rPr>
        <w:t>物、建筑垃圾、危险废物五大领域，全面推进全域“无废城市”</w:t>
      </w:r>
      <w:r>
        <w:rPr>
          <w:rFonts w:ascii="FangSong_GB2312" w:hAnsi="FangSong_GB2312" w:eastAsia="FangSong_GB2312" w:cs="FangSong_GB2312"/>
          <w:spacing w:val="-8"/>
        </w:rPr>
        <w:t xml:space="preserve">建设。到 </w:t>
      </w:r>
      <w:r>
        <w:rPr>
          <w:spacing w:val="-8"/>
        </w:rPr>
        <w:t xml:space="preserve">2035 </w:t>
      </w:r>
      <w:r>
        <w:rPr>
          <w:rFonts w:ascii="FangSong_GB2312" w:hAnsi="FangSong_GB2312" w:eastAsia="FangSong_GB2312" w:cs="FangSong_GB2312"/>
          <w:spacing w:val="-8"/>
        </w:rPr>
        <w:t>年，全市基本建成以瑞金市为引领带动的梯次发</w:t>
      </w:r>
      <w:r>
        <w:rPr>
          <w:rFonts w:ascii="FangSong_GB2312" w:hAnsi="FangSong_GB2312" w:eastAsia="FangSong_GB2312" w:cs="FangSong_GB2312"/>
          <w:spacing w:val="-10"/>
        </w:rPr>
        <w:t>展的无废城市集群，建成覆盖全域的无废城市。</w:t>
      </w:r>
    </w:p>
    <w:p w14:paraId="68445BDE">
      <w:pPr>
        <w:spacing w:before="12" w:line="330" w:lineRule="auto"/>
        <w:ind w:right="103" w:firstLine="628"/>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推进固体废物源头减量与资源化利用。加强典型工业固体废物处置和综合利用，高标准建设国家级工业资源综合利用产业基</w:t>
      </w:r>
      <w:r>
        <w:rPr>
          <w:rFonts w:ascii="FangSong_GB2312" w:hAnsi="FangSong_GB2312" w:eastAsia="FangSong_GB2312" w:cs="FangSong_GB2312"/>
          <w:spacing w:val="-8"/>
          <w:sz w:val="32"/>
          <w:szCs w:val="32"/>
        </w:rPr>
        <w:t>地，合理规划产业布局，促进产业共生耦合</w:t>
      </w:r>
      <w:r>
        <w:rPr>
          <w:rFonts w:ascii="FangSong_GB2312" w:hAnsi="FangSong_GB2312" w:eastAsia="FangSong_GB2312" w:cs="FangSong_GB2312"/>
          <w:spacing w:val="-9"/>
          <w:sz w:val="32"/>
          <w:szCs w:val="32"/>
        </w:rPr>
        <w:t>。探索建立“无废供应链”，支持创建“无废零碳”工厂，推动无废园区建设。培育</w:t>
      </w:r>
      <w:r>
        <w:rPr>
          <w:rFonts w:ascii="FangSong_GB2312" w:hAnsi="FangSong_GB2312" w:eastAsia="FangSong_GB2312" w:cs="FangSong_GB2312"/>
          <w:spacing w:val="-16"/>
          <w:sz w:val="32"/>
          <w:szCs w:val="32"/>
        </w:rPr>
        <w:t>无废生态农业，完善农业固废收集体系，提升农业废物利用水平。</w:t>
      </w:r>
      <w:r>
        <w:rPr>
          <w:rFonts w:ascii="FangSong_GB2312" w:hAnsi="FangSong_GB2312" w:eastAsia="FangSong_GB2312" w:cs="FangSong_GB2312"/>
          <w:spacing w:val="-9"/>
          <w:sz w:val="32"/>
          <w:szCs w:val="32"/>
        </w:rPr>
        <w:t>持续开展绿色建筑创建行动，推行建筑垃圾闭环管理。规范生活</w:t>
      </w:r>
      <w:r>
        <w:rPr>
          <w:rFonts w:ascii="FangSong_GB2312" w:hAnsi="FangSong_GB2312" w:eastAsia="FangSong_GB2312" w:cs="FangSong_GB2312"/>
          <w:spacing w:val="-16"/>
          <w:sz w:val="32"/>
          <w:szCs w:val="32"/>
        </w:rPr>
        <w:t>垃圾设施运行，提升厨余垃圾利用水平，加强快递包装绿色治理，</w:t>
      </w:r>
      <w:r>
        <w:rPr>
          <w:rFonts w:ascii="FangSong_GB2312" w:hAnsi="FangSong_GB2312" w:eastAsia="FangSong_GB2312" w:cs="FangSong_GB2312"/>
          <w:spacing w:val="-10"/>
          <w:sz w:val="32"/>
          <w:szCs w:val="32"/>
        </w:rPr>
        <w:t>推进垃圾分类回收与再生资源回收“两网融合”。</w:t>
      </w:r>
    </w:p>
    <w:p w14:paraId="1FE994E2">
      <w:pPr>
        <w:spacing w:before="5" w:line="331" w:lineRule="auto"/>
        <w:ind w:left="1" w:right="194" w:firstLine="647"/>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强化危险废物全过程环境监管。构建全域排查、全面清理、</w:t>
      </w:r>
      <w:r>
        <w:rPr>
          <w:rFonts w:ascii="FangSong_GB2312" w:hAnsi="FangSong_GB2312" w:eastAsia="FangSong_GB2312" w:cs="FangSong_GB2312"/>
          <w:spacing w:val="-9"/>
          <w:sz w:val="32"/>
          <w:szCs w:val="32"/>
        </w:rPr>
        <w:t>全量处置、全过程监管、全方位提升的危险废物环境监管体系。</w:t>
      </w:r>
      <w:r>
        <w:rPr>
          <w:rFonts w:ascii="FangSong_GB2312" w:hAnsi="FangSong_GB2312" w:eastAsia="FangSong_GB2312" w:cs="FangSong_GB2312"/>
          <w:spacing w:val="-14"/>
          <w:sz w:val="32"/>
          <w:szCs w:val="32"/>
        </w:rPr>
        <w:t>按照总量控制、适度超前原则， 合理优化布局危险废物利用处置</w:t>
      </w:r>
      <w:r>
        <w:rPr>
          <w:rFonts w:ascii="FangSong_GB2312" w:hAnsi="FangSong_GB2312" w:eastAsia="FangSong_GB2312" w:cs="FangSong_GB2312"/>
          <w:spacing w:val="-9"/>
          <w:sz w:val="32"/>
          <w:szCs w:val="32"/>
        </w:rPr>
        <w:t>设施。深入推进与周边县市的危险废物环境风险区域联防联控机制，加强信息共享与协调处置合作。动态更新危险废物重点监管</w:t>
      </w:r>
    </w:p>
    <w:p w14:paraId="17FE70E7">
      <w:pPr>
        <w:spacing w:line="331" w:lineRule="auto"/>
        <w:rPr>
          <w:rFonts w:ascii="FangSong_GB2312" w:hAnsi="FangSong_GB2312" w:eastAsia="FangSong_GB2312" w:cs="FangSong_GB2312"/>
          <w:sz w:val="32"/>
          <w:szCs w:val="32"/>
        </w:rPr>
        <w:sectPr>
          <w:footerReference r:id="rId31" w:type="default"/>
          <w:pgSz w:w="11905" w:h="16840"/>
          <w:pgMar w:top="1431" w:right="1383" w:bottom="1867" w:left="1597" w:header="0" w:footer="1506" w:gutter="0"/>
          <w:cols w:space="720" w:num="1"/>
        </w:sectPr>
      </w:pPr>
    </w:p>
    <w:p w14:paraId="5F5F9E2E">
      <w:pPr>
        <w:spacing w:line="343" w:lineRule="auto"/>
        <w:rPr>
          <w:rFonts w:ascii="Arial"/>
          <w:sz w:val="21"/>
        </w:rPr>
      </w:pPr>
    </w:p>
    <w:p w14:paraId="1508D254">
      <w:pPr>
        <w:spacing w:line="343" w:lineRule="auto"/>
        <w:rPr>
          <w:rFonts w:ascii="Arial"/>
          <w:sz w:val="21"/>
        </w:rPr>
      </w:pPr>
    </w:p>
    <w:p w14:paraId="5EAD2123">
      <w:pPr>
        <w:spacing w:before="104" w:line="331" w:lineRule="auto"/>
        <w:ind w:left="29" w:right="83" w:hanging="18"/>
        <w:jc w:val="both"/>
        <w:rPr>
          <w:rFonts w:ascii="FangSong_GB2312" w:hAnsi="FangSong_GB2312" w:eastAsia="FangSong_GB2312" w:cs="FangSong_GB2312"/>
          <w:sz w:val="32"/>
          <w:szCs w:val="32"/>
        </w:rPr>
      </w:pPr>
      <w:r>
        <w:rPr>
          <w:rFonts w:ascii="FangSong_GB2312" w:hAnsi="FangSong_GB2312" w:eastAsia="FangSong_GB2312" w:cs="FangSong_GB2312"/>
          <w:color w:val="222222"/>
          <w:spacing w:val="-9"/>
          <w:sz w:val="32"/>
          <w:szCs w:val="32"/>
        </w:rPr>
        <w:t>单位清单，鼓励重点单位开展危险废物全过程跟踪管理。建立城</w:t>
      </w:r>
      <w:r>
        <w:rPr>
          <w:rFonts w:ascii="FangSong_GB2312" w:hAnsi="FangSong_GB2312" w:eastAsia="FangSong_GB2312" w:cs="FangSong_GB2312"/>
          <w:color w:val="222222"/>
          <w:spacing w:val="-10"/>
          <w:sz w:val="32"/>
          <w:szCs w:val="32"/>
        </w:rPr>
        <w:t>乡一体的医疗废物收集转运体系，全力提升重大疫情医疗废物应急处置能力。鼓励、支持钨冶炼行业和稀土行业研发先进工艺示范推广，促进危险废物源头减量和集约化安全利用处置，打造全</w:t>
      </w:r>
      <w:r>
        <w:rPr>
          <w:rFonts w:ascii="FangSong_GB2312" w:hAnsi="FangSong_GB2312" w:eastAsia="FangSong_GB2312" w:cs="FangSong_GB2312"/>
          <w:color w:val="222222"/>
          <w:spacing w:val="-12"/>
          <w:sz w:val="32"/>
          <w:szCs w:val="32"/>
        </w:rPr>
        <w:t>国“无废稀土”、“无废钨业”示范样板。</w:t>
      </w:r>
    </w:p>
    <w:p w14:paraId="6C169531">
      <w:pPr>
        <w:spacing w:line="221" w:lineRule="auto"/>
        <w:ind w:left="630"/>
        <w:outlineLvl w:val="0"/>
        <w:rPr>
          <w:rFonts w:ascii="黑体" w:hAnsi="黑体" w:eastAsia="黑体" w:cs="黑体"/>
          <w:sz w:val="32"/>
          <w:szCs w:val="32"/>
        </w:rPr>
      </w:pPr>
      <w:r>
        <w:rPr>
          <w:rFonts w:ascii="黑体" w:hAnsi="黑体" w:eastAsia="黑体" w:cs="黑体"/>
          <w:spacing w:val="-7"/>
          <w:sz w:val="32"/>
          <w:szCs w:val="32"/>
        </w:rPr>
        <w:t>八、建设诗意栖居的美丽城乡</w:t>
      </w:r>
    </w:p>
    <w:p w14:paraId="0C4BD4A5">
      <w:pPr>
        <w:spacing w:before="192" w:line="330" w:lineRule="auto"/>
        <w:ind w:right="84" w:firstLine="674"/>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以城乡一体化均衡发展为指引，深入推动以</w:t>
      </w:r>
      <w:r>
        <w:rPr>
          <w:rFonts w:ascii="FangSong_GB2312" w:hAnsi="FangSong_GB2312" w:eastAsia="FangSong_GB2312" w:cs="FangSong_GB2312"/>
          <w:spacing w:val="-11"/>
          <w:sz w:val="32"/>
          <w:szCs w:val="32"/>
        </w:rPr>
        <w:t>人为核心的新型</w:t>
      </w:r>
      <w:r>
        <w:rPr>
          <w:rFonts w:ascii="FangSong_GB2312" w:hAnsi="FangSong_GB2312" w:eastAsia="FangSong_GB2312" w:cs="FangSong_GB2312"/>
          <w:spacing w:val="-8"/>
          <w:sz w:val="32"/>
          <w:szCs w:val="32"/>
        </w:rPr>
        <w:t>城镇化战略和乡村振兴战略，统筹推动乡村</w:t>
      </w:r>
      <w:r>
        <w:rPr>
          <w:rFonts w:ascii="FangSong_GB2312" w:hAnsi="FangSong_GB2312" w:eastAsia="FangSong_GB2312" w:cs="FangSong_GB2312"/>
          <w:spacing w:val="-9"/>
          <w:sz w:val="32"/>
          <w:szCs w:val="32"/>
        </w:rPr>
        <w:t>生态振兴和生态环境</w:t>
      </w:r>
      <w:r>
        <w:rPr>
          <w:rFonts w:ascii="FangSong_GB2312" w:hAnsi="FangSong_GB2312" w:eastAsia="FangSong_GB2312" w:cs="FangSong_GB2312"/>
          <w:spacing w:val="-8"/>
          <w:sz w:val="32"/>
          <w:szCs w:val="32"/>
        </w:rPr>
        <w:t>保护，提升城乡融合发展水平，加快建设智</w:t>
      </w:r>
      <w:r>
        <w:rPr>
          <w:rFonts w:ascii="FangSong_GB2312" w:hAnsi="FangSong_GB2312" w:eastAsia="FangSong_GB2312" w:cs="FangSong_GB2312"/>
          <w:spacing w:val="-9"/>
          <w:sz w:val="32"/>
          <w:szCs w:val="32"/>
        </w:rPr>
        <w:t>慧城市、精致城镇、</w:t>
      </w:r>
      <w:r>
        <w:rPr>
          <w:rFonts w:ascii="FangSong_GB2312" w:hAnsi="FangSong_GB2312" w:eastAsia="FangSong_GB2312" w:cs="FangSong_GB2312"/>
          <w:spacing w:val="-10"/>
          <w:sz w:val="32"/>
          <w:szCs w:val="32"/>
        </w:rPr>
        <w:t>魅力乡镇、美丽乡村，全方位提升城乡人居环境品质。</w:t>
      </w:r>
    </w:p>
    <w:p w14:paraId="17FD044F">
      <w:pPr>
        <w:spacing w:before="6" w:line="218" w:lineRule="auto"/>
        <w:ind w:left="617"/>
        <w:rPr>
          <w:rFonts w:ascii="KaiTi_GB2312" w:hAnsi="KaiTi_GB2312" w:eastAsia="KaiTi_GB2312" w:cs="KaiTi_GB2312"/>
          <w:sz w:val="32"/>
          <w:szCs w:val="32"/>
        </w:rPr>
      </w:pPr>
      <w:r>
        <w:rPr>
          <w:rFonts w:ascii="KaiTi_GB2312" w:hAnsi="KaiTi_GB2312" w:eastAsia="KaiTi_GB2312" w:cs="KaiTi_GB2312"/>
          <w:spacing w:val="-9"/>
          <w:sz w:val="32"/>
          <w:szCs w:val="32"/>
        </w:rPr>
        <w:t>（一）建设智慧宜居城市</w:t>
      </w:r>
    </w:p>
    <w:p w14:paraId="200B2E72">
      <w:pPr>
        <w:pStyle w:val="2"/>
        <w:spacing w:before="197" w:line="331" w:lineRule="auto"/>
        <w:ind w:left="5" w:right="83" w:firstLine="625"/>
        <w:jc w:val="both"/>
        <w:rPr>
          <w:rFonts w:ascii="FangSong_GB2312" w:hAnsi="FangSong_GB2312" w:eastAsia="FangSong_GB2312" w:cs="FangSong_GB2312"/>
        </w:rPr>
      </w:pPr>
      <w:r>
        <w:rPr>
          <w:rFonts w:ascii="FangSong_GB2312" w:hAnsi="FangSong_GB2312" w:eastAsia="FangSong_GB2312" w:cs="FangSong_GB2312"/>
          <w:spacing w:val="-14"/>
        </w:rPr>
        <w:t>推进城市智慧化管理水平。加强城市精细化管理，</w:t>
      </w:r>
      <w:r>
        <w:rPr>
          <w:rFonts w:ascii="FangSong_GB2312" w:hAnsi="FangSong_GB2312" w:eastAsia="FangSong_GB2312" w:cs="FangSong_GB2312"/>
          <w:spacing w:val="-19"/>
        </w:rPr>
        <w:t xml:space="preserve"> </w:t>
      </w:r>
      <w:r>
        <w:rPr>
          <w:rFonts w:ascii="FangSong_GB2312" w:hAnsi="FangSong_GB2312" w:eastAsia="FangSong_GB2312" w:cs="FangSong_GB2312"/>
          <w:spacing w:val="-14"/>
        </w:rPr>
        <w:t>提高城市</w:t>
      </w:r>
      <w:r>
        <w:rPr>
          <w:rFonts w:ascii="FangSong_GB2312" w:hAnsi="FangSong_GB2312" w:eastAsia="FangSong_GB2312" w:cs="FangSong_GB2312"/>
          <w:spacing w:val="-3"/>
        </w:rPr>
        <w:t>治理和公共服务智慧化水平。加快推进城市信息模型</w:t>
      </w:r>
      <w:r>
        <w:rPr>
          <w:rFonts w:ascii="FangSong_GB2312" w:hAnsi="FangSong_GB2312" w:eastAsia="FangSong_GB2312" w:cs="FangSong_GB2312"/>
          <w:spacing w:val="-4"/>
        </w:rPr>
        <w:t>（</w:t>
      </w:r>
      <w:r>
        <w:rPr>
          <w:spacing w:val="-4"/>
        </w:rPr>
        <w:t>CIM</w:t>
      </w:r>
      <w:r>
        <w:rPr>
          <w:rFonts w:ascii="FangSong_GB2312" w:hAnsi="FangSong_GB2312" w:eastAsia="FangSong_GB2312" w:cs="FangSong_GB2312"/>
          <w:spacing w:val="-4"/>
        </w:rPr>
        <w:t>）基</w:t>
      </w:r>
      <w:r>
        <w:rPr>
          <w:rFonts w:ascii="FangSong_GB2312" w:hAnsi="FangSong_GB2312" w:eastAsia="FangSong_GB2312" w:cs="FangSong_GB2312"/>
          <w:spacing w:val="-9"/>
        </w:rPr>
        <w:t>础平台建设，持续推动新一代信息技术与交通、能源、市政等融合发展，加强新基建在智慧城市、健康城市、社会管理、公共服</w:t>
      </w:r>
      <w:r>
        <w:rPr>
          <w:rFonts w:ascii="FangSong_GB2312" w:hAnsi="FangSong_GB2312" w:eastAsia="FangSong_GB2312" w:cs="FangSong_GB2312"/>
          <w:spacing w:val="-8"/>
        </w:rPr>
        <w:t xml:space="preserve">务、教育医疗等领域的广泛应用。全域部署 </w:t>
      </w:r>
      <w:r>
        <w:rPr>
          <w:spacing w:val="-8"/>
        </w:rPr>
        <w:t xml:space="preserve">5G </w:t>
      </w:r>
      <w:r>
        <w:rPr>
          <w:rFonts w:ascii="FangSong_GB2312" w:hAnsi="FangSong_GB2312" w:eastAsia="FangSong_GB2312" w:cs="FangSong_GB2312"/>
          <w:spacing w:val="-8"/>
        </w:rPr>
        <w:t>网络，推进交通</w:t>
      </w:r>
      <w:r>
        <w:rPr>
          <w:rFonts w:ascii="FangSong_GB2312" w:hAnsi="FangSong_GB2312" w:eastAsia="FangSong_GB2312" w:cs="FangSong_GB2312"/>
          <w:spacing w:val="-10"/>
        </w:rPr>
        <w:t>枢纽、产业园区、热点景区等重点应用场景深度覆盖。</w:t>
      </w:r>
    </w:p>
    <w:p w14:paraId="79FCF6BE">
      <w:pPr>
        <w:spacing w:before="6" w:line="330" w:lineRule="auto"/>
        <w:ind w:left="3" w:firstLine="646"/>
        <w:jc w:val="both"/>
        <w:rPr>
          <w:rFonts w:ascii="FangSong_GB2312" w:hAnsi="FangSong_GB2312" w:eastAsia="FangSong_GB2312" w:cs="FangSong_GB2312"/>
          <w:sz w:val="32"/>
          <w:szCs w:val="32"/>
        </w:rPr>
      </w:pPr>
      <w:r>
        <w:rPr>
          <w:rFonts w:ascii="FangSong_GB2312" w:hAnsi="FangSong_GB2312" w:eastAsia="FangSong_GB2312" w:cs="FangSong_GB2312"/>
          <w:spacing w:val="-15"/>
          <w:sz w:val="32"/>
          <w:szCs w:val="32"/>
        </w:rPr>
        <w:t>强化城市生态安全韧性。加强城市风险防控， 建立城市治理</w:t>
      </w:r>
      <w:r>
        <w:rPr>
          <w:rFonts w:ascii="FangSong_GB2312" w:hAnsi="FangSong_GB2312" w:eastAsia="FangSong_GB2312" w:cs="FangSong_GB2312"/>
          <w:spacing w:val="-16"/>
          <w:sz w:val="32"/>
          <w:szCs w:val="32"/>
        </w:rPr>
        <w:t>风险清单管理制度，分类制定风险防控方案。推</w:t>
      </w:r>
      <w:r>
        <w:rPr>
          <w:rFonts w:ascii="FangSong_GB2312" w:hAnsi="FangSong_GB2312" w:eastAsia="FangSong_GB2312" w:cs="FangSong_GB2312"/>
          <w:spacing w:val="-17"/>
          <w:sz w:val="32"/>
          <w:szCs w:val="32"/>
        </w:rPr>
        <w:t>动海绵城市建设，</w:t>
      </w:r>
      <w:r>
        <w:rPr>
          <w:rFonts w:ascii="FangSong_GB2312" w:hAnsi="FangSong_GB2312" w:eastAsia="FangSong_GB2312" w:cs="FangSong_GB2312"/>
          <w:spacing w:val="-9"/>
          <w:sz w:val="32"/>
          <w:szCs w:val="32"/>
        </w:rPr>
        <w:t>加强城市内河连通性，保护修复湿地生态系统，提高城市雨水消纳、积存、净化能力。将适应气候变化理念充分融入城市建设管</w:t>
      </w:r>
      <w:r>
        <w:rPr>
          <w:rFonts w:ascii="FangSong_GB2312" w:hAnsi="FangSong_GB2312" w:eastAsia="FangSong_GB2312" w:cs="FangSong_GB2312"/>
          <w:spacing w:val="-8"/>
          <w:sz w:val="32"/>
          <w:szCs w:val="32"/>
        </w:rPr>
        <w:t>理当中，构建气候韧性的智慧基础设施体系，加强对</w:t>
      </w:r>
      <w:r>
        <w:rPr>
          <w:rFonts w:ascii="FangSong_GB2312" w:hAnsi="FangSong_GB2312" w:eastAsia="FangSong_GB2312" w:cs="FangSong_GB2312"/>
          <w:spacing w:val="-9"/>
          <w:sz w:val="32"/>
          <w:szCs w:val="32"/>
        </w:rPr>
        <w:t>气候灾害和</w:t>
      </w:r>
    </w:p>
    <w:p w14:paraId="5E7BFF80">
      <w:pPr>
        <w:spacing w:line="330" w:lineRule="auto"/>
        <w:rPr>
          <w:rFonts w:ascii="FangSong_GB2312" w:hAnsi="FangSong_GB2312" w:eastAsia="FangSong_GB2312" w:cs="FangSong_GB2312"/>
          <w:sz w:val="32"/>
          <w:szCs w:val="32"/>
        </w:rPr>
        <w:sectPr>
          <w:footerReference r:id="rId32" w:type="default"/>
          <w:pgSz w:w="11905" w:h="16840"/>
          <w:pgMar w:top="1431" w:right="1494" w:bottom="1867" w:left="1596" w:header="0" w:footer="1506" w:gutter="0"/>
          <w:cols w:space="720" w:num="1"/>
        </w:sectPr>
      </w:pPr>
    </w:p>
    <w:p w14:paraId="48DBC52F">
      <w:pPr>
        <w:spacing w:line="341" w:lineRule="auto"/>
        <w:rPr>
          <w:rFonts w:ascii="Arial"/>
          <w:sz w:val="21"/>
        </w:rPr>
      </w:pPr>
    </w:p>
    <w:p w14:paraId="2B168A4C">
      <w:pPr>
        <w:spacing w:line="342" w:lineRule="auto"/>
        <w:rPr>
          <w:rFonts w:ascii="Arial"/>
          <w:sz w:val="21"/>
        </w:rPr>
      </w:pPr>
    </w:p>
    <w:p w14:paraId="0C5AB5E3">
      <w:pPr>
        <w:spacing w:before="104" w:line="331" w:lineRule="auto"/>
        <w:ind w:right="1" w:firstLine="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极端气候事件的监测预警、风险管理和抵御应对能力。加大生态</w:t>
      </w:r>
      <w:r>
        <w:rPr>
          <w:rFonts w:ascii="FangSong_GB2312" w:hAnsi="FangSong_GB2312" w:eastAsia="FangSong_GB2312" w:cs="FangSong_GB2312"/>
          <w:spacing w:val="-8"/>
          <w:sz w:val="32"/>
          <w:szCs w:val="32"/>
        </w:rPr>
        <w:t>基础设施建设，增加城市隔离绿地和绿廊、绿环</w:t>
      </w:r>
      <w:r>
        <w:rPr>
          <w:rFonts w:ascii="FangSong_GB2312" w:hAnsi="FangSong_GB2312" w:eastAsia="FangSong_GB2312" w:cs="FangSong_GB2312"/>
          <w:spacing w:val="-9"/>
          <w:sz w:val="32"/>
          <w:szCs w:val="32"/>
        </w:rPr>
        <w:t>、绿楔、绿心等</w:t>
      </w:r>
      <w:r>
        <w:rPr>
          <w:rFonts w:ascii="FangSong_GB2312" w:hAnsi="FangSong_GB2312" w:eastAsia="FangSong_GB2312" w:cs="FangSong_GB2312"/>
          <w:spacing w:val="-14"/>
          <w:sz w:val="32"/>
          <w:szCs w:val="32"/>
        </w:rPr>
        <w:t>绿地系统建设。</w:t>
      </w:r>
    </w:p>
    <w:p w14:paraId="778C2EF5">
      <w:pPr>
        <w:spacing w:before="5" w:line="331" w:lineRule="auto"/>
        <w:ind w:left="2" w:right="1" w:firstLine="626"/>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提升城市人居环境品质。深入开展城市功能品质提升行动、</w:t>
      </w:r>
      <w:r>
        <w:rPr>
          <w:rFonts w:ascii="FangSong_GB2312" w:hAnsi="FangSong_GB2312" w:eastAsia="FangSong_GB2312" w:cs="FangSong_GB2312"/>
          <w:spacing w:val="-14"/>
          <w:sz w:val="32"/>
          <w:szCs w:val="32"/>
        </w:rPr>
        <w:t>城市更新行动，高品位建设生态园林城市、绿色生态城区， 打造</w:t>
      </w:r>
      <w:r>
        <w:rPr>
          <w:rFonts w:ascii="FangSong_GB2312" w:hAnsi="FangSong_GB2312" w:eastAsia="FangSong_GB2312" w:cs="FangSong_GB2312"/>
          <w:spacing w:val="-8"/>
          <w:sz w:val="32"/>
          <w:szCs w:val="32"/>
        </w:rPr>
        <w:t>宜居、韧性、智慧、绿色、人文的新型城市</w:t>
      </w:r>
      <w:r>
        <w:rPr>
          <w:rFonts w:ascii="FangSong_GB2312" w:hAnsi="FangSong_GB2312" w:eastAsia="FangSong_GB2312" w:cs="FangSong_GB2312"/>
          <w:spacing w:val="-9"/>
          <w:sz w:val="32"/>
          <w:szCs w:val="32"/>
        </w:rPr>
        <w:t>。强化城市噪声污染治理，持续实施噪声污染防治行动，健全城市声环境综合评价指标体系和评价方法，营造宁静和谐的生活环境。加强城市基础设施建设，推进城市基础设施补短板和更新改造专项行动，推动可</w:t>
      </w:r>
      <w:r>
        <w:rPr>
          <w:rFonts w:ascii="FangSong_GB2312" w:hAnsi="FangSong_GB2312" w:eastAsia="FangSong_GB2312" w:cs="FangSong_GB2312"/>
          <w:spacing w:val="-14"/>
          <w:sz w:val="32"/>
          <w:szCs w:val="32"/>
        </w:rPr>
        <w:t>再生能源、清洁能源利用， 积极发展城市步行和自行车交通，构</w:t>
      </w:r>
      <w:r>
        <w:rPr>
          <w:rFonts w:ascii="FangSong_GB2312" w:hAnsi="FangSong_GB2312" w:eastAsia="FangSong_GB2312" w:cs="FangSong_GB2312"/>
          <w:spacing w:val="-13"/>
          <w:sz w:val="32"/>
          <w:szCs w:val="32"/>
        </w:rPr>
        <w:t>建城市慢行交通系统。</w:t>
      </w:r>
    </w:p>
    <w:p w14:paraId="46630E9A">
      <w:pPr>
        <w:spacing w:before="1" w:line="215" w:lineRule="auto"/>
        <w:ind w:left="619"/>
        <w:rPr>
          <w:rFonts w:ascii="KaiTi_GB2312" w:hAnsi="KaiTi_GB2312" w:eastAsia="KaiTi_GB2312" w:cs="KaiTi_GB2312"/>
          <w:sz w:val="32"/>
          <w:szCs w:val="32"/>
        </w:rPr>
      </w:pPr>
      <w:r>
        <w:rPr>
          <w:rFonts w:ascii="KaiTi_GB2312" w:hAnsi="KaiTi_GB2312" w:eastAsia="KaiTi_GB2312" w:cs="KaiTi_GB2312"/>
          <w:spacing w:val="-7"/>
          <w:sz w:val="32"/>
          <w:szCs w:val="32"/>
        </w:rPr>
        <w:t>（二）建设绿色精致城镇</w:t>
      </w:r>
    </w:p>
    <w:p w14:paraId="38B34764">
      <w:pPr>
        <w:spacing w:before="201" w:line="331" w:lineRule="auto"/>
        <w:ind w:left="5" w:right="1"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15"/>
          <w:sz w:val="32"/>
          <w:szCs w:val="32"/>
        </w:rPr>
        <w:t>高质量推进新型城镇化建设。分类引导小城镇发展， 支持城</w:t>
      </w:r>
      <w:r>
        <w:rPr>
          <w:rFonts w:ascii="FangSong_GB2312" w:hAnsi="FangSong_GB2312" w:eastAsia="FangSong_GB2312" w:cs="FangSong_GB2312"/>
          <w:spacing w:val="-9"/>
          <w:sz w:val="32"/>
          <w:szCs w:val="32"/>
        </w:rPr>
        <w:t>市周边小城镇通过规划独立城市组团、整体纳入中心城市等多种</w:t>
      </w:r>
      <w:r>
        <w:rPr>
          <w:rFonts w:ascii="FangSong_GB2312" w:hAnsi="FangSong_GB2312" w:eastAsia="FangSong_GB2312" w:cs="FangSong_GB2312"/>
          <w:spacing w:val="-12"/>
          <w:sz w:val="32"/>
          <w:szCs w:val="32"/>
        </w:rPr>
        <w:t>方式融入城市圈发展。以新型城镇化示范乡镇引领</w:t>
      </w:r>
      <w:r>
        <w:rPr>
          <w:rFonts w:ascii="FangSong_GB2312" w:hAnsi="FangSong_GB2312" w:eastAsia="FangSong_GB2312" w:cs="FangSong_GB2312"/>
          <w:spacing w:val="-13"/>
          <w:sz w:val="32"/>
          <w:szCs w:val="32"/>
        </w:rPr>
        <w:t>，</w:t>
      </w:r>
      <w:r>
        <w:rPr>
          <w:rFonts w:ascii="FangSong_GB2312" w:hAnsi="FangSong_GB2312" w:eastAsia="FangSong_GB2312" w:cs="FangSong_GB2312"/>
          <w:spacing w:val="-55"/>
          <w:sz w:val="32"/>
          <w:szCs w:val="32"/>
        </w:rPr>
        <w:t xml:space="preserve"> </w:t>
      </w:r>
      <w:r>
        <w:rPr>
          <w:rFonts w:ascii="FangSong_GB2312" w:hAnsi="FangSong_GB2312" w:eastAsia="FangSong_GB2312" w:cs="FangSong_GB2312"/>
          <w:spacing w:val="-13"/>
          <w:sz w:val="32"/>
          <w:szCs w:val="32"/>
        </w:rPr>
        <w:t>推进乡镇建</w:t>
      </w:r>
      <w:r>
        <w:rPr>
          <w:rFonts w:ascii="FangSong_GB2312" w:hAnsi="FangSong_GB2312" w:eastAsia="FangSong_GB2312" w:cs="FangSong_GB2312"/>
          <w:spacing w:val="-9"/>
          <w:sz w:val="32"/>
          <w:szCs w:val="32"/>
        </w:rPr>
        <w:t>设行动，加快补齐圩镇基础设施和公共服务短板。开展现代商贸特色镇和商贸发展示范村建设，争取商贸强镇国家试点。支持少</w:t>
      </w:r>
      <w:r>
        <w:rPr>
          <w:rFonts w:ascii="FangSong_GB2312" w:hAnsi="FangSong_GB2312" w:eastAsia="FangSong_GB2312" w:cs="FangSong_GB2312"/>
          <w:spacing w:val="-10"/>
          <w:sz w:val="32"/>
          <w:szCs w:val="32"/>
        </w:rPr>
        <w:t>数民族集聚区发展，建设少数民族特色村镇。</w:t>
      </w:r>
    </w:p>
    <w:p w14:paraId="5CF6C5AB">
      <w:pPr>
        <w:pStyle w:val="2"/>
        <w:spacing w:before="3" w:line="330" w:lineRule="auto"/>
        <w:ind w:left="18" w:firstLine="616"/>
        <w:jc w:val="both"/>
        <w:rPr>
          <w:rFonts w:ascii="FangSong_GB2312" w:hAnsi="FangSong_GB2312" w:eastAsia="FangSong_GB2312" w:cs="FangSong_GB2312"/>
        </w:rPr>
      </w:pPr>
      <w:r>
        <w:rPr>
          <w:rFonts w:ascii="FangSong_GB2312" w:hAnsi="FangSong_GB2312" w:eastAsia="FangSong_GB2312" w:cs="FangSong_GB2312"/>
          <w:spacing w:val="-13"/>
        </w:rPr>
        <w:t>打造生态宜居的魅力乡镇。不断深化镇区综合环境整治，</w:t>
      </w:r>
      <w:r>
        <w:rPr>
          <w:rFonts w:ascii="FangSong_GB2312" w:hAnsi="FangSong_GB2312" w:eastAsia="FangSong_GB2312" w:cs="FangSong_GB2312"/>
          <w:spacing w:val="-47"/>
        </w:rPr>
        <w:t xml:space="preserve"> </w:t>
      </w:r>
      <w:r>
        <w:rPr>
          <w:rFonts w:ascii="FangSong_GB2312" w:hAnsi="FangSong_GB2312" w:eastAsia="FangSong_GB2312" w:cs="FangSong_GB2312"/>
          <w:spacing w:val="-13"/>
        </w:rPr>
        <w:t>加</w:t>
      </w:r>
      <w:r>
        <w:rPr>
          <w:rFonts w:ascii="FangSong_GB2312" w:hAnsi="FangSong_GB2312" w:eastAsia="FangSong_GB2312" w:cs="FangSong_GB2312"/>
          <w:spacing w:val="-3"/>
        </w:rPr>
        <w:t>强乡镇建设风貌管控。大力发展“生态</w:t>
      </w:r>
      <w:r>
        <w:rPr>
          <w:spacing w:val="-3"/>
        </w:rPr>
        <w:t>+</w:t>
      </w:r>
      <w:r>
        <w:rPr>
          <w:rFonts w:ascii="FangSong_GB2312" w:hAnsi="FangSong_GB2312" w:eastAsia="FangSong_GB2312" w:cs="FangSong_GB2312"/>
          <w:spacing w:val="-3"/>
        </w:rPr>
        <w:t>”产业，实施</w:t>
      </w:r>
      <w:r>
        <w:rPr>
          <w:rFonts w:ascii="FangSong_GB2312" w:hAnsi="FangSong_GB2312" w:eastAsia="FangSong_GB2312" w:cs="FangSong_GB2312"/>
          <w:spacing w:val="-4"/>
        </w:rPr>
        <w:t>原生态保</w:t>
      </w:r>
      <w:r>
        <w:rPr>
          <w:rFonts w:ascii="FangSong_GB2312" w:hAnsi="FangSong_GB2312" w:eastAsia="FangSong_GB2312" w:cs="FangSong_GB2312"/>
          <w:spacing w:val="-14"/>
        </w:rPr>
        <w:t>护，创建一批特色生态旅游特色小镇、示范村和精品线</w:t>
      </w:r>
      <w:r>
        <w:rPr>
          <w:rFonts w:ascii="FangSong_GB2312" w:hAnsi="FangSong_GB2312" w:eastAsia="FangSong_GB2312" w:cs="FangSong_GB2312"/>
          <w:spacing w:val="-15"/>
        </w:rPr>
        <w:t>路， 打造</w:t>
      </w:r>
      <w:r>
        <w:rPr>
          <w:rFonts w:ascii="FangSong_GB2312" w:hAnsi="FangSong_GB2312" w:eastAsia="FangSong_GB2312" w:cs="FangSong_GB2312"/>
          <w:spacing w:val="-11"/>
        </w:rPr>
        <w:t>绿色生态保护的乡村生态旅游特色小镇。</w:t>
      </w:r>
    </w:p>
    <w:p w14:paraId="5A93E8A6">
      <w:pPr>
        <w:spacing w:line="330" w:lineRule="auto"/>
        <w:rPr>
          <w:rFonts w:ascii="FangSong_GB2312" w:hAnsi="FangSong_GB2312" w:eastAsia="FangSong_GB2312" w:cs="FangSong_GB2312"/>
        </w:rPr>
        <w:sectPr>
          <w:footerReference r:id="rId33" w:type="default"/>
          <w:pgSz w:w="11905" w:h="16840"/>
          <w:pgMar w:top="1431" w:right="1576" w:bottom="1867" w:left="1594" w:header="0" w:footer="1506" w:gutter="0"/>
          <w:cols w:space="720" w:num="1"/>
        </w:sectPr>
      </w:pPr>
    </w:p>
    <w:p w14:paraId="2F6F94A2">
      <w:pPr>
        <w:spacing w:line="343" w:lineRule="auto"/>
        <w:rPr>
          <w:rFonts w:ascii="Arial"/>
          <w:sz w:val="21"/>
        </w:rPr>
      </w:pPr>
    </w:p>
    <w:p w14:paraId="53973F20">
      <w:pPr>
        <w:spacing w:line="343" w:lineRule="auto"/>
        <w:rPr>
          <w:rFonts w:ascii="Arial"/>
          <w:sz w:val="21"/>
        </w:rPr>
      </w:pPr>
    </w:p>
    <w:p w14:paraId="214A9921">
      <w:pPr>
        <w:spacing w:before="104" w:line="215" w:lineRule="auto"/>
        <w:ind w:left="621"/>
        <w:rPr>
          <w:rFonts w:ascii="KaiTi_GB2312" w:hAnsi="KaiTi_GB2312" w:eastAsia="KaiTi_GB2312" w:cs="KaiTi_GB2312"/>
          <w:sz w:val="32"/>
          <w:szCs w:val="32"/>
        </w:rPr>
      </w:pPr>
      <w:r>
        <w:rPr>
          <w:rFonts w:ascii="KaiTi_GB2312" w:hAnsi="KaiTi_GB2312" w:eastAsia="KaiTi_GB2312" w:cs="KaiTi_GB2312"/>
          <w:spacing w:val="-7"/>
          <w:sz w:val="32"/>
          <w:szCs w:val="32"/>
        </w:rPr>
        <w:t>（三）建设秀美诗意乡村</w:t>
      </w:r>
    </w:p>
    <w:p w14:paraId="29CF3D41">
      <w:pPr>
        <w:spacing w:before="201" w:line="331" w:lineRule="auto"/>
        <w:ind w:left="4" w:right="97" w:firstLine="62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全域提升农村人居环境质量。持续深入推进农村厕所革命，</w:t>
      </w:r>
      <w:r>
        <w:rPr>
          <w:rFonts w:ascii="FangSong_GB2312" w:hAnsi="FangSong_GB2312" w:eastAsia="FangSong_GB2312" w:cs="FangSong_GB2312"/>
          <w:spacing w:val="-8"/>
          <w:sz w:val="32"/>
          <w:szCs w:val="32"/>
        </w:rPr>
        <w:t>提高农村户厕改造质量，基本实现卫生厕所</w:t>
      </w:r>
      <w:r>
        <w:rPr>
          <w:rFonts w:ascii="FangSong_GB2312" w:hAnsi="FangSong_GB2312" w:eastAsia="FangSong_GB2312" w:cs="FangSong_GB2312"/>
          <w:spacing w:val="-9"/>
          <w:sz w:val="32"/>
          <w:szCs w:val="32"/>
        </w:rPr>
        <w:t>全覆盖。因地制宜实施农村生活污水治理，打造信丰县、崇义县、石城县等省级农村</w:t>
      </w:r>
      <w:r>
        <w:rPr>
          <w:rFonts w:ascii="FangSong_GB2312" w:hAnsi="FangSong_GB2312" w:eastAsia="FangSong_GB2312" w:cs="FangSong_GB2312"/>
          <w:spacing w:val="3"/>
          <w:sz w:val="32"/>
          <w:szCs w:val="32"/>
        </w:rPr>
        <w:t>生活污水治理整县推进试点，统筹推进生活污水和黑臭水体治</w:t>
      </w:r>
      <w:r>
        <w:rPr>
          <w:rFonts w:ascii="FangSong_GB2312" w:hAnsi="FangSong_GB2312" w:eastAsia="FangSong_GB2312" w:cs="FangSong_GB2312"/>
          <w:spacing w:val="-9"/>
          <w:sz w:val="32"/>
          <w:szCs w:val="32"/>
        </w:rPr>
        <w:t>理。完善城乡环卫一体化运行管理机制，由点及面推进农村生活垃圾分类减量和资源化利用，推进乡村再生资源回收利用网络与</w:t>
      </w:r>
      <w:r>
        <w:rPr>
          <w:rFonts w:ascii="FangSong_GB2312" w:hAnsi="FangSong_GB2312" w:eastAsia="FangSong_GB2312" w:cs="FangSong_GB2312"/>
          <w:spacing w:val="-13"/>
          <w:sz w:val="32"/>
          <w:szCs w:val="32"/>
        </w:rPr>
        <w:t>环卫清运网络融合。</w:t>
      </w:r>
    </w:p>
    <w:p w14:paraId="5178AC6A">
      <w:pPr>
        <w:pStyle w:val="2"/>
        <w:spacing w:before="1" w:line="331" w:lineRule="auto"/>
        <w:ind w:left="7" w:right="97" w:firstLine="640"/>
        <w:jc w:val="both"/>
        <w:rPr>
          <w:rFonts w:ascii="FangSong_GB2312" w:hAnsi="FangSong_GB2312" w:eastAsia="FangSong_GB2312" w:cs="FangSong_GB2312"/>
        </w:rPr>
      </w:pPr>
      <w:r>
        <w:rPr>
          <w:rFonts w:ascii="FangSong_GB2312" w:hAnsi="FangSong_GB2312" w:eastAsia="FangSong_GB2312" w:cs="FangSong_GB2312"/>
          <w:spacing w:val="-3"/>
        </w:rPr>
        <w:t>高品质建设美丽宜居乡村。探索“美丽宜居</w:t>
      </w:r>
      <w:r>
        <w:rPr>
          <w:spacing w:val="-3"/>
        </w:rPr>
        <w:t>+</w:t>
      </w:r>
      <w:r>
        <w:rPr>
          <w:rFonts w:ascii="FangSong_GB2312" w:hAnsi="FangSong_GB2312" w:eastAsia="FangSong_GB2312" w:cs="FangSong_GB2312"/>
          <w:spacing w:val="-3"/>
        </w:rPr>
        <w:t>活力乡村”建</w:t>
      </w:r>
      <w:r>
        <w:rPr>
          <w:rFonts w:ascii="FangSong_GB2312" w:hAnsi="FangSong_GB2312" w:eastAsia="FangSong_GB2312" w:cs="FangSong_GB2312"/>
          <w:spacing w:val="-9"/>
        </w:rPr>
        <w:t>设发展新模式，高质量推进宜居宜业和美乡村建设，打造一批美</w:t>
      </w:r>
      <w:r>
        <w:rPr>
          <w:rFonts w:ascii="FangSong_GB2312" w:hAnsi="FangSong_GB2312" w:eastAsia="FangSong_GB2312" w:cs="FangSong_GB2312"/>
          <w:spacing w:val="-17"/>
        </w:rPr>
        <w:t>丽乡镇、村庄、庭院，</w:t>
      </w:r>
      <w:r>
        <w:rPr>
          <w:rFonts w:ascii="FangSong_GB2312" w:hAnsi="FangSong_GB2312" w:eastAsia="FangSong_GB2312" w:cs="FangSong_GB2312"/>
          <w:spacing w:val="80"/>
        </w:rPr>
        <w:t xml:space="preserve"> </w:t>
      </w:r>
      <w:r>
        <w:rPr>
          <w:rFonts w:ascii="FangSong_GB2312" w:hAnsi="FangSong_GB2312" w:eastAsia="FangSong_GB2312" w:cs="FangSong_GB2312"/>
          <w:spacing w:val="-17"/>
        </w:rPr>
        <w:t>形成点上精美、线上出彩、面上宜居的美</w:t>
      </w:r>
      <w:r>
        <w:rPr>
          <w:rFonts w:ascii="FangSong_GB2312" w:hAnsi="FangSong_GB2312" w:eastAsia="FangSong_GB2312" w:cs="FangSong_GB2312"/>
          <w:spacing w:val="-13"/>
        </w:rPr>
        <w:t>丽乡村建设格局。加强传统村落保护利用，</w:t>
      </w:r>
      <w:r>
        <w:rPr>
          <w:rFonts w:ascii="FangSong_GB2312" w:hAnsi="FangSong_GB2312" w:eastAsia="FangSong_GB2312" w:cs="FangSong_GB2312"/>
          <w:spacing w:val="-33"/>
        </w:rPr>
        <w:t xml:space="preserve"> </w:t>
      </w:r>
      <w:r>
        <w:rPr>
          <w:rFonts w:ascii="FangSong_GB2312" w:hAnsi="FangSong_GB2312" w:eastAsia="FangSong_GB2312" w:cs="FangSong_GB2312"/>
          <w:spacing w:val="-13"/>
        </w:rPr>
        <w:t>注重农村建房管控和</w:t>
      </w:r>
      <w:r>
        <w:rPr>
          <w:rFonts w:ascii="FangSong_GB2312" w:hAnsi="FangSong_GB2312" w:eastAsia="FangSong_GB2312" w:cs="FangSong_GB2312"/>
          <w:spacing w:val="-9"/>
        </w:rPr>
        <w:t>风貌塑造，以“一镇两村两类三线”风貌营造为重点，加强赣南</w:t>
      </w:r>
      <w:r>
        <w:rPr>
          <w:rFonts w:ascii="FangSong_GB2312" w:hAnsi="FangSong_GB2312" w:eastAsia="FangSong_GB2312" w:cs="FangSong_GB2312"/>
          <w:spacing w:val="-12"/>
        </w:rPr>
        <w:t>乡村建筑风貌特色保护与传承。</w:t>
      </w:r>
    </w:p>
    <w:p w14:paraId="09EA26FB">
      <w:pPr>
        <w:spacing w:before="2" w:line="215" w:lineRule="auto"/>
        <w:ind w:left="621"/>
        <w:rPr>
          <w:rFonts w:ascii="KaiTi_GB2312" w:hAnsi="KaiTi_GB2312" w:eastAsia="KaiTi_GB2312" w:cs="KaiTi_GB2312"/>
          <w:sz w:val="32"/>
          <w:szCs w:val="32"/>
        </w:rPr>
      </w:pPr>
      <w:r>
        <w:rPr>
          <w:rFonts w:ascii="KaiTi_GB2312" w:hAnsi="KaiTi_GB2312" w:eastAsia="KaiTi_GB2312" w:cs="KaiTi_GB2312"/>
          <w:spacing w:val="-6"/>
          <w:sz w:val="32"/>
          <w:szCs w:val="32"/>
        </w:rPr>
        <w:t>（四）促进城乡融合发展</w:t>
      </w:r>
    </w:p>
    <w:p w14:paraId="6C51ABF3">
      <w:pPr>
        <w:spacing w:before="199" w:line="331" w:lineRule="auto"/>
        <w:ind w:firstLine="63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共促城乡多元经济活力。推动构建城乡共融、城乡一体的新</w:t>
      </w:r>
      <w:r>
        <w:rPr>
          <w:rFonts w:ascii="FangSong_GB2312" w:hAnsi="FangSong_GB2312" w:eastAsia="FangSong_GB2312" w:cs="FangSong_GB2312"/>
          <w:spacing w:val="-8"/>
          <w:sz w:val="32"/>
          <w:szCs w:val="32"/>
        </w:rPr>
        <w:t>型城乡关系，因地制宜探索城乡产业融合形式，推动</w:t>
      </w:r>
      <w:r>
        <w:rPr>
          <w:rFonts w:ascii="FangSong_GB2312" w:hAnsi="FangSong_GB2312" w:eastAsia="FangSong_GB2312" w:cs="FangSong_GB2312"/>
          <w:spacing w:val="-9"/>
          <w:sz w:val="32"/>
          <w:szCs w:val="32"/>
        </w:rPr>
        <w:t>城市制造业</w:t>
      </w:r>
      <w:r>
        <w:rPr>
          <w:rFonts w:ascii="FangSong_GB2312" w:hAnsi="FangSong_GB2312" w:eastAsia="FangSong_GB2312" w:cs="FangSong_GB2312"/>
          <w:spacing w:val="-16"/>
          <w:sz w:val="32"/>
          <w:szCs w:val="32"/>
        </w:rPr>
        <w:t>产业链与乡村农业产业链融合。加快瑞金、龙南次中心城市建设，</w:t>
      </w:r>
      <w:r>
        <w:rPr>
          <w:rFonts w:ascii="FangSong_GB2312" w:hAnsi="FangSong_GB2312" w:eastAsia="FangSong_GB2312" w:cs="FangSong_GB2312"/>
          <w:spacing w:val="-8"/>
          <w:sz w:val="32"/>
          <w:szCs w:val="32"/>
        </w:rPr>
        <w:t>打造区域性生产和生活服务中心，带动赣州东部和南</w:t>
      </w:r>
      <w:r>
        <w:rPr>
          <w:rFonts w:ascii="FangSong_GB2312" w:hAnsi="FangSong_GB2312" w:eastAsia="FangSong_GB2312" w:cs="FangSong_GB2312"/>
          <w:spacing w:val="-9"/>
          <w:sz w:val="32"/>
          <w:szCs w:val="32"/>
        </w:rPr>
        <w:t>部城镇群整</w:t>
      </w:r>
      <w:r>
        <w:rPr>
          <w:rFonts w:ascii="FangSong_GB2312" w:hAnsi="FangSong_GB2312" w:eastAsia="FangSong_GB2312" w:cs="FangSong_GB2312"/>
          <w:spacing w:val="-16"/>
          <w:sz w:val="32"/>
          <w:szCs w:val="32"/>
        </w:rPr>
        <w:t>体发展。鼓励引导各类人才入乡创新创业，促进更多资本、技术、</w:t>
      </w:r>
      <w:r>
        <w:rPr>
          <w:rFonts w:ascii="FangSong_GB2312" w:hAnsi="FangSong_GB2312" w:eastAsia="FangSong_GB2312" w:cs="FangSong_GB2312"/>
          <w:spacing w:val="-11"/>
          <w:sz w:val="32"/>
          <w:szCs w:val="32"/>
        </w:rPr>
        <w:t>劳动力等生产要素向乡村流动。</w:t>
      </w:r>
    </w:p>
    <w:p w14:paraId="57D56A5D">
      <w:pPr>
        <w:spacing w:before="2" w:line="214" w:lineRule="auto"/>
        <w:ind w:left="637"/>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共塑赣南特色城乡风貌。传承传统营城理念， 尊重城市形态</w:t>
      </w:r>
    </w:p>
    <w:p w14:paraId="019A0999">
      <w:pPr>
        <w:spacing w:line="214" w:lineRule="auto"/>
        <w:rPr>
          <w:rFonts w:ascii="FangSong_GB2312" w:hAnsi="FangSong_GB2312" w:eastAsia="FangSong_GB2312" w:cs="FangSong_GB2312"/>
          <w:sz w:val="32"/>
          <w:szCs w:val="32"/>
        </w:rPr>
        <w:sectPr>
          <w:footerReference r:id="rId34" w:type="default"/>
          <w:pgSz w:w="11905" w:h="16840"/>
          <w:pgMar w:top="1431" w:right="1480" w:bottom="1867" w:left="1592" w:header="0" w:footer="1506" w:gutter="0"/>
          <w:cols w:space="720" w:num="1"/>
        </w:sectPr>
      </w:pPr>
    </w:p>
    <w:p w14:paraId="0C9D0CB7">
      <w:pPr>
        <w:spacing w:line="342" w:lineRule="auto"/>
        <w:rPr>
          <w:rFonts w:ascii="Arial"/>
          <w:sz w:val="21"/>
        </w:rPr>
      </w:pPr>
    </w:p>
    <w:p w14:paraId="667A8E85">
      <w:pPr>
        <w:spacing w:line="343" w:lineRule="auto"/>
        <w:rPr>
          <w:rFonts w:ascii="Arial"/>
          <w:sz w:val="21"/>
        </w:rPr>
      </w:pPr>
    </w:p>
    <w:p w14:paraId="6E634DF2">
      <w:pPr>
        <w:spacing w:before="104" w:line="331" w:lineRule="auto"/>
        <w:ind w:left="1" w:firstLine="30"/>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的历史肌理和延续性，维护山水城格局的连续完整。梳理赣南红</w:t>
      </w:r>
      <w:r>
        <w:rPr>
          <w:rFonts w:ascii="FangSong_GB2312" w:hAnsi="FangSong_GB2312" w:eastAsia="FangSong_GB2312" w:cs="FangSong_GB2312"/>
          <w:spacing w:val="-14"/>
          <w:sz w:val="32"/>
          <w:szCs w:val="32"/>
        </w:rPr>
        <w:t>色文化、客家传统、历史脉络、风格肌理， 结合背街小巷改造提</w:t>
      </w:r>
      <w:r>
        <w:rPr>
          <w:rFonts w:ascii="FangSong_GB2312" w:hAnsi="FangSong_GB2312" w:eastAsia="FangSong_GB2312" w:cs="FangSong_GB2312"/>
          <w:spacing w:val="-8"/>
          <w:sz w:val="32"/>
          <w:szCs w:val="32"/>
        </w:rPr>
        <w:t>升、镇区建筑项目建设、居民建房管理、传</w:t>
      </w:r>
      <w:r>
        <w:rPr>
          <w:rFonts w:ascii="FangSong_GB2312" w:hAnsi="FangSong_GB2312" w:eastAsia="FangSong_GB2312" w:cs="FangSong_GB2312"/>
          <w:spacing w:val="-9"/>
          <w:sz w:val="32"/>
          <w:szCs w:val="32"/>
        </w:rPr>
        <w:t>统建筑保护修缮等，</w:t>
      </w:r>
      <w:r>
        <w:rPr>
          <w:rFonts w:ascii="FangSong_GB2312" w:hAnsi="FangSong_GB2312" w:eastAsia="FangSong_GB2312" w:cs="FangSong_GB2312"/>
          <w:spacing w:val="-12"/>
          <w:sz w:val="32"/>
          <w:szCs w:val="32"/>
        </w:rPr>
        <w:t>开展建筑风貌管控和塑造。深化以宋城文化核心区为龙</w:t>
      </w:r>
      <w:r>
        <w:rPr>
          <w:rFonts w:ascii="FangSong_GB2312" w:hAnsi="FangSong_GB2312" w:eastAsia="FangSong_GB2312" w:cs="FangSong_GB2312"/>
          <w:spacing w:val="-13"/>
          <w:sz w:val="32"/>
          <w:szCs w:val="32"/>
        </w:rPr>
        <w:t>头，</w:t>
      </w:r>
      <w:r>
        <w:rPr>
          <w:rFonts w:ascii="FangSong_GB2312" w:hAnsi="FangSong_GB2312" w:eastAsia="FangSong_GB2312" w:cs="FangSong_GB2312"/>
          <w:spacing w:val="-53"/>
          <w:sz w:val="32"/>
          <w:szCs w:val="32"/>
        </w:rPr>
        <w:t xml:space="preserve"> </w:t>
      </w:r>
      <w:r>
        <w:rPr>
          <w:rFonts w:ascii="FangSong_GB2312" w:hAnsi="FangSong_GB2312" w:eastAsia="FangSong_GB2312" w:cs="FangSong_GB2312"/>
          <w:spacing w:val="-13"/>
          <w:sz w:val="32"/>
          <w:szCs w:val="32"/>
        </w:rPr>
        <w:t>红色</w:t>
      </w:r>
      <w:r>
        <w:rPr>
          <w:rFonts w:ascii="FangSong_GB2312" w:hAnsi="FangSong_GB2312" w:eastAsia="FangSong_GB2312" w:cs="FangSong_GB2312"/>
          <w:spacing w:val="-9"/>
          <w:sz w:val="32"/>
          <w:szCs w:val="32"/>
        </w:rPr>
        <w:t>旅游区为突破点，生态休闲度假旅游区、客家文化旅游区为支撑的“一核三区”全域旅游空间布局，构建城景融合的赣南城乡特</w:t>
      </w:r>
      <w:r>
        <w:rPr>
          <w:rFonts w:ascii="FangSong_GB2312" w:hAnsi="FangSong_GB2312" w:eastAsia="FangSong_GB2312" w:cs="FangSong_GB2312"/>
          <w:spacing w:val="-18"/>
          <w:sz w:val="32"/>
          <w:szCs w:val="32"/>
        </w:rPr>
        <w:t>色风貌。</w:t>
      </w:r>
    </w:p>
    <w:p w14:paraId="1D24FC38">
      <w:pPr>
        <w:pStyle w:val="2"/>
        <w:spacing w:before="2" w:line="331" w:lineRule="auto"/>
        <w:ind w:left="1" w:firstLine="632"/>
        <w:jc w:val="both"/>
        <w:rPr>
          <w:rFonts w:ascii="FangSong_GB2312" w:hAnsi="FangSong_GB2312" w:eastAsia="FangSong_GB2312" w:cs="FangSong_GB2312"/>
        </w:rPr>
      </w:pPr>
      <w:r>
        <w:rPr>
          <w:rFonts w:ascii="FangSong_GB2312" w:hAnsi="FangSong_GB2312" w:eastAsia="FangSong_GB2312" w:cs="FangSong_GB2312"/>
          <w:spacing w:val="4"/>
        </w:rPr>
        <w:t>共享城乡公共服务体系。开展城乡交通一体</w:t>
      </w:r>
      <w:r>
        <w:rPr>
          <w:rFonts w:ascii="FangSong_GB2312" w:hAnsi="FangSong_GB2312" w:eastAsia="FangSong_GB2312" w:cs="FangSong_GB2312"/>
          <w:spacing w:val="3"/>
        </w:rPr>
        <w:t>化示范创建工</w:t>
      </w:r>
      <w:r>
        <w:rPr>
          <w:rFonts w:ascii="FangSong_GB2312" w:hAnsi="FangSong_GB2312" w:eastAsia="FangSong_GB2312" w:cs="FangSong_GB2312"/>
          <w:spacing w:val="-9"/>
        </w:rPr>
        <w:t>程，持续推进革命老区交通运输高质量发展示范区建设。支持建</w:t>
      </w:r>
      <w:r>
        <w:rPr>
          <w:rFonts w:ascii="FangSong_GB2312" w:hAnsi="FangSong_GB2312" w:eastAsia="FangSong_GB2312" w:cs="FangSong_GB2312"/>
          <w:spacing w:val="-14"/>
        </w:rPr>
        <w:t>设城乡学校共同体，发展“互联网</w:t>
      </w:r>
      <w:r>
        <w:rPr>
          <w:spacing w:val="-14"/>
        </w:rPr>
        <w:t>+</w:t>
      </w:r>
      <w:r>
        <w:rPr>
          <w:rFonts w:ascii="FangSong_GB2312" w:hAnsi="FangSong_GB2312" w:eastAsia="FangSong_GB2312" w:cs="FangSong_GB2312"/>
          <w:spacing w:val="-14"/>
        </w:rPr>
        <w:t>教育”和“空中课堂”，持续</w:t>
      </w:r>
      <w:r>
        <w:rPr>
          <w:rFonts w:ascii="FangSong_GB2312" w:hAnsi="FangSong_GB2312" w:eastAsia="FangSong_GB2312" w:cs="FangSong_GB2312"/>
          <w:spacing w:val="-8"/>
        </w:rPr>
        <w:t>提升乡村学校教学质量。推动建立紧密型县</w:t>
      </w:r>
      <w:r>
        <w:rPr>
          <w:rFonts w:ascii="FangSong_GB2312" w:hAnsi="FangSong_GB2312" w:eastAsia="FangSong_GB2312" w:cs="FangSong_GB2312"/>
          <w:spacing w:val="-9"/>
        </w:rPr>
        <w:t>域医疗卫生共同体，在有条件的地区开展远程医疗服务，采取派驻、巡诊等方式确保</w:t>
      </w:r>
      <w:r>
        <w:rPr>
          <w:rFonts w:ascii="FangSong_GB2312" w:hAnsi="FangSong_GB2312" w:eastAsia="FangSong_GB2312" w:cs="FangSong_GB2312"/>
          <w:spacing w:val="-12"/>
        </w:rPr>
        <w:t>农村医疗卫生服务覆盖。完善多功能农村便民公共服务平台，</w:t>
      </w:r>
      <w:r>
        <w:rPr>
          <w:rFonts w:ascii="FangSong_GB2312" w:hAnsi="FangSong_GB2312" w:eastAsia="FangSong_GB2312" w:cs="FangSong_GB2312"/>
          <w:spacing w:val="-57"/>
        </w:rPr>
        <w:t xml:space="preserve"> </w:t>
      </w:r>
      <w:r>
        <w:rPr>
          <w:rFonts w:ascii="FangSong_GB2312" w:hAnsi="FangSong_GB2312" w:eastAsia="FangSong_GB2312" w:cs="FangSong_GB2312"/>
          <w:spacing w:val="-12"/>
        </w:rPr>
        <w:t>实</w:t>
      </w:r>
      <w:r>
        <w:rPr>
          <w:rFonts w:ascii="FangSong_GB2312" w:hAnsi="FangSong_GB2312" w:eastAsia="FangSong_GB2312" w:cs="FangSong_GB2312"/>
          <w:spacing w:val="-10"/>
        </w:rPr>
        <w:t>现公共服务体系覆盖城乡、普惠共享、公平持续。</w:t>
      </w:r>
    </w:p>
    <w:p w14:paraId="283BFD84">
      <w:pPr>
        <w:spacing w:line="221" w:lineRule="auto"/>
        <w:ind w:left="637"/>
        <w:outlineLvl w:val="0"/>
        <w:rPr>
          <w:rFonts w:ascii="黑体" w:hAnsi="黑体" w:eastAsia="黑体" w:cs="黑体"/>
          <w:sz w:val="32"/>
          <w:szCs w:val="32"/>
        </w:rPr>
      </w:pPr>
      <w:r>
        <w:rPr>
          <w:rFonts w:ascii="黑体" w:hAnsi="黑体" w:eastAsia="黑体" w:cs="黑体"/>
          <w:spacing w:val="-8"/>
          <w:sz w:val="32"/>
          <w:szCs w:val="32"/>
        </w:rPr>
        <w:t>九、弘扬红绿交织的生态文化</w:t>
      </w:r>
    </w:p>
    <w:p w14:paraId="648D5DBD">
      <w:pPr>
        <w:spacing w:before="193" w:line="331" w:lineRule="auto"/>
        <w:ind w:left="3" w:firstLine="640"/>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立足丰厚的文化基底，传承保护优秀传统文化，弘扬</w:t>
      </w:r>
      <w:r>
        <w:rPr>
          <w:rFonts w:ascii="FangSong_GB2312" w:hAnsi="FangSong_GB2312" w:eastAsia="FangSong_GB2312" w:cs="FangSong_GB2312"/>
          <w:spacing w:val="-10"/>
          <w:sz w:val="32"/>
          <w:szCs w:val="32"/>
        </w:rPr>
        <w:t>苏区红</w:t>
      </w:r>
      <w:r>
        <w:rPr>
          <w:rFonts w:ascii="FangSong_GB2312" w:hAnsi="FangSong_GB2312" w:eastAsia="FangSong_GB2312" w:cs="FangSong_GB2312"/>
          <w:spacing w:val="-9"/>
          <w:sz w:val="32"/>
          <w:szCs w:val="32"/>
        </w:rPr>
        <w:t>色文化，深耕厚植绿色文化，创新融合红绿交织的生态文化，激发起全社会共建美丽赣州的积极性，形成美丽赣州建设生态文明</w:t>
      </w:r>
      <w:r>
        <w:rPr>
          <w:rFonts w:ascii="FangSong_GB2312" w:hAnsi="FangSong_GB2312" w:eastAsia="FangSong_GB2312" w:cs="FangSong_GB2312"/>
          <w:spacing w:val="-19"/>
          <w:sz w:val="32"/>
          <w:szCs w:val="32"/>
        </w:rPr>
        <w:t>新风尚。</w:t>
      </w:r>
    </w:p>
    <w:p w14:paraId="056ACC0B">
      <w:pPr>
        <w:spacing w:before="1" w:line="215" w:lineRule="auto"/>
        <w:ind w:left="617"/>
        <w:rPr>
          <w:rFonts w:ascii="KaiTi_GB2312" w:hAnsi="KaiTi_GB2312" w:eastAsia="KaiTi_GB2312" w:cs="KaiTi_GB2312"/>
          <w:sz w:val="32"/>
          <w:szCs w:val="32"/>
        </w:rPr>
      </w:pPr>
      <w:r>
        <w:rPr>
          <w:rFonts w:ascii="KaiTi_GB2312" w:hAnsi="KaiTi_GB2312" w:eastAsia="KaiTi_GB2312" w:cs="KaiTi_GB2312"/>
          <w:spacing w:val="-7"/>
          <w:sz w:val="32"/>
          <w:szCs w:val="32"/>
        </w:rPr>
        <w:t>（一）传承优秀传统文化</w:t>
      </w:r>
    </w:p>
    <w:p w14:paraId="7FEE34C8">
      <w:pPr>
        <w:spacing w:before="198" w:line="331" w:lineRule="auto"/>
        <w:ind w:firstLine="626"/>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保护历史文化名城。加强赣州市、瑞金市国家历史文化名城</w:t>
      </w:r>
      <w:r>
        <w:rPr>
          <w:rFonts w:ascii="FangSong_GB2312" w:hAnsi="FangSong_GB2312" w:eastAsia="FangSong_GB2312" w:cs="FangSong_GB2312"/>
          <w:spacing w:val="-8"/>
          <w:sz w:val="32"/>
          <w:szCs w:val="32"/>
        </w:rPr>
        <w:t>保护，以“一城一带连七片”为框架保护赣州历</w:t>
      </w:r>
      <w:r>
        <w:rPr>
          <w:rFonts w:ascii="FangSong_GB2312" w:hAnsi="FangSong_GB2312" w:eastAsia="FangSong_GB2312" w:cs="FangSong_GB2312"/>
          <w:spacing w:val="-9"/>
          <w:sz w:val="32"/>
          <w:szCs w:val="32"/>
        </w:rPr>
        <w:t>史城区。实施历</w:t>
      </w:r>
    </w:p>
    <w:p w14:paraId="7EFC0F1B">
      <w:pPr>
        <w:spacing w:line="331" w:lineRule="auto"/>
        <w:rPr>
          <w:rFonts w:ascii="FangSong_GB2312" w:hAnsi="FangSong_GB2312" w:eastAsia="FangSong_GB2312" w:cs="FangSong_GB2312"/>
          <w:sz w:val="32"/>
          <w:szCs w:val="32"/>
        </w:rPr>
        <w:sectPr>
          <w:footerReference r:id="rId35" w:type="default"/>
          <w:pgSz w:w="11905" w:h="16840"/>
          <w:pgMar w:top="1431" w:right="1577" w:bottom="1867" w:left="1596" w:header="0" w:footer="1506" w:gutter="0"/>
          <w:cols w:space="720" w:num="1"/>
        </w:sectPr>
      </w:pPr>
    </w:p>
    <w:p w14:paraId="730AC062">
      <w:pPr>
        <w:spacing w:line="343" w:lineRule="auto"/>
        <w:rPr>
          <w:rFonts w:ascii="Arial"/>
          <w:sz w:val="21"/>
        </w:rPr>
      </w:pPr>
    </w:p>
    <w:p w14:paraId="7B3BE4FB">
      <w:pPr>
        <w:spacing w:line="343" w:lineRule="auto"/>
        <w:rPr>
          <w:rFonts w:ascii="Arial"/>
          <w:sz w:val="21"/>
        </w:rPr>
      </w:pPr>
    </w:p>
    <w:p w14:paraId="0F5E5249">
      <w:pPr>
        <w:spacing w:before="104" w:line="329" w:lineRule="auto"/>
        <w:ind w:left="11" w:right="1" w:firstLine="13"/>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史文化街区修复，历史建筑保护修缮。推动赣州市国家公共</w:t>
      </w:r>
      <w:r>
        <w:rPr>
          <w:rFonts w:ascii="FangSong_GB2312" w:hAnsi="FangSong_GB2312" w:eastAsia="FangSong_GB2312" w:cs="FangSong_GB2312"/>
          <w:spacing w:val="-10"/>
          <w:sz w:val="32"/>
          <w:szCs w:val="32"/>
        </w:rPr>
        <w:t>文化</w:t>
      </w:r>
      <w:r>
        <w:rPr>
          <w:rFonts w:ascii="FangSong_GB2312" w:hAnsi="FangSong_GB2312" w:eastAsia="FangSong_GB2312" w:cs="FangSong_GB2312"/>
          <w:spacing w:val="-12"/>
          <w:sz w:val="32"/>
          <w:szCs w:val="32"/>
        </w:rPr>
        <w:t>服务体系示范区创新发展。</w:t>
      </w:r>
    </w:p>
    <w:p w14:paraId="6C4527AF">
      <w:pPr>
        <w:spacing w:before="7" w:line="331" w:lineRule="auto"/>
        <w:ind w:left="4" w:firstLine="621"/>
        <w:jc w:val="both"/>
        <w:rPr>
          <w:rFonts w:ascii="FangSong_GB2312" w:hAnsi="FangSong_GB2312" w:eastAsia="FangSong_GB2312" w:cs="FangSong_GB2312"/>
          <w:sz w:val="32"/>
          <w:szCs w:val="32"/>
        </w:rPr>
      </w:pPr>
      <w:r>
        <w:rPr>
          <w:rFonts w:ascii="FangSong_GB2312" w:hAnsi="FangSong_GB2312" w:eastAsia="FangSong_GB2312" w:cs="FangSong_GB2312"/>
          <w:spacing w:val="-12"/>
          <w:sz w:val="32"/>
          <w:szCs w:val="32"/>
        </w:rPr>
        <w:t>传承客家传统文化。推进客家文化生态保护实验区建设，</w:t>
      </w:r>
      <w:r>
        <w:rPr>
          <w:rFonts w:ascii="FangSong_GB2312" w:hAnsi="FangSong_GB2312" w:eastAsia="FangSong_GB2312" w:cs="FangSong_GB2312"/>
          <w:spacing w:val="-62"/>
          <w:sz w:val="32"/>
          <w:szCs w:val="32"/>
        </w:rPr>
        <w:t xml:space="preserve"> </w:t>
      </w:r>
      <w:r>
        <w:rPr>
          <w:rFonts w:ascii="FangSong_GB2312" w:hAnsi="FangSong_GB2312" w:eastAsia="FangSong_GB2312" w:cs="FangSong_GB2312"/>
          <w:spacing w:val="-12"/>
          <w:sz w:val="32"/>
          <w:szCs w:val="32"/>
        </w:rPr>
        <w:t>开</w:t>
      </w:r>
      <w:r>
        <w:rPr>
          <w:rFonts w:ascii="FangSong_GB2312" w:hAnsi="FangSong_GB2312" w:eastAsia="FangSong_GB2312" w:cs="FangSong_GB2312"/>
          <w:spacing w:val="-9"/>
          <w:sz w:val="32"/>
          <w:szCs w:val="32"/>
        </w:rPr>
        <w:t>展客家文化生态整体性保护理论和实践研究，挖掘传统工艺项目资源，建立传统工艺振兴目录并加以保护。开展客家文化展示和宣传活动，设立非物质文化遗产展示传承场所，维持客家传统节庆的存续环境。开辟古村落文化观光游、传统民俗体验游、非物质文化遗产研学游等多种主题的旅游景点和路线，结合实际探索</w:t>
      </w:r>
      <w:r>
        <w:rPr>
          <w:rFonts w:ascii="FangSong_GB2312" w:hAnsi="FangSong_GB2312" w:eastAsia="FangSong_GB2312" w:cs="FangSong_GB2312"/>
          <w:spacing w:val="-11"/>
          <w:sz w:val="32"/>
          <w:szCs w:val="32"/>
        </w:rPr>
        <w:t>建设综合性非物质文化遗产馆。</w:t>
      </w:r>
    </w:p>
    <w:p w14:paraId="624E2487">
      <w:pPr>
        <w:spacing w:before="1" w:line="221" w:lineRule="auto"/>
        <w:ind w:left="621"/>
        <w:rPr>
          <w:rFonts w:ascii="KaiTi_GB2312" w:hAnsi="KaiTi_GB2312" w:eastAsia="KaiTi_GB2312" w:cs="KaiTi_GB2312"/>
          <w:sz w:val="32"/>
          <w:szCs w:val="32"/>
        </w:rPr>
      </w:pPr>
      <w:r>
        <w:rPr>
          <w:rFonts w:ascii="KaiTi_GB2312" w:hAnsi="KaiTi_GB2312" w:eastAsia="KaiTi_GB2312" w:cs="KaiTi_GB2312"/>
          <w:spacing w:val="-7"/>
          <w:sz w:val="32"/>
          <w:szCs w:val="32"/>
        </w:rPr>
        <w:t>（二）弘扬苏区红色文化</w:t>
      </w:r>
    </w:p>
    <w:p w14:paraId="5B6981BD">
      <w:pPr>
        <w:spacing w:before="193" w:line="331" w:lineRule="auto"/>
        <w:ind w:firstLine="651"/>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完善红色资源保护利用体系。深入实施革命</w:t>
      </w:r>
      <w:r>
        <w:rPr>
          <w:rFonts w:ascii="FangSong_GB2312" w:hAnsi="FangSong_GB2312" w:eastAsia="FangSong_GB2312" w:cs="FangSong_GB2312"/>
          <w:spacing w:val="-10"/>
          <w:sz w:val="32"/>
          <w:szCs w:val="32"/>
        </w:rPr>
        <w:t>文物遗址保护修</w:t>
      </w:r>
      <w:r>
        <w:rPr>
          <w:rFonts w:ascii="FangSong_GB2312" w:hAnsi="FangSong_GB2312" w:eastAsia="FangSong_GB2312" w:cs="FangSong_GB2312"/>
          <w:spacing w:val="-8"/>
          <w:sz w:val="32"/>
          <w:szCs w:val="32"/>
        </w:rPr>
        <w:t>复工程，加大对瑞金中央苏区旧址、于都中央红军长征</w:t>
      </w:r>
      <w:r>
        <w:rPr>
          <w:rFonts w:ascii="FangSong_GB2312" w:hAnsi="FangSong_GB2312" w:eastAsia="FangSong_GB2312" w:cs="FangSong_GB2312"/>
          <w:spacing w:val="-9"/>
          <w:sz w:val="32"/>
          <w:szCs w:val="32"/>
        </w:rPr>
        <w:t>出发纪念</w:t>
      </w:r>
      <w:r>
        <w:rPr>
          <w:rFonts w:ascii="FangSong_GB2312" w:hAnsi="FangSong_GB2312" w:eastAsia="FangSong_GB2312" w:cs="FangSong_GB2312"/>
          <w:spacing w:val="-8"/>
          <w:sz w:val="32"/>
          <w:szCs w:val="32"/>
        </w:rPr>
        <w:t>馆等革命历史类纪念设施、遗址的保护修缮和展示利用</w:t>
      </w:r>
      <w:r>
        <w:rPr>
          <w:rFonts w:ascii="FangSong_GB2312" w:hAnsi="FangSong_GB2312" w:eastAsia="FangSong_GB2312" w:cs="FangSong_GB2312"/>
          <w:spacing w:val="-9"/>
          <w:sz w:val="32"/>
          <w:szCs w:val="32"/>
        </w:rPr>
        <w:t>力度。积</w:t>
      </w:r>
      <w:r>
        <w:rPr>
          <w:rFonts w:ascii="FangSong_GB2312" w:hAnsi="FangSong_GB2312" w:eastAsia="FangSong_GB2312" w:cs="FangSong_GB2312"/>
          <w:spacing w:val="-8"/>
          <w:sz w:val="32"/>
          <w:szCs w:val="32"/>
        </w:rPr>
        <w:t>极推动长征国家文化公园赣州段建设。支持符合条件</w:t>
      </w:r>
      <w:r>
        <w:rPr>
          <w:rFonts w:ascii="FangSong_GB2312" w:hAnsi="FangSong_GB2312" w:eastAsia="FangSong_GB2312" w:cs="FangSong_GB2312"/>
          <w:spacing w:val="-9"/>
          <w:sz w:val="32"/>
          <w:szCs w:val="32"/>
        </w:rPr>
        <w:t>的遗址遗迹</w:t>
      </w:r>
      <w:r>
        <w:rPr>
          <w:rFonts w:ascii="FangSong_GB2312" w:hAnsi="FangSong_GB2312" w:eastAsia="FangSong_GB2312" w:cs="FangSong_GB2312"/>
          <w:spacing w:val="-8"/>
          <w:sz w:val="32"/>
          <w:szCs w:val="32"/>
        </w:rPr>
        <w:t>申报全国爱国主义教育示范基地、重点文物保护单</w:t>
      </w:r>
      <w:r>
        <w:rPr>
          <w:rFonts w:ascii="FangSong_GB2312" w:hAnsi="FangSong_GB2312" w:eastAsia="FangSong_GB2312" w:cs="FangSong_GB2312"/>
          <w:spacing w:val="-9"/>
          <w:sz w:val="32"/>
          <w:szCs w:val="32"/>
        </w:rPr>
        <w:t>位、国家级英</w:t>
      </w:r>
      <w:r>
        <w:rPr>
          <w:rFonts w:ascii="FangSong_GB2312" w:hAnsi="FangSong_GB2312" w:eastAsia="FangSong_GB2312" w:cs="FangSong_GB2312"/>
          <w:spacing w:val="-13"/>
          <w:sz w:val="32"/>
          <w:szCs w:val="32"/>
        </w:rPr>
        <w:t>雄烈士纪念设施。</w:t>
      </w:r>
    </w:p>
    <w:p w14:paraId="0BE94775">
      <w:pPr>
        <w:spacing w:before="9" w:line="330" w:lineRule="auto"/>
        <w:ind w:left="3" w:firstLine="669"/>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弘扬革命历史文化内涵。推进革命历史文化相关题材文</w:t>
      </w:r>
      <w:r>
        <w:rPr>
          <w:rFonts w:ascii="FangSong_GB2312" w:hAnsi="FangSong_GB2312" w:eastAsia="FangSong_GB2312" w:cs="FangSong_GB2312"/>
          <w:spacing w:val="-11"/>
          <w:sz w:val="32"/>
          <w:szCs w:val="32"/>
        </w:rPr>
        <w:t>艺作</w:t>
      </w:r>
      <w:r>
        <w:rPr>
          <w:rFonts w:ascii="FangSong_GB2312" w:hAnsi="FangSong_GB2312" w:eastAsia="FangSong_GB2312" w:cs="FangSong_GB2312"/>
          <w:spacing w:val="-8"/>
          <w:sz w:val="32"/>
          <w:szCs w:val="32"/>
        </w:rPr>
        <w:t>品创作，支持瑞金等地建设红色文化影视创</w:t>
      </w:r>
      <w:r>
        <w:rPr>
          <w:rFonts w:ascii="FangSong_GB2312" w:hAnsi="FangSong_GB2312" w:eastAsia="FangSong_GB2312" w:cs="FangSong_GB2312"/>
          <w:spacing w:val="-9"/>
          <w:sz w:val="32"/>
          <w:szCs w:val="32"/>
        </w:rPr>
        <w:t>作生产基地，用优秀</w:t>
      </w:r>
      <w:r>
        <w:rPr>
          <w:rFonts w:ascii="FangSong_GB2312" w:hAnsi="FangSong_GB2312" w:eastAsia="FangSong_GB2312" w:cs="FangSong_GB2312"/>
          <w:spacing w:val="-8"/>
          <w:sz w:val="32"/>
          <w:szCs w:val="32"/>
        </w:rPr>
        <w:t>的文艺作品讲好红色故事、赓续红色血脉。提</w:t>
      </w:r>
      <w:r>
        <w:rPr>
          <w:rFonts w:ascii="FangSong_GB2312" w:hAnsi="FangSong_GB2312" w:eastAsia="FangSong_GB2312" w:cs="FangSong_GB2312"/>
          <w:spacing w:val="-9"/>
          <w:sz w:val="32"/>
          <w:szCs w:val="32"/>
        </w:rPr>
        <w:t>升红色资源数字化</w:t>
      </w:r>
      <w:r>
        <w:rPr>
          <w:rFonts w:ascii="FangSong_GB2312" w:hAnsi="FangSong_GB2312" w:eastAsia="FangSong_GB2312" w:cs="FangSong_GB2312"/>
          <w:spacing w:val="-8"/>
          <w:sz w:val="32"/>
          <w:szCs w:val="32"/>
        </w:rPr>
        <w:t>保护水平，打造新时代传承红色基因高地。</w:t>
      </w:r>
      <w:r>
        <w:rPr>
          <w:rFonts w:ascii="FangSong_GB2312" w:hAnsi="FangSong_GB2312" w:eastAsia="FangSong_GB2312" w:cs="FangSong_GB2312"/>
          <w:spacing w:val="-9"/>
          <w:sz w:val="32"/>
          <w:szCs w:val="32"/>
        </w:rPr>
        <w:t>支持有条件的地区建</w:t>
      </w:r>
      <w:r>
        <w:rPr>
          <w:rFonts w:ascii="FangSong_GB2312" w:hAnsi="FangSong_GB2312" w:eastAsia="FangSong_GB2312" w:cs="FangSong_GB2312"/>
          <w:spacing w:val="-8"/>
          <w:sz w:val="32"/>
          <w:szCs w:val="32"/>
        </w:rPr>
        <w:t>设红色旅游融合发展示范区，加强与长征沿</w:t>
      </w:r>
      <w:r>
        <w:rPr>
          <w:rFonts w:ascii="FangSong_GB2312" w:hAnsi="FangSong_GB2312" w:eastAsia="FangSong_GB2312" w:cs="FangSong_GB2312"/>
          <w:spacing w:val="-9"/>
          <w:sz w:val="32"/>
          <w:szCs w:val="32"/>
        </w:rPr>
        <w:t>线城市开展文化旅游交流合作，研究开通红色旅游专线（列），培育</w:t>
      </w:r>
      <w:r>
        <w:rPr>
          <w:rFonts w:ascii="FangSong_GB2312" w:hAnsi="FangSong_GB2312" w:eastAsia="FangSong_GB2312" w:cs="FangSong_GB2312"/>
          <w:spacing w:val="-10"/>
          <w:sz w:val="32"/>
          <w:szCs w:val="32"/>
        </w:rPr>
        <w:t>红色旅游经典线</w:t>
      </w:r>
    </w:p>
    <w:p w14:paraId="2C49A661">
      <w:pPr>
        <w:spacing w:line="330" w:lineRule="auto"/>
        <w:rPr>
          <w:rFonts w:ascii="FangSong_GB2312" w:hAnsi="FangSong_GB2312" w:eastAsia="FangSong_GB2312" w:cs="FangSong_GB2312"/>
          <w:sz w:val="32"/>
          <w:szCs w:val="32"/>
        </w:rPr>
        <w:sectPr>
          <w:footerReference r:id="rId36" w:type="default"/>
          <w:pgSz w:w="11905" w:h="16840"/>
          <w:pgMar w:top="1431" w:right="1577" w:bottom="1867" w:left="1592" w:header="0" w:footer="1506" w:gutter="0"/>
          <w:cols w:space="720" w:num="1"/>
        </w:sectPr>
      </w:pPr>
    </w:p>
    <w:p w14:paraId="6A7AF8B3">
      <w:pPr>
        <w:spacing w:line="342" w:lineRule="auto"/>
        <w:rPr>
          <w:rFonts w:ascii="Arial"/>
          <w:sz w:val="21"/>
        </w:rPr>
      </w:pPr>
    </w:p>
    <w:p w14:paraId="4261AA54">
      <w:pPr>
        <w:spacing w:line="343" w:lineRule="auto"/>
        <w:rPr>
          <w:rFonts w:ascii="Arial"/>
          <w:sz w:val="21"/>
        </w:rPr>
      </w:pPr>
    </w:p>
    <w:p w14:paraId="12834330">
      <w:pPr>
        <w:spacing w:before="104" w:line="214" w:lineRule="auto"/>
        <w:ind w:left="7"/>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路，打造全国著名的红色旅游目的地。</w:t>
      </w:r>
    </w:p>
    <w:p w14:paraId="236C5CE8">
      <w:pPr>
        <w:spacing w:before="204" w:line="216" w:lineRule="auto"/>
        <w:ind w:left="614"/>
        <w:rPr>
          <w:rFonts w:ascii="KaiTi_GB2312" w:hAnsi="KaiTi_GB2312" w:eastAsia="KaiTi_GB2312" w:cs="KaiTi_GB2312"/>
          <w:sz w:val="32"/>
          <w:szCs w:val="32"/>
        </w:rPr>
      </w:pPr>
      <w:r>
        <w:rPr>
          <w:rFonts w:ascii="KaiTi_GB2312" w:hAnsi="KaiTi_GB2312" w:eastAsia="KaiTi_GB2312" w:cs="KaiTi_GB2312"/>
          <w:spacing w:val="-7"/>
          <w:sz w:val="32"/>
          <w:szCs w:val="32"/>
        </w:rPr>
        <w:t>（三）繁荣发扬生态文化</w:t>
      </w:r>
    </w:p>
    <w:p w14:paraId="552D37EF">
      <w:pPr>
        <w:spacing w:before="197" w:line="331" w:lineRule="auto"/>
        <w:ind w:left="11" w:right="97" w:firstLine="621"/>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深化生态文化意识培育。成立生态文化研究中心，</w:t>
      </w:r>
      <w:r>
        <w:rPr>
          <w:rFonts w:ascii="FangSong_GB2312" w:hAnsi="FangSong_GB2312" w:eastAsia="FangSong_GB2312" w:cs="FangSong_GB2312"/>
          <w:spacing w:val="-25"/>
          <w:sz w:val="32"/>
          <w:szCs w:val="32"/>
        </w:rPr>
        <w:t xml:space="preserve"> </w:t>
      </w:r>
      <w:r>
        <w:rPr>
          <w:rFonts w:ascii="FangSong_GB2312" w:hAnsi="FangSong_GB2312" w:eastAsia="FangSong_GB2312" w:cs="FangSong_GB2312"/>
          <w:spacing w:val="-14"/>
          <w:sz w:val="32"/>
          <w:szCs w:val="32"/>
        </w:rPr>
        <w:t>将生态文</w:t>
      </w:r>
      <w:r>
        <w:rPr>
          <w:rFonts w:ascii="FangSong_GB2312" w:hAnsi="FangSong_GB2312" w:eastAsia="FangSong_GB2312" w:cs="FangSong_GB2312"/>
          <w:spacing w:val="-9"/>
          <w:sz w:val="32"/>
          <w:szCs w:val="32"/>
        </w:rPr>
        <w:t>明教育纳入国民教育体系和党政领导干部培训体系，提高生态文</w:t>
      </w:r>
      <w:r>
        <w:rPr>
          <w:rFonts w:ascii="FangSong_GB2312" w:hAnsi="FangSong_GB2312" w:eastAsia="FangSong_GB2312" w:cs="FangSong_GB2312"/>
          <w:spacing w:val="-12"/>
          <w:sz w:val="32"/>
          <w:szCs w:val="32"/>
        </w:rPr>
        <w:t>化自信。加强公民生态环境行为规范传播工作，</w:t>
      </w:r>
      <w:r>
        <w:rPr>
          <w:rFonts w:ascii="FangSong_GB2312" w:hAnsi="FangSong_GB2312" w:eastAsia="FangSong_GB2312" w:cs="FangSong_GB2312"/>
          <w:spacing w:val="-71"/>
          <w:sz w:val="32"/>
          <w:szCs w:val="32"/>
        </w:rPr>
        <w:t xml:space="preserve"> </w:t>
      </w:r>
      <w:r>
        <w:rPr>
          <w:rFonts w:ascii="FangSong_GB2312" w:hAnsi="FangSong_GB2312" w:eastAsia="FangSong_GB2312" w:cs="FangSong_GB2312"/>
          <w:spacing w:val="-12"/>
          <w:sz w:val="32"/>
          <w:szCs w:val="32"/>
        </w:rPr>
        <w:t>充分利用各类自</w:t>
      </w:r>
      <w:r>
        <w:rPr>
          <w:rFonts w:ascii="FangSong_GB2312" w:hAnsi="FangSong_GB2312" w:eastAsia="FangSong_GB2312" w:cs="FangSong_GB2312"/>
          <w:spacing w:val="-9"/>
          <w:sz w:val="32"/>
          <w:szCs w:val="32"/>
        </w:rPr>
        <w:t>然教育平台，积极建设省级生态文明教育场馆，举办形式多样的</w:t>
      </w:r>
      <w:r>
        <w:rPr>
          <w:rFonts w:ascii="FangSong_GB2312" w:hAnsi="FangSong_GB2312" w:eastAsia="FangSong_GB2312" w:cs="FangSong_GB2312"/>
          <w:spacing w:val="-13"/>
          <w:sz w:val="32"/>
          <w:szCs w:val="32"/>
        </w:rPr>
        <w:t>生态教育研修和培训活动。</w:t>
      </w:r>
    </w:p>
    <w:p w14:paraId="3425B6E3">
      <w:pPr>
        <w:spacing w:line="331" w:lineRule="auto"/>
        <w:ind w:left="7" w:right="95" w:firstLine="638"/>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强化生态文化创新实践。持续探索生态产业化和产业生态化</w:t>
      </w:r>
      <w:r>
        <w:rPr>
          <w:rFonts w:ascii="FangSong_GB2312" w:hAnsi="FangSong_GB2312" w:eastAsia="FangSong_GB2312" w:cs="FangSong_GB2312"/>
          <w:spacing w:val="-9"/>
          <w:sz w:val="32"/>
          <w:szCs w:val="32"/>
        </w:rPr>
        <w:t>路径，开展江西生态文化实践专项研究，结合国家生态文明建设示范区、“绿水青山就是金山银山”实践创新基地等生态文明实践经验，总结提炼典型实践模式，谋划一批生态文明模式创新试</w:t>
      </w:r>
      <w:r>
        <w:rPr>
          <w:rFonts w:ascii="FangSong_GB2312" w:hAnsi="FangSong_GB2312" w:eastAsia="FangSong_GB2312" w:cs="FangSong_GB2312"/>
          <w:spacing w:val="-10"/>
          <w:sz w:val="32"/>
          <w:szCs w:val="32"/>
        </w:rPr>
        <w:t>点，不断丰富新时代生态文化体系的内涵和外延。</w:t>
      </w:r>
    </w:p>
    <w:p w14:paraId="429AB0CC">
      <w:pPr>
        <w:spacing w:before="4" w:line="215" w:lineRule="auto"/>
        <w:ind w:left="614"/>
        <w:rPr>
          <w:rFonts w:ascii="KaiTi_GB2312" w:hAnsi="KaiTi_GB2312" w:eastAsia="KaiTi_GB2312" w:cs="KaiTi_GB2312"/>
          <w:sz w:val="32"/>
          <w:szCs w:val="32"/>
        </w:rPr>
      </w:pPr>
      <w:r>
        <w:rPr>
          <w:rFonts w:ascii="KaiTi_GB2312" w:hAnsi="KaiTi_GB2312" w:eastAsia="KaiTi_GB2312" w:cs="KaiTi_GB2312"/>
          <w:spacing w:val="-8"/>
          <w:sz w:val="32"/>
          <w:szCs w:val="32"/>
        </w:rPr>
        <w:t>（四）鼓励全民共建共享</w:t>
      </w:r>
    </w:p>
    <w:p w14:paraId="40016AD0">
      <w:pPr>
        <w:spacing w:before="200" w:line="331" w:lineRule="auto"/>
        <w:ind w:left="2" w:firstLine="622"/>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倡导绿色消费理念。推动党政机关单位健全节约能源资源管</w:t>
      </w:r>
      <w:r>
        <w:rPr>
          <w:rFonts w:ascii="FangSong_GB2312" w:hAnsi="FangSong_GB2312" w:eastAsia="FangSong_GB2312" w:cs="FangSong_GB2312"/>
          <w:spacing w:val="-14"/>
          <w:sz w:val="32"/>
          <w:szCs w:val="32"/>
        </w:rPr>
        <w:t>理制度，厉行勤俭节约、反对铺张浪费， 实行绿色办公，加大绿</w:t>
      </w:r>
      <w:r>
        <w:rPr>
          <w:rFonts w:ascii="FangSong_GB2312" w:hAnsi="FangSong_GB2312" w:eastAsia="FangSong_GB2312" w:cs="FangSong_GB2312"/>
          <w:spacing w:val="-9"/>
          <w:sz w:val="32"/>
          <w:szCs w:val="32"/>
        </w:rPr>
        <w:t>色产品采购比例，加强绿色产品和服务认证监管。持续开展绿色</w:t>
      </w:r>
      <w:r>
        <w:rPr>
          <w:rFonts w:ascii="FangSong_GB2312" w:hAnsi="FangSong_GB2312" w:eastAsia="FangSong_GB2312" w:cs="FangSong_GB2312"/>
          <w:spacing w:val="-16"/>
          <w:sz w:val="32"/>
          <w:szCs w:val="32"/>
        </w:rPr>
        <w:t>社区、绿色商场、绿色（清洁）家庭等绿色创建，引导形成政府、</w:t>
      </w:r>
      <w:r>
        <w:rPr>
          <w:rFonts w:ascii="FangSong_GB2312" w:hAnsi="FangSong_GB2312" w:eastAsia="FangSong_GB2312" w:cs="FangSong_GB2312"/>
          <w:spacing w:val="-10"/>
          <w:sz w:val="32"/>
          <w:szCs w:val="32"/>
        </w:rPr>
        <w:t>企业、社会团体、个人共同参与的社会氛围。</w:t>
      </w:r>
    </w:p>
    <w:p w14:paraId="3843EC56">
      <w:pPr>
        <w:spacing w:before="3" w:line="330" w:lineRule="auto"/>
        <w:ind w:right="97"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4"/>
          <w:sz w:val="32"/>
          <w:szCs w:val="32"/>
        </w:rPr>
        <w:t>推广绿色生活方式。积极推广应用省碳普惠平台（绿</w:t>
      </w:r>
      <w:r>
        <w:rPr>
          <w:rFonts w:ascii="FangSong_GB2312" w:hAnsi="FangSong_GB2312" w:eastAsia="FangSong_GB2312" w:cs="FangSong_GB2312"/>
          <w:spacing w:val="3"/>
          <w:sz w:val="32"/>
          <w:szCs w:val="32"/>
        </w:rPr>
        <w:t>宝碳</w:t>
      </w:r>
      <w:r>
        <w:rPr>
          <w:rFonts w:ascii="FangSong_GB2312" w:hAnsi="FangSong_GB2312" w:eastAsia="FangSong_GB2312" w:cs="FangSong_GB2312"/>
          <w:spacing w:val="-6"/>
          <w:sz w:val="32"/>
          <w:szCs w:val="32"/>
        </w:rPr>
        <w:t>汇</w:t>
      </w:r>
      <w:r>
        <w:rPr>
          <w:rFonts w:ascii="FangSong_GB2312" w:hAnsi="FangSong_GB2312" w:eastAsia="FangSong_GB2312" w:cs="FangSong_GB2312"/>
          <w:spacing w:val="-41"/>
          <w:sz w:val="32"/>
          <w:szCs w:val="32"/>
        </w:rPr>
        <w:t>），</w:t>
      </w:r>
      <w:r>
        <w:rPr>
          <w:rFonts w:ascii="FangSong_GB2312" w:hAnsi="FangSong_GB2312" w:eastAsia="FangSong_GB2312" w:cs="FangSong_GB2312"/>
          <w:spacing w:val="-6"/>
          <w:sz w:val="32"/>
          <w:szCs w:val="32"/>
        </w:rPr>
        <w:t>激发小微企业、社区家庭和个人的节能减碳行为。倡导简</w:t>
      </w:r>
      <w:r>
        <w:rPr>
          <w:rFonts w:ascii="FangSong_GB2312" w:hAnsi="FangSong_GB2312" w:eastAsia="FangSong_GB2312" w:cs="FangSong_GB2312"/>
          <w:sz w:val="32"/>
          <w:szCs w:val="32"/>
        </w:rPr>
        <w:t>约适度、绿色低碳、文明健康的生活方式和消费模</w:t>
      </w:r>
      <w:r>
        <w:rPr>
          <w:rFonts w:ascii="FangSong_GB2312" w:hAnsi="FangSong_GB2312" w:eastAsia="FangSong_GB2312" w:cs="FangSong_GB2312"/>
          <w:spacing w:val="-1"/>
          <w:sz w:val="32"/>
          <w:szCs w:val="32"/>
        </w:rPr>
        <w:t>式，</w:t>
      </w:r>
      <w:r>
        <w:rPr>
          <w:rFonts w:ascii="FangSong_GB2312" w:hAnsi="FangSong_GB2312" w:eastAsia="FangSong_GB2312" w:cs="FangSong_GB2312"/>
          <w:spacing w:val="-79"/>
          <w:sz w:val="32"/>
          <w:szCs w:val="32"/>
        </w:rPr>
        <w:t xml:space="preserve"> </w:t>
      </w:r>
      <w:r>
        <w:rPr>
          <w:rFonts w:ascii="FangSong_GB2312" w:hAnsi="FangSong_GB2312" w:eastAsia="FangSong_GB2312" w:cs="FangSong_GB2312"/>
          <w:spacing w:val="-1"/>
          <w:sz w:val="32"/>
          <w:szCs w:val="32"/>
        </w:rPr>
        <w:t>全面推</w:t>
      </w:r>
      <w:r>
        <w:rPr>
          <w:rFonts w:ascii="FangSong_GB2312" w:hAnsi="FangSong_GB2312" w:eastAsia="FangSong_GB2312" w:cs="FangSong_GB2312"/>
          <w:spacing w:val="3"/>
          <w:sz w:val="32"/>
          <w:szCs w:val="32"/>
        </w:rPr>
        <w:t>行生活垃圾分类和减量化、资源化利用，加快推进</w:t>
      </w:r>
      <w:r>
        <w:rPr>
          <w:rFonts w:ascii="FangSong_GB2312" w:hAnsi="FangSong_GB2312" w:eastAsia="FangSong_GB2312" w:cs="FangSong_GB2312"/>
          <w:spacing w:val="2"/>
          <w:sz w:val="32"/>
          <w:szCs w:val="32"/>
        </w:rPr>
        <w:t>快递包装绿</w:t>
      </w:r>
    </w:p>
    <w:p w14:paraId="5DE824C7">
      <w:pPr>
        <w:spacing w:line="330" w:lineRule="auto"/>
        <w:rPr>
          <w:rFonts w:ascii="FangSong_GB2312" w:hAnsi="FangSong_GB2312" w:eastAsia="FangSong_GB2312" w:cs="FangSong_GB2312"/>
          <w:sz w:val="32"/>
          <w:szCs w:val="32"/>
        </w:rPr>
        <w:sectPr>
          <w:footerReference r:id="rId37" w:type="default"/>
          <w:pgSz w:w="11905" w:h="16840"/>
          <w:pgMar w:top="1431" w:right="1481" w:bottom="1867" w:left="1600" w:header="0" w:footer="1506" w:gutter="0"/>
          <w:cols w:space="720" w:num="1"/>
        </w:sectPr>
      </w:pPr>
    </w:p>
    <w:p w14:paraId="538E393F">
      <w:pPr>
        <w:spacing w:line="342" w:lineRule="auto"/>
        <w:rPr>
          <w:rFonts w:ascii="Arial"/>
          <w:sz w:val="21"/>
        </w:rPr>
      </w:pPr>
    </w:p>
    <w:p w14:paraId="20553E28">
      <w:pPr>
        <w:spacing w:line="343" w:lineRule="auto"/>
        <w:rPr>
          <w:rFonts w:ascii="Arial"/>
          <w:sz w:val="21"/>
        </w:rPr>
      </w:pPr>
    </w:p>
    <w:p w14:paraId="7E0BD313">
      <w:pPr>
        <w:spacing w:before="104" w:line="330" w:lineRule="auto"/>
        <w:ind w:left="28" w:right="98" w:hanging="15"/>
        <w:jc w:val="both"/>
        <w:rPr>
          <w:rFonts w:ascii="FangSong_GB2312" w:hAnsi="FangSong_GB2312" w:eastAsia="FangSong_GB2312" w:cs="FangSong_GB2312"/>
          <w:sz w:val="32"/>
          <w:szCs w:val="32"/>
        </w:rPr>
      </w:pPr>
      <w:r>
        <w:rPr>
          <w:rFonts w:ascii="FangSong_GB2312" w:hAnsi="FangSong_GB2312" w:eastAsia="FangSong_GB2312" w:cs="FangSong_GB2312"/>
          <w:spacing w:val="2"/>
          <w:sz w:val="32"/>
          <w:szCs w:val="32"/>
        </w:rPr>
        <w:t>色转型，减少一次性塑料品使用，推进公众绿色低碳出行，巩固绿色生活方式理念。分类建设宁静场所，引导公众自觉维护</w:t>
      </w:r>
      <w:r>
        <w:rPr>
          <w:rFonts w:ascii="FangSong_GB2312" w:hAnsi="FangSong_GB2312" w:eastAsia="FangSong_GB2312" w:cs="FangSong_GB2312"/>
          <w:spacing w:val="-15"/>
          <w:sz w:val="32"/>
          <w:szCs w:val="32"/>
        </w:rPr>
        <w:t>宁静环境。</w:t>
      </w:r>
    </w:p>
    <w:p w14:paraId="2B9316D3">
      <w:pPr>
        <w:spacing w:before="5" w:line="221" w:lineRule="auto"/>
        <w:ind w:left="638"/>
        <w:outlineLvl w:val="0"/>
        <w:rPr>
          <w:rFonts w:ascii="黑体" w:hAnsi="黑体" w:eastAsia="黑体" w:cs="黑体"/>
          <w:sz w:val="32"/>
          <w:szCs w:val="32"/>
        </w:rPr>
      </w:pPr>
      <w:r>
        <w:rPr>
          <w:rFonts w:ascii="黑体" w:hAnsi="黑体" w:eastAsia="黑体" w:cs="黑体"/>
          <w:spacing w:val="-7"/>
          <w:sz w:val="32"/>
          <w:szCs w:val="32"/>
        </w:rPr>
        <w:t>十、构建智慧高效的治理体系</w:t>
      </w:r>
    </w:p>
    <w:p w14:paraId="707A91EC">
      <w:pPr>
        <w:spacing w:before="194" w:line="331" w:lineRule="auto"/>
        <w:ind w:right="91" w:firstLine="678"/>
        <w:jc w:val="both"/>
        <w:rPr>
          <w:rFonts w:ascii="FangSong_GB2312" w:hAnsi="FangSong_GB2312" w:eastAsia="FangSong_GB2312" w:cs="FangSong_GB2312"/>
          <w:sz w:val="32"/>
          <w:szCs w:val="32"/>
        </w:rPr>
      </w:pPr>
      <w:r>
        <w:rPr>
          <w:rFonts w:ascii="FangSong_GB2312" w:hAnsi="FangSong_GB2312" w:eastAsia="FangSong_GB2312" w:cs="FangSong_GB2312"/>
          <w:spacing w:val="-10"/>
          <w:sz w:val="32"/>
          <w:szCs w:val="32"/>
        </w:rPr>
        <w:t>以提升现代环境治理能力为导向，以改革创</w:t>
      </w:r>
      <w:r>
        <w:rPr>
          <w:rFonts w:ascii="FangSong_GB2312" w:hAnsi="FangSong_GB2312" w:eastAsia="FangSong_GB2312" w:cs="FangSong_GB2312"/>
          <w:spacing w:val="-11"/>
          <w:sz w:val="32"/>
          <w:szCs w:val="32"/>
        </w:rPr>
        <w:t>新为动力，落实</w:t>
      </w:r>
      <w:r>
        <w:rPr>
          <w:rFonts w:ascii="FangSong_GB2312" w:hAnsi="FangSong_GB2312" w:eastAsia="FangSong_GB2312" w:cs="FangSong_GB2312"/>
          <w:spacing w:val="-8"/>
          <w:sz w:val="32"/>
          <w:szCs w:val="32"/>
        </w:rPr>
        <w:t>多元共治主体责任，加快推动生态环保数字化转型，以</w:t>
      </w:r>
      <w:r>
        <w:rPr>
          <w:rFonts w:ascii="FangSong_GB2312" w:hAnsi="FangSong_GB2312" w:eastAsia="FangSong_GB2312" w:cs="FangSong_GB2312"/>
          <w:spacing w:val="-9"/>
          <w:sz w:val="32"/>
          <w:szCs w:val="32"/>
        </w:rPr>
        <w:t>制度法治</w:t>
      </w:r>
      <w:r>
        <w:rPr>
          <w:rFonts w:ascii="FangSong_GB2312" w:hAnsi="FangSong_GB2312" w:eastAsia="FangSong_GB2312" w:cs="FangSong_GB2312"/>
          <w:spacing w:val="-8"/>
          <w:sz w:val="32"/>
          <w:szCs w:val="32"/>
        </w:rPr>
        <w:t>的外部压力和全社会共同参与的内生动力相结合，健全</w:t>
      </w:r>
      <w:r>
        <w:rPr>
          <w:rFonts w:ascii="FangSong_GB2312" w:hAnsi="FangSong_GB2312" w:eastAsia="FangSong_GB2312" w:cs="FangSong_GB2312"/>
          <w:spacing w:val="-9"/>
          <w:sz w:val="32"/>
          <w:szCs w:val="32"/>
        </w:rPr>
        <w:t>美丽中国建设保障体系，打好法治、市场、科技、政策“</w:t>
      </w:r>
      <w:r>
        <w:rPr>
          <w:rFonts w:ascii="FangSong_GB2312" w:hAnsi="FangSong_GB2312" w:eastAsia="FangSong_GB2312" w:cs="FangSong_GB2312"/>
          <w:spacing w:val="-10"/>
          <w:sz w:val="32"/>
          <w:szCs w:val="32"/>
        </w:rPr>
        <w:t>组合拳”，全面</w:t>
      </w:r>
      <w:r>
        <w:rPr>
          <w:rFonts w:ascii="FangSong_GB2312" w:hAnsi="FangSong_GB2312" w:eastAsia="FangSong_GB2312" w:cs="FangSong_GB2312"/>
          <w:spacing w:val="-12"/>
          <w:sz w:val="32"/>
          <w:szCs w:val="32"/>
        </w:rPr>
        <w:t>形成科学完备、现代高效的环境治理体系，</w:t>
      </w:r>
      <w:r>
        <w:rPr>
          <w:rFonts w:ascii="FangSong_GB2312" w:hAnsi="FangSong_GB2312" w:eastAsia="FangSong_GB2312" w:cs="FangSong_GB2312"/>
          <w:spacing w:val="-52"/>
          <w:sz w:val="32"/>
          <w:szCs w:val="32"/>
        </w:rPr>
        <w:t xml:space="preserve"> </w:t>
      </w:r>
      <w:r>
        <w:rPr>
          <w:rFonts w:ascii="FangSong_GB2312" w:hAnsi="FangSong_GB2312" w:eastAsia="FangSong_GB2312" w:cs="FangSong_GB2312"/>
          <w:spacing w:val="-12"/>
          <w:sz w:val="32"/>
          <w:szCs w:val="32"/>
        </w:rPr>
        <w:t>促进制度优势向治理</w:t>
      </w:r>
      <w:r>
        <w:rPr>
          <w:rFonts w:ascii="FangSong_GB2312" w:hAnsi="FangSong_GB2312" w:eastAsia="FangSong_GB2312" w:cs="FangSong_GB2312"/>
          <w:spacing w:val="-16"/>
          <w:sz w:val="32"/>
          <w:szCs w:val="32"/>
        </w:rPr>
        <w:t>效能转化。</w:t>
      </w:r>
    </w:p>
    <w:p w14:paraId="6A6B07C4">
      <w:pPr>
        <w:spacing w:line="215" w:lineRule="auto"/>
        <w:ind w:left="622"/>
        <w:rPr>
          <w:rFonts w:ascii="KaiTi_GB2312" w:hAnsi="KaiTi_GB2312" w:eastAsia="KaiTi_GB2312" w:cs="KaiTi_GB2312"/>
          <w:sz w:val="32"/>
          <w:szCs w:val="32"/>
        </w:rPr>
      </w:pPr>
      <w:r>
        <w:rPr>
          <w:rFonts w:ascii="KaiTi_GB2312" w:hAnsi="KaiTi_GB2312" w:eastAsia="KaiTi_GB2312" w:cs="KaiTi_GB2312"/>
          <w:spacing w:val="-10"/>
          <w:sz w:val="32"/>
          <w:szCs w:val="32"/>
        </w:rPr>
        <w:t>（一）构建协同共治责任体系</w:t>
      </w:r>
    </w:p>
    <w:p w14:paraId="4528897A">
      <w:pPr>
        <w:spacing w:before="199" w:line="331" w:lineRule="auto"/>
        <w:ind w:left="2" w:firstLine="650"/>
        <w:jc w:val="both"/>
        <w:rPr>
          <w:rFonts w:ascii="FangSong_GB2312" w:hAnsi="FangSong_GB2312" w:eastAsia="FangSong_GB2312" w:cs="FangSong_GB2312"/>
          <w:sz w:val="32"/>
          <w:szCs w:val="32"/>
        </w:rPr>
      </w:pPr>
      <w:r>
        <w:rPr>
          <w:rFonts w:ascii="FangSong_GB2312" w:hAnsi="FangSong_GB2312" w:eastAsia="FangSong_GB2312" w:cs="FangSong_GB2312"/>
          <w:spacing w:val="-11"/>
          <w:sz w:val="32"/>
          <w:szCs w:val="32"/>
        </w:rPr>
        <w:t>落实党政领导责任。坚持“党政同责、一岗双责”，建立覆</w:t>
      </w:r>
      <w:r>
        <w:rPr>
          <w:rFonts w:ascii="FangSong_GB2312" w:hAnsi="FangSong_GB2312" w:eastAsia="FangSong_GB2312" w:cs="FangSong_GB2312"/>
          <w:spacing w:val="-14"/>
          <w:sz w:val="32"/>
          <w:szCs w:val="32"/>
        </w:rPr>
        <w:t>盖全面、权责一致、奖惩分明、环环相扣的责任体系， 建立健全</w:t>
      </w:r>
      <w:r>
        <w:rPr>
          <w:rFonts w:ascii="FangSong_GB2312" w:hAnsi="FangSong_GB2312" w:eastAsia="FangSong_GB2312" w:cs="FangSong_GB2312"/>
          <w:spacing w:val="-5"/>
          <w:sz w:val="32"/>
          <w:szCs w:val="32"/>
        </w:rPr>
        <w:t>市县乡三级生态环境保护委员会，落实生态环境保护责任清单，</w:t>
      </w:r>
      <w:r>
        <w:rPr>
          <w:rFonts w:ascii="FangSong_GB2312" w:hAnsi="FangSong_GB2312" w:eastAsia="FangSong_GB2312" w:cs="FangSong_GB2312"/>
          <w:spacing w:val="3"/>
          <w:sz w:val="32"/>
          <w:szCs w:val="32"/>
        </w:rPr>
        <w:t>强化生态环境网格化监管。加强领导干部自然资源资产离任审</w:t>
      </w:r>
      <w:r>
        <w:rPr>
          <w:rFonts w:ascii="FangSong_GB2312" w:hAnsi="FangSong_GB2312" w:eastAsia="FangSong_GB2312" w:cs="FangSong_GB2312"/>
          <w:spacing w:val="-8"/>
          <w:sz w:val="32"/>
          <w:szCs w:val="32"/>
        </w:rPr>
        <w:t>计，实行生态环境损害责任终身追究制，加大生态</w:t>
      </w:r>
      <w:r>
        <w:rPr>
          <w:rFonts w:ascii="FangSong_GB2312" w:hAnsi="FangSong_GB2312" w:eastAsia="FangSong_GB2312" w:cs="FangSong_GB2312"/>
          <w:spacing w:val="-9"/>
          <w:sz w:val="32"/>
          <w:szCs w:val="32"/>
        </w:rPr>
        <w:t>环境领域问责</w:t>
      </w:r>
      <w:r>
        <w:rPr>
          <w:rFonts w:ascii="FangSong_GB2312" w:hAnsi="FangSong_GB2312" w:eastAsia="FangSong_GB2312" w:cs="FangSong_GB2312"/>
          <w:spacing w:val="-16"/>
          <w:sz w:val="32"/>
          <w:szCs w:val="32"/>
        </w:rPr>
        <w:t>力度。建立健全全市生态环境状况报告、环境质量综合排名制度。</w:t>
      </w:r>
      <w:r>
        <w:rPr>
          <w:rFonts w:ascii="FangSong_GB2312" w:hAnsi="FangSong_GB2312" w:eastAsia="FangSong_GB2312" w:cs="FangSong_GB2312"/>
          <w:spacing w:val="-8"/>
          <w:sz w:val="32"/>
          <w:szCs w:val="32"/>
        </w:rPr>
        <w:t>严格落实生态环境保护督察制度，扎实做好中央和</w:t>
      </w:r>
      <w:r>
        <w:rPr>
          <w:rFonts w:ascii="FangSong_GB2312" w:hAnsi="FangSong_GB2312" w:eastAsia="FangSong_GB2312" w:cs="FangSong_GB2312"/>
          <w:spacing w:val="-9"/>
          <w:sz w:val="32"/>
          <w:szCs w:val="32"/>
        </w:rPr>
        <w:t>省生态环境保</w:t>
      </w:r>
      <w:r>
        <w:rPr>
          <w:rFonts w:ascii="FangSong_GB2312" w:hAnsi="FangSong_GB2312" w:eastAsia="FangSong_GB2312" w:cs="FangSong_GB2312"/>
          <w:spacing w:val="-10"/>
          <w:sz w:val="32"/>
          <w:szCs w:val="32"/>
        </w:rPr>
        <w:t>护督察整改工作，巩固提升督察整改成效。</w:t>
      </w:r>
    </w:p>
    <w:p w14:paraId="0DE1C121">
      <w:pPr>
        <w:spacing w:before="3" w:line="330" w:lineRule="auto"/>
        <w:ind w:left="11" w:right="91" w:firstLine="621"/>
        <w:jc w:val="both"/>
        <w:rPr>
          <w:rFonts w:ascii="FangSong_GB2312" w:hAnsi="FangSong_GB2312" w:eastAsia="FangSong_GB2312" w:cs="FangSong_GB2312"/>
          <w:sz w:val="32"/>
          <w:szCs w:val="32"/>
        </w:rPr>
      </w:pPr>
      <w:r>
        <w:rPr>
          <w:rFonts w:ascii="FangSong_GB2312" w:hAnsi="FangSong_GB2312" w:eastAsia="FangSong_GB2312" w:cs="FangSong_GB2312"/>
          <w:spacing w:val="-13"/>
          <w:sz w:val="32"/>
          <w:szCs w:val="32"/>
        </w:rPr>
        <w:t>压实企业主体责任。健全环境治理企业责任体系，</w:t>
      </w:r>
      <w:r>
        <w:rPr>
          <w:rFonts w:ascii="FangSong_GB2312" w:hAnsi="FangSong_GB2312" w:eastAsia="FangSong_GB2312" w:cs="FangSong_GB2312"/>
          <w:spacing w:val="-43"/>
          <w:sz w:val="32"/>
          <w:szCs w:val="32"/>
        </w:rPr>
        <w:t xml:space="preserve"> </w:t>
      </w:r>
      <w:r>
        <w:rPr>
          <w:rFonts w:ascii="FangSong_GB2312" w:hAnsi="FangSong_GB2312" w:eastAsia="FangSong_GB2312" w:cs="FangSong_GB2312"/>
          <w:spacing w:val="-13"/>
          <w:sz w:val="32"/>
          <w:szCs w:val="32"/>
        </w:rPr>
        <w:t>分类引导</w:t>
      </w:r>
      <w:r>
        <w:rPr>
          <w:rFonts w:ascii="FangSong_GB2312" w:hAnsi="FangSong_GB2312" w:eastAsia="FangSong_GB2312" w:cs="FangSong_GB2312"/>
          <w:spacing w:val="-9"/>
          <w:sz w:val="32"/>
          <w:szCs w:val="32"/>
        </w:rPr>
        <w:t>企业升级污染治理技术，实施污染治理设施提标改造。全面落实以排污许可为核心的固定污染源环境管理制度，推动企业环境信</w:t>
      </w:r>
    </w:p>
    <w:p w14:paraId="08616930">
      <w:pPr>
        <w:spacing w:line="330" w:lineRule="auto"/>
        <w:rPr>
          <w:rFonts w:ascii="FangSong_GB2312" w:hAnsi="FangSong_GB2312" w:eastAsia="FangSong_GB2312" w:cs="FangSong_GB2312"/>
          <w:sz w:val="32"/>
          <w:szCs w:val="32"/>
        </w:rPr>
        <w:sectPr>
          <w:footerReference r:id="rId38" w:type="default"/>
          <w:pgSz w:w="11905" w:h="16840"/>
          <w:pgMar w:top="1431" w:right="1487" w:bottom="1867" w:left="1591" w:header="0" w:footer="1506" w:gutter="0"/>
          <w:cols w:space="720" w:num="1"/>
        </w:sectPr>
      </w:pPr>
    </w:p>
    <w:p w14:paraId="2B3DC6D3">
      <w:pPr>
        <w:spacing w:line="341" w:lineRule="auto"/>
        <w:rPr>
          <w:rFonts w:ascii="Arial"/>
          <w:sz w:val="21"/>
        </w:rPr>
      </w:pPr>
    </w:p>
    <w:p w14:paraId="3860EBF2">
      <w:pPr>
        <w:spacing w:line="342" w:lineRule="auto"/>
        <w:rPr>
          <w:rFonts w:ascii="Arial"/>
          <w:sz w:val="21"/>
        </w:rPr>
      </w:pPr>
    </w:p>
    <w:p w14:paraId="3A6A5C52">
      <w:pPr>
        <w:spacing w:before="104" w:line="331" w:lineRule="auto"/>
        <w:ind w:right="91" w:firstLine="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用评价和环境信息公开，落实生产者责任延伸制度。鼓励企业主</w:t>
      </w:r>
      <w:r>
        <w:rPr>
          <w:rFonts w:ascii="FangSong_GB2312" w:hAnsi="FangSong_GB2312" w:eastAsia="FangSong_GB2312" w:cs="FangSong_GB2312"/>
          <w:spacing w:val="-8"/>
          <w:sz w:val="32"/>
          <w:szCs w:val="32"/>
        </w:rPr>
        <w:t>动承担生态环境保护社会责任，通过设立企业开放日</w:t>
      </w:r>
      <w:r>
        <w:rPr>
          <w:rFonts w:ascii="FangSong_GB2312" w:hAnsi="FangSong_GB2312" w:eastAsia="FangSong_GB2312" w:cs="FangSong_GB2312"/>
          <w:spacing w:val="-9"/>
          <w:sz w:val="32"/>
          <w:szCs w:val="32"/>
        </w:rPr>
        <w:t>、环境教育</w:t>
      </w:r>
      <w:r>
        <w:rPr>
          <w:rFonts w:ascii="FangSong_GB2312" w:hAnsi="FangSong_GB2312" w:eastAsia="FangSong_GB2312" w:cs="FangSong_GB2312"/>
          <w:spacing w:val="-12"/>
          <w:sz w:val="32"/>
          <w:szCs w:val="32"/>
        </w:rPr>
        <w:t>体验场所等向公众开放。</w:t>
      </w:r>
    </w:p>
    <w:p w14:paraId="07E01D43">
      <w:pPr>
        <w:spacing w:before="5" w:line="331" w:lineRule="auto"/>
        <w:ind w:left="2" w:firstLine="630"/>
        <w:jc w:val="both"/>
        <w:rPr>
          <w:rFonts w:ascii="FangSong_GB2312" w:hAnsi="FangSong_GB2312" w:eastAsia="FangSong_GB2312" w:cs="FangSong_GB2312"/>
          <w:sz w:val="32"/>
          <w:szCs w:val="32"/>
        </w:rPr>
      </w:pPr>
      <w:r>
        <w:rPr>
          <w:rFonts w:ascii="FangSong_GB2312" w:hAnsi="FangSong_GB2312" w:eastAsia="FangSong_GB2312" w:cs="FangSong_GB2312"/>
          <w:spacing w:val="-13"/>
          <w:sz w:val="32"/>
          <w:szCs w:val="32"/>
        </w:rPr>
        <w:t>倡导公众共同参与。健全环境治理全民行动体系，</w:t>
      </w:r>
      <w:r>
        <w:rPr>
          <w:rFonts w:ascii="FangSong_GB2312" w:hAnsi="FangSong_GB2312" w:eastAsia="FangSong_GB2312" w:cs="FangSong_GB2312"/>
          <w:spacing w:val="-44"/>
          <w:sz w:val="32"/>
          <w:szCs w:val="32"/>
        </w:rPr>
        <w:t xml:space="preserve"> </w:t>
      </w:r>
      <w:r>
        <w:rPr>
          <w:rFonts w:ascii="FangSong_GB2312" w:hAnsi="FangSong_GB2312" w:eastAsia="FangSong_GB2312" w:cs="FangSong_GB2312"/>
          <w:spacing w:val="-13"/>
          <w:sz w:val="32"/>
          <w:szCs w:val="32"/>
        </w:rPr>
        <w:t>加强生态</w:t>
      </w:r>
      <w:r>
        <w:rPr>
          <w:rFonts w:ascii="FangSong_GB2312" w:hAnsi="FangSong_GB2312" w:eastAsia="FangSong_GB2312" w:cs="FangSong_GB2312"/>
          <w:spacing w:val="-16"/>
          <w:sz w:val="32"/>
          <w:szCs w:val="32"/>
        </w:rPr>
        <w:t>文明教育，增强生态环保意识，引导公民积极履行生态环保义务。</w:t>
      </w:r>
      <w:r>
        <w:rPr>
          <w:rFonts w:ascii="FangSong_GB2312" w:hAnsi="FangSong_GB2312" w:eastAsia="FangSong_GB2312" w:cs="FangSong_GB2312"/>
          <w:spacing w:val="-14"/>
          <w:sz w:val="32"/>
          <w:szCs w:val="32"/>
        </w:rPr>
        <w:t>加大对环保社会组织的引导、支持和培育力度， 广泛发展生态环</w:t>
      </w:r>
      <w:r>
        <w:rPr>
          <w:rFonts w:ascii="FangSong_GB2312" w:hAnsi="FangSong_GB2312" w:eastAsia="FangSong_GB2312" w:cs="FangSong_GB2312"/>
          <w:spacing w:val="-8"/>
          <w:sz w:val="32"/>
          <w:szCs w:val="32"/>
        </w:rPr>
        <w:t>保志愿服务项目和志愿者队伍。完善生态环境公</w:t>
      </w:r>
      <w:r>
        <w:rPr>
          <w:rFonts w:ascii="FangSong_GB2312" w:hAnsi="FangSong_GB2312" w:eastAsia="FangSong_GB2312" w:cs="FangSong_GB2312"/>
          <w:spacing w:val="-9"/>
          <w:sz w:val="32"/>
          <w:szCs w:val="32"/>
        </w:rPr>
        <w:t>众监督和举报反</w:t>
      </w:r>
      <w:r>
        <w:rPr>
          <w:rFonts w:ascii="FangSong_GB2312" w:hAnsi="FangSong_GB2312" w:eastAsia="FangSong_GB2312" w:cs="FangSong_GB2312"/>
          <w:spacing w:val="-8"/>
          <w:sz w:val="32"/>
          <w:szCs w:val="32"/>
        </w:rPr>
        <w:t>馈机制，畅通环保监督渠道，实施生态环境违</w:t>
      </w:r>
      <w:r>
        <w:rPr>
          <w:rFonts w:ascii="FangSong_GB2312" w:hAnsi="FangSong_GB2312" w:eastAsia="FangSong_GB2312" w:cs="FangSong_GB2312"/>
          <w:spacing w:val="-9"/>
          <w:sz w:val="32"/>
          <w:szCs w:val="32"/>
        </w:rPr>
        <w:t>法举报奖励。健全</w:t>
      </w:r>
      <w:r>
        <w:rPr>
          <w:rFonts w:ascii="FangSong_GB2312" w:hAnsi="FangSong_GB2312" w:eastAsia="FangSong_GB2312" w:cs="FangSong_GB2312"/>
          <w:spacing w:val="-5"/>
          <w:sz w:val="32"/>
          <w:szCs w:val="32"/>
        </w:rPr>
        <w:t>环境决策公众参与机制，保障公众的知情权、监督权、参与权，</w:t>
      </w:r>
      <w:r>
        <w:rPr>
          <w:rFonts w:ascii="FangSong_GB2312" w:hAnsi="FangSong_GB2312" w:eastAsia="FangSong_GB2312" w:cs="FangSong_GB2312"/>
          <w:spacing w:val="-12"/>
          <w:sz w:val="32"/>
          <w:szCs w:val="32"/>
        </w:rPr>
        <w:t>营造公众参与的良好氛围。</w:t>
      </w:r>
    </w:p>
    <w:p w14:paraId="38BF0E8D">
      <w:pPr>
        <w:spacing w:before="1" w:line="213" w:lineRule="auto"/>
        <w:ind w:left="621"/>
        <w:rPr>
          <w:rFonts w:ascii="KaiTi_GB2312" w:hAnsi="KaiTi_GB2312" w:eastAsia="KaiTi_GB2312" w:cs="KaiTi_GB2312"/>
          <w:sz w:val="32"/>
          <w:szCs w:val="32"/>
        </w:rPr>
      </w:pPr>
      <w:r>
        <w:rPr>
          <w:rFonts w:ascii="KaiTi_GB2312" w:hAnsi="KaiTi_GB2312" w:eastAsia="KaiTi_GB2312" w:cs="KaiTi_GB2312"/>
          <w:spacing w:val="-9"/>
          <w:sz w:val="32"/>
          <w:szCs w:val="32"/>
        </w:rPr>
        <w:t>（二）完善效能优异政策机制</w:t>
      </w:r>
    </w:p>
    <w:p w14:paraId="7A366790">
      <w:pPr>
        <w:pStyle w:val="2"/>
        <w:spacing w:before="202" w:line="331" w:lineRule="auto"/>
        <w:ind w:left="3" w:right="89" w:firstLine="630"/>
        <w:jc w:val="both"/>
        <w:rPr>
          <w:rFonts w:ascii="FangSong_GB2312" w:hAnsi="FangSong_GB2312" w:eastAsia="FangSong_GB2312" w:cs="FangSong_GB2312"/>
        </w:rPr>
      </w:pPr>
      <w:r>
        <w:rPr>
          <w:rFonts w:ascii="FangSong_GB2312" w:hAnsi="FangSong_GB2312" w:eastAsia="FangSong_GB2312" w:cs="FangSong_GB2312"/>
          <w:spacing w:val="-9"/>
        </w:rPr>
        <w:t>加强环境治理市场体系建设。深化“放管服”改革，加快形</w:t>
      </w:r>
      <w:r>
        <w:rPr>
          <w:rFonts w:ascii="FangSong_GB2312" w:hAnsi="FangSong_GB2312" w:eastAsia="FangSong_GB2312" w:cs="FangSong_GB2312"/>
          <w:spacing w:val="-3"/>
        </w:rPr>
        <w:t>成规范开放的环境服务业市场。支持建立“污染者付费</w:t>
      </w:r>
      <w:r>
        <w:rPr>
          <w:spacing w:val="-3"/>
        </w:rPr>
        <w:t>+</w:t>
      </w:r>
      <w:r>
        <w:rPr>
          <w:rFonts w:ascii="FangSong_GB2312" w:hAnsi="FangSong_GB2312" w:eastAsia="FangSong_GB2312" w:cs="FangSong_GB2312"/>
          <w:spacing w:val="-3"/>
        </w:rPr>
        <w:t>第三方治理”等机制，探索“环境修复</w:t>
      </w:r>
      <w:r>
        <w:rPr>
          <w:spacing w:val="-3"/>
        </w:rPr>
        <w:t>+</w:t>
      </w:r>
      <w:r>
        <w:rPr>
          <w:rFonts w:ascii="FangSong_GB2312" w:hAnsi="FangSong_GB2312" w:eastAsia="FangSong_GB2312" w:cs="FangSong_GB2312"/>
          <w:spacing w:val="-3"/>
        </w:rPr>
        <w:t>开发建设”模式，推广合同能</w:t>
      </w:r>
      <w:r>
        <w:rPr>
          <w:rFonts w:ascii="FangSong_GB2312" w:hAnsi="FangSong_GB2312" w:eastAsia="FangSong_GB2312" w:cs="FangSong_GB2312"/>
          <w:spacing w:val="-8"/>
        </w:rPr>
        <w:t>源管理、合同节水管理、环境医院、环保管</w:t>
      </w:r>
      <w:r>
        <w:rPr>
          <w:rFonts w:ascii="FangSong_GB2312" w:hAnsi="FangSong_GB2312" w:eastAsia="FangSong_GB2312" w:cs="FangSong_GB2312"/>
          <w:spacing w:val="-9"/>
        </w:rPr>
        <w:t>家和环境顾问服务等</w:t>
      </w:r>
      <w:r>
        <w:rPr>
          <w:rFonts w:ascii="FangSong_GB2312" w:hAnsi="FangSong_GB2312" w:eastAsia="FangSong_GB2312" w:cs="FangSong_GB2312"/>
          <w:spacing w:val="-20"/>
        </w:rPr>
        <w:t>模式。</w:t>
      </w:r>
    </w:p>
    <w:p w14:paraId="092BB584">
      <w:pPr>
        <w:pStyle w:val="2"/>
        <w:spacing w:before="2" w:line="331" w:lineRule="auto"/>
        <w:ind w:left="11" w:right="90" w:firstLine="622"/>
        <w:rPr>
          <w:rFonts w:ascii="FangSong_GB2312" w:hAnsi="FangSong_GB2312" w:eastAsia="FangSong_GB2312" w:cs="FangSong_GB2312"/>
        </w:rPr>
      </w:pPr>
      <w:r>
        <w:rPr>
          <w:rFonts w:ascii="FangSong_GB2312" w:hAnsi="FangSong_GB2312" w:eastAsia="FangSong_GB2312" w:cs="FangSong_GB2312"/>
          <w:spacing w:val="-9"/>
        </w:rPr>
        <w:t>推进环境权益市场交易。推进碳排放权、用能权、用水权、排污权市场化交易，加快构建环保信用监管体系，规范环境治理市场。推动东江和市内全流域横向生态保护补偿机制常态化、长</w:t>
      </w:r>
      <w:r>
        <w:rPr>
          <w:rFonts w:ascii="FangSong_GB2312" w:hAnsi="FangSong_GB2312" w:eastAsia="FangSong_GB2312" w:cs="FangSong_GB2312"/>
          <w:spacing w:val="-4"/>
        </w:rPr>
        <w:t>效化，探索将生态系统生产总值（</w:t>
      </w:r>
      <w:r>
        <w:rPr>
          <w:spacing w:val="-4"/>
        </w:rPr>
        <w:t>GEP</w:t>
      </w:r>
      <w:r>
        <w:rPr>
          <w:rFonts w:ascii="FangSong_GB2312" w:hAnsi="FangSong_GB2312" w:eastAsia="FangSong_GB2312" w:cs="FangSong_GB2312"/>
          <w:spacing w:val="-4"/>
        </w:rPr>
        <w:t>）核算结果等因素纳入生</w:t>
      </w:r>
      <w:r>
        <w:rPr>
          <w:rFonts w:ascii="FangSong_GB2312" w:hAnsi="FangSong_GB2312" w:eastAsia="FangSong_GB2312" w:cs="FangSong_GB2312"/>
          <w:spacing w:val="-13"/>
        </w:rPr>
        <w:t>态保护补偿考核内容。</w:t>
      </w:r>
    </w:p>
    <w:p w14:paraId="32C67354">
      <w:pPr>
        <w:spacing w:before="1" w:line="214" w:lineRule="auto"/>
        <w:ind w:left="621"/>
        <w:rPr>
          <w:rFonts w:ascii="KaiTi_GB2312" w:hAnsi="KaiTi_GB2312" w:eastAsia="KaiTi_GB2312" w:cs="KaiTi_GB2312"/>
          <w:sz w:val="32"/>
          <w:szCs w:val="32"/>
        </w:rPr>
      </w:pPr>
      <w:r>
        <w:rPr>
          <w:rFonts w:ascii="KaiTi_GB2312" w:hAnsi="KaiTi_GB2312" w:eastAsia="KaiTi_GB2312" w:cs="KaiTi_GB2312"/>
          <w:spacing w:val="-9"/>
          <w:sz w:val="32"/>
          <w:szCs w:val="32"/>
        </w:rPr>
        <w:t>（三）创新精准高效智慧监管</w:t>
      </w:r>
    </w:p>
    <w:p w14:paraId="1DE76082">
      <w:pPr>
        <w:spacing w:line="214" w:lineRule="auto"/>
        <w:rPr>
          <w:rFonts w:ascii="KaiTi_GB2312" w:hAnsi="KaiTi_GB2312" w:eastAsia="KaiTi_GB2312" w:cs="KaiTi_GB2312"/>
          <w:sz w:val="32"/>
          <w:szCs w:val="32"/>
        </w:rPr>
        <w:sectPr>
          <w:footerReference r:id="rId39" w:type="default"/>
          <w:pgSz w:w="11905" w:h="16840"/>
          <w:pgMar w:top="1431" w:right="1487" w:bottom="1867" w:left="1592" w:header="0" w:footer="1506" w:gutter="0"/>
          <w:cols w:space="720" w:num="1"/>
        </w:sectPr>
      </w:pPr>
    </w:p>
    <w:p w14:paraId="73360F96">
      <w:pPr>
        <w:spacing w:line="343" w:lineRule="auto"/>
        <w:rPr>
          <w:rFonts w:ascii="Arial"/>
          <w:sz w:val="21"/>
        </w:rPr>
      </w:pPr>
    </w:p>
    <w:p w14:paraId="48FFF530">
      <w:pPr>
        <w:spacing w:line="343" w:lineRule="auto"/>
        <w:rPr>
          <w:rFonts w:ascii="Arial"/>
          <w:sz w:val="21"/>
        </w:rPr>
      </w:pPr>
    </w:p>
    <w:p w14:paraId="19161DC4">
      <w:pPr>
        <w:spacing w:before="104" w:line="331" w:lineRule="auto"/>
        <w:ind w:right="192" w:firstLine="649"/>
        <w:jc w:val="both"/>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强化环境治理科技支撑。聚焦重点产业高端领域和关键环</w:t>
      </w:r>
      <w:r>
        <w:rPr>
          <w:rFonts w:ascii="FangSong_GB2312" w:hAnsi="FangSong_GB2312" w:eastAsia="FangSong_GB2312" w:cs="FangSong_GB2312"/>
          <w:spacing w:val="-9"/>
          <w:sz w:val="32"/>
          <w:szCs w:val="32"/>
        </w:rPr>
        <w:t>节，衔接世界技术发展前沿和国家重大科技项目，支持美丽赣州建设重点领域基础性、关键性、前瞻性技术攻关和产业化。完善</w:t>
      </w:r>
      <w:r>
        <w:rPr>
          <w:rFonts w:ascii="FangSong_GB2312" w:hAnsi="FangSong_GB2312" w:eastAsia="FangSong_GB2312" w:cs="FangSong_GB2312"/>
          <w:spacing w:val="-14"/>
          <w:sz w:val="32"/>
          <w:szCs w:val="32"/>
        </w:rPr>
        <w:t>政、产、学、研、用相结合的综合创新机制， 鼓励企业与相关高</w:t>
      </w:r>
      <w:r>
        <w:rPr>
          <w:rFonts w:ascii="FangSong_GB2312" w:hAnsi="FangSong_GB2312" w:eastAsia="FangSong_GB2312" w:cs="FangSong_GB2312"/>
          <w:spacing w:val="-9"/>
          <w:sz w:val="32"/>
          <w:szCs w:val="32"/>
        </w:rPr>
        <w:t>校、科研单位建立生态环境保护科技创新联盟，加强生态环境领</w:t>
      </w:r>
      <w:r>
        <w:rPr>
          <w:rFonts w:ascii="FangSong_GB2312" w:hAnsi="FangSong_GB2312" w:eastAsia="FangSong_GB2312" w:cs="FangSong_GB2312"/>
          <w:spacing w:val="-12"/>
          <w:sz w:val="32"/>
          <w:szCs w:val="32"/>
        </w:rPr>
        <w:t>域科技人才、市场人才和配套产业人才引育，</w:t>
      </w:r>
      <w:r>
        <w:rPr>
          <w:rFonts w:ascii="FangSong_GB2312" w:hAnsi="FangSong_GB2312" w:eastAsia="FangSong_GB2312" w:cs="FangSong_GB2312"/>
          <w:spacing w:val="-50"/>
          <w:sz w:val="32"/>
          <w:szCs w:val="32"/>
        </w:rPr>
        <w:t xml:space="preserve"> </w:t>
      </w:r>
      <w:r>
        <w:rPr>
          <w:rFonts w:ascii="FangSong_GB2312" w:hAnsi="FangSong_GB2312" w:eastAsia="FangSong_GB2312" w:cs="FangSong_GB2312"/>
          <w:spacing w:val="-13"/>
          <w:sz w:val="32"/>
          <w:szCs w:val="32"/>
        </w:rPr>
        <w:t>完善配套制度和激</w:t>
      </w:r>
      <w:r>
        <w:rPr>
          <w:rFonts w:ascii="FangSong_GB2312" w:hAnsi="FangSong_GB2312" w:eastAsia="FangSong_GB2312" w:cs="FangSong_GB2312"/>
          <w:spacing w:val="-18"/>
          <w:sz w:val="32"/>
          <w:szCs w:val="32"/>
        </w:rPr>
        <w:t>励政策。</w:t>
      </w:r>
    </w:p>
    <w:p w14:paraId="5CDBCD82">
      <w:pPr>
        <w:pStyle w:val="2"/>
        <w:spacing w:before="3" w:line="331" w:lineRule="auto"/>
        <w:ind w:left="2" w:right="191" w:firstLine="623"/>
        <w:rPr>
          <w:rFonts w:ascii="FangSong_GB2312" w:hAnsi="FangSong_GB2312" w:eastAsia="FangSong_GB2312" w:cs="FangSong_GB2312"/>
        </w:rPr>
      </w:pPr>
      <w:r>
        <w:rPr>
          <w:rFonts w:ascii="FangSong_GB2312" w:hAnsi="FangSong_GB2312" w:eastAsia="FangSong_GB2312" w:cs="FangSong_GB2312"/>
          <w:spacing w:val="-9"/>
        </w:rPr>
        <w:t>提升生态环保数字化智能化水平。深化人工智能、区块链、</w:t>
      </w:r>
      <w:r>
        <w:rPr>
          <w:rFonts w:ascii="FangSong_GB2312" w:hAnsi="FangSong_GB2312" w:eastAsia="FangSong_GB2312" w:cs="FangSong_GB2312"/>
          <w:spacing w:val="-3"/>
        </w:rPr>
        <w:t>云计算等数字技术应用，依托赣州市“生态云</w:t>
      </w:r>
      <w:r>
        <w:rPr>
          <w:spacing w:val="-3"/>
        </w:rPr>
        <w:t>+</w:t>
      </w:r>
      <w:r>
        <w:rPr>
          <w:rFonts w:ascii="FangSong_GB2312" w:hAnsi="FangSong_GB2312" w:eastAsia="FangSong_GB2312" w:cs="FangSong_GB2312"/>
          <w:spacing w:val="-3"/>
        </w:rPr>
        <w:t>双碳”大数据平</w:t>
      </w:r>
      <w:r>
        <w:rPr>
          <w:rFonts w:ascii="FangSong_GB2312" w:hAnsi="FangSong_GB2312" w:eastAsia="FangSong_GB2312" w:cs="FangSong_GB2312"/>
          <w:spacing w:val="-9"/>
        </w:rPr>
        <w:t>台，加强部门、企业、社会各类生态环境数据集成、整合、联网共享。广泛融合大数据、人工智能等新一代信息技术，推进全市智慧生态基础设施建设。加快建设覆盖环境质量、污染源、生态状况等多要素、多时相“天空地”一体化、精细化的生态环境监测网络，完善生态环境监测数据评价体系，加强监测数据质量管</w:t>
      </w:r>
      <w:r>
        <w:rPr>
          <w:rFonts w:ascii="FangSong_GB2312" w:hAnsi="FangSong_GB2312" w:eastAsia="FangSong_GB2312" w:cs="FangSong_GB2312"/>
          <w:spacing w:val="-14"/>
        </w:rPr>
        <w:t>理和智能化应用。</w:t>
      </w:r>
    </w:p>
    <w:p w14:paraId="413B783C">
      <w:pPr>
        <w:spacing w:before="8" w:line="330" w:lineRule="auto"/>
        <w:ind w:left="2" w:firstLine="621"/>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健全生态环境综合执法体系。深化生态环境保护综合行政执</w:t>
      </w:r>
      <w:r>
        <w:rPr>
          <w:rFonts w:ascii="FangSong_GB2312" w:hAnsi="FangSong_GB2312" w:eastAsia="FangSong_GB2312" w:cs="FangSong_GB2312"/>
          <w:spacing w:val="-2"/>
          <w:sz w:val="32"/>
          <w:szCs w:val="32"/>
        </w:rPr>
        <w:t>法改革，全面加强执法队伍建设，积极推行县级“局队站合一”</w:t>
      </w:r>
      <w:r>
        <w:rPr>
          <w:rFonts w:ascii="FangSong_GB2312" w:hAnsi="FangSong_GB2312" w:eastAsia="FangSong_GB2312" w:cs="FangSong_GB2312"/>
          <w:spacing w:val="-9"/>
          <w:sz w:val="32"/>
          <w:szCs w:val="32"/>
        </w:rPr>
        <w:t>执法模式。强化人才队伍专业化培养和装备现代化配置，加快补</w:t>
      </w:r>
      <w:r>
        <w:rPr>
          <w:rFonts w:ascii="FangSong_GB2312" w:hAnsi="FangSong_GB2312" w:eastAsia="FangSong_GB2312" w:cs="FangSong_GB2312"/>
          <w:spacing w:val="-2"/>
          <w:sz w:val="32"/>
          <w:szCs w:val="32"/>
        </w:rPr>
        <w:t>齐应对气候变化、土壤、农业农村、新污染物治理、生态保护、</w:t>
      </w:r>
      <w:r>
        <w:rPr>
          <w:rFonts w:ascii="FangSong_GB2312" w:hAnsi="FangSong_GB2312" w:eastAsia="FangSong_GB2312" w:cs="FangSong_GB2312"/>
          <w:spacing w:val="-13"/>
          <w:sz w:val="32"/>
          <w:szCs w:val="32"/>
        </w:rPr>
        <w:t>应急处置等领域执法装备短板。加强生态环境保护分类监管，</w:t>
      </w:r>
      <w:r>
        <w:rPr>
          <w:rFonts w:ascii="FangSong_GB2312" w:hAnsi="FangSong_GB2312" w:eastAsia="FangSong_GB2312" w:cs="FangSong_GB2312"/>
          <w:spacing w:val="-33"/>
          <w:sz w:val="32"/>
          <w:szCs w:val="32"/>
        </w:rPr>
        <w:t xml:space="preserve"> </w:t>
      </w:r>
      <w:r>
        <w:rPr>
          <w:rFonts w:ascii="FangSong_GB2312" w:hAnsi="FangSong_GB2312" w:eastAsia="FangSong_GB2312" w:cs="FangSong_GB2312"/>
          <w:spacing w:val="-13"/>
          <w:sz w:val="32"/>
          <w:szCs w:val="32"/>
        </w:rPr>
        <w:t>强</w:t>
      </w:r>
      <w:r>
        <w:rPr>
          <w:rFonts w:ascii="FangSong_GB2312" w:hAnsi="FangSong_GB2312" w:eastAsia="FangSong_GB2312" w:cs="FangSong_GB2312"/>
          <w:spacing w:val="-9"/>
          <w:sz w:val="32"/>
          <w:szCs w:val="32"/>
        </w:rPr>
        <w:t>化执法正面清单管理，优化和创新执法方式，提高执法效能。推</w:t>
      </w:r>
      <w:r>
        <w:rPr>
          <w:rFonts w:ascii="FangSong_GB2312" w:hAnsi="FangSong_GB2312" w:eastAsia="FangSong_GB2312" w:cs="FangSong_GB2312"/>
          <w:spacing w:val="-10"/>
          <w:sz w:val="32"/>
          <w:szCs w:val="32"/>
        </w:rPr>
        <w:t>进生态环境行政执法与刑事司法衔接联动。</w:t>
      </w:r>
    </w:p>
    <w:p w14:paraId="3038A472">
      <w:pPr>
        <w:spacing w:line="330" w:lineRule="auto"/>
        <w:rPr>
          <w:rFonts w:ascii="FangSong_GB2312" w:hAnsi="FangSong_GB2312" w:eastAsia="FangSong_GB2312" w:cs="FangSong_GB2312"/>
          <w:sz w:val="32"/>
          <w:szCs w:val="32"/>
        </w:rPr>
        <w:sectPr>
          <w:footerReference r:id="rId40" w:type="default"/>
          <w:pgSz w:w="11905" w:h="16840"/>
          <w:pgMar w:top="1431" w:right="1385" w:bottom="1867" w:left="1597" w:header="0" w:footer="1506" w:gutter="0"/>
          <w:cols w:space="720" w:num="1"/>
        </w:sectPr>
      </w:pPr>
    </w:p>
    <w:p w14:paraId="5116A3A0">
      <w:pPr>
        <w:spacing w:line="342" w:lineRule="auto"/>
        <w:rPr>
          <w:rFonts w:ascii="Arial"/>
          <w:sz w:val="21"/>
        </w:rPr>
      </w:pPr>
    </w:p>
    <w:p w14:paraId="303485B1">
      <w:pPr>
        <w:spacing w:line="343" w:lineRule="auto"/>
        <w:rPr>
          <w:rFonts w:ascii="Arial"/>
          <w:sz w:val="21"/>
        </w:rPr>
      </w:pPr>
    </w:p>
    <w:p w14:paraId="16D54805">
      <w:pPr>
        <w:spacing w:before="104" w:line="223" w:lineRule="auto"/>
        <w:ind w:left="632"/>
        <w:outlineLvl w:val="0"/>
        <w:rPr>
          <w:rFonts w:ascii="黑体" w:hAnsi="黑体" w:eastAsia="黑体" w:cs="黑体"/>
          <w:sz w:val="32"/>
          <w:szCs w:val="32"/>
        </w:rPr>
      </w:pPr>
      <w:r>
        <w:rPr>
          <w:rFonts w:ascii="黑体" w:hAnsi="黑体" w:eastAsia="黑体" w:cs="黑体"/>
          <w:spacing w:val="-9"/>
          <w:sz w:val="32"/>
          <w:szCs w:val="32"/>
        </w:rPr>
        <w:t>十一、保障措施</w:t>
      </w:r>
    </w:p>
    <w:p w14:paraId="4BF92680">
      <w:pPr>
        <w:spacing w:before="189" w:line="215"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（一）加强组织领导</w:t>
      </w:r>
    </w:p>
    <w:p w14:paraId="1662E736">
      <w:pPr>
        <w:spacing w:before="200" w:line="331" w:lineRule="auto"/>
        <w:ind w:left="2" w:right="96" w:firstLine="632"/>
        <w:rPr>
          <w:rFonts w:ascii="FangSong_GB2312" w:hAnsi="FangSong_GB2312" w:eastAsia="FangSong_GB2312" w:cs="FangSong_GB2312"/>
          <w:sz w:val="32"/>
          <w:szCs w:val="32"/>
        </w:rPr>
      </w:pPr>
      <w:r>
        <w:rPr>
          <w:rFonts w:ascii="FangSong_GB2312" w:hAnsi="FangSong_GB2312" w:eastAsia="FangSong_GB2312" w:cs="FangSong_GB2312"/>
          <w:spacing w:val="3"/>
          <w:sz w:val="32"/>
          <w:szCs w:val="32"/>
        </w:rPr>
        <w:t>把党的领导始终贯彻到美丽赣州建设全过程，强化各级党</w:t>
      </w:r>
      <w:r>
        <w:rPr>
          <w:rFonts w:ascii="FangSong_GB2312" w:hAnsi="FangSong_GB2312" w:eastAsia="FangSong_GB2312" w:cs="FangSong_GB2312"/>
          <w:spacing w:val="-13"/>
          <w:sz w:val="32"/>
          <w:szCs w:val="32"/>
        </w:rPr>
        <w:t>委、政府美丽赣州建设领导责任，</w:t>
      </w:r>
      <w:r>
        <w:rPr>
          <w:rFonts w:ascii="FangSong_GB2312" w:hAnsi="FangSong_GB2312" w:eastAsia="FangSong_GB2312" w:cs="FangSong_GB2312"/>
          <w:spacing w:val="-32"/>
          <w:sz w:val="32"/>
          <w:szCs w:val="32"/>
        </w:rPr>
        <w:t xml:space="preserve"> </w:t>
      </w:r>
      <w:r>
        <w:rPr>
          <w:rFonts w:ascii="FangSong_GB2312" w:hAnsi="FangSong_GB2312" w:eastAsia="FangSong_GB2312" w:cs="FangSong_GB2312"/>
          <w:spacing w:val="-13"/>
          <w:sz w:val="32"/>
          <w:szCs w:val="32"/>
        </w:rPr>
        <w:t>完善推进美丽赣州建设工作机</w:t>
      </w:r>
      <w:r>
        <w:rPr>
          <w:rFonts w:ascii="FangSong_GB2312" w:hAnsi="FangSong_GB2312" w:eastAsia="FangSong_GB2312" w:cs="FangSong_GB2312"/>
          <w:spacing w:val="-9"/>
          <w:sz w:val="32"/>
          <w:szCs w:val="32"/>
        </w:rPr>
        <w:t>构和运行机制，充分发挥美丽赣州建设行动领导小组统筹协调和指导监督作用，进一步强化各级政府实施规划纲要的主体责任。市有关部门根据职责分工制定完善本部门工作推进计划。各地要结合实际加强统筹谋划，编制出台本地区推进美丽建设的年度工</w:t>
      </w:r>
      <w:r>
        <w:rPr>
          <w:rFonts w:ascii="FangSong_GB2312" w:hAnsi="FangSong_GB2312" w:eastAsia="FangSong_GB2312" w:cs="FangSong_GB2312"/>
          <w:spacing w:val="-11"/>
          <w:sz w:val="32"/>
          <w:szCs w:val="32"/>
        </w:rPr>
        <w:t>作方案，推动美丽赣州建设落细落实。</w:t>
      </w:r>
    </w:p>
    <w:p w14:paraId="4CF203FF">
      <w:pPr>
        <w:spacing w:before="1" w:line="218" w:lineRule="auto"/>
        <w:ind w:left="616"/>
        <w:rPr>
          <w:rFonts w:ascii="KaiTi_GB2312" w:hAnsi="KaiTi_GB2312" w:eastAsia="KaiTi_GB2312" w:cs="KaiTi_GB2312"/>
          <w:sz w:val="32"/>
          <w:szCs w:val="32"/>
        </w:rPr>
      </w:pPr>
      <w:r>
        <w:rPr>
          <w:rFonts w:ascii="KaiTi_GB2312" w:hAnsi="KaiTi_GB2312" w:eastAsia="KaiTi_GB2312" w:cs="KaiTi_GB2312"/>
          <w:spacing w:val="-7"/>
          <w:sz w:val="32"/>
          <w:szCs w:val="32"/>
        </w:rPr>
        <w:t>（二）加大多元投入</w:t>
      </w:r>
    </w:p>
    <w:p w14:paraId="27FFAC41">
      <w:pPr>
        <w:spacing w:before="195" w:line="331" w:lineRule="auto"/>
        <w:ind w:right="96" w:firstLine="626"/>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建立重点项目推进机制，推动美丽赣州建设任务项目化、项</w:t>
      </w:r>
      <w:r>
        <w:rPr>
          <w:rFonts w:ascii="FangSong_GB2312" w:hAnsi="FangSong_GB2312" w:eastAsia="FangSong_GB2312" w:cs="FangSong_GB2312"/>
          <w:spacing w:val="-14"/>
          <w:sz w:val="32"/>
          <w:szCs w:val="32"/>
        </w:rPr>
        <w:t>目清单化、清单具体化， 滚动实施、持续推进一批基础性、战略</w:t>
      </w:r>
      <w:r>
        <w:rPr>
          <w:rFonts w:ascii="FangSong_GB2312" w:hAnsi="FangSong_GB2312" w:eastAsia="FangSong_GB2312" w:cs="FangSong_GB2312"/>
          <w:spacing w:val="-9"/>
          <w:sz w:val="32"/>
          <w:szCs w:val="32"/>
        </w:rPr>
        <w:t>性的重大工程、重点项目。加强各级财政预算与规划纲要实施的衔接协调与经费保障，发挥财政资金引领和带动作用，建立多元化的投融资体系，引导和吸纳社会资本参与，积极参与美丽赣州</w:t>
      </w:r>
      <w:r>
        <w:rPr>
          <w:rFonts w:ascii="FangSong_GB2312" w:hAnsi="FangSong_GB2312" w:eastAsia="FangSong_GB2312" w:cs="FangSong_GB2312"/>
          <w:spacing w:val="-20"/>
          <w:sz w:val="32"/>
          <w:szCs w:val="32"/>
        </w:rPr>
        <w:t>建设。</w:t>
      </w:r>
    </w:p>
    <w:p w14:paraId="06272939">
      <w:pPr>
        <w:spacing w:before="3" w:line="214"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（三）严格考核评估</w:t>
      </w:r>
    </w:p>
    <w:p w14:paraId="07D8BD5C">
      <w:pPr>
        <w:spacing w:before="201" w:line="331" w:lineRule="auto"/>
        <w:ind w:left="2" w:firstLine="623"/>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建立健全美丽赣州建设考核评价机制，分层次、分类别对各县（市、区）、市直成员单位开展综合考核评价，强化考评结果</w:t>
      </w:r>
      <w:r>
        <w:rPr>
          <w:rFonts w:ascii="FangSong_GB2312" w:hAnsi="FangSong_GB2312" w:eastAsia="FangSong_GB2312" w:cs="FangSong_GB2312"/>
          <w:spacing w:val="-16"/>
          <w:sz w:val="32"/>
          <w:szCs w:val="32"/>
        </w:rPr>
        <w:t>运用。建立评估机制，以五年为周期开展规划纲要实施情况评估，评估结果向社会公布。依据评估结果，适时对规划纲要指标目标、</w:t>
      </w:r>
      <w:r>
        <w:rPr>
          <w:rFonts w:ascii="FangSong_GB2312" w:hAnsi="FangSong_GB2312" w:eastAsia="FangSong_GB2312" w:cs="FangSong_GB2312"/>
          <w:spacing w:val="-12"/>
          <w:sz w:val="32"/>
          <w:szCs w:val="32"/>
        </w:rPr>
        <w:t>重点任务等进行科学调整。</w:t>
      </w:r>
    </w:p>
    <w:p w14:paraId="4CA7880C">
      <w:pPr>
        <w:spacing w:line="331" w:lineRule="auto"/>
        <w:rPr>
          <w:rFonts w:ascii="FangSong_GB2312" w:hAnsi="FangSong_GB2312" w:eastAsia="FangSong_GB2312" w:cs="FangSong_GB2312"/>
          <w:sz w:val="32"/>
          <w:szCs w:val="32"/>
        </w:rPr>
        <w:sectPr>
          <w:footerReference r:id="rId41" w:type="default"/>
          <w:pgSz w:w="11905" w:h="16840"/>
          <w:pgMar w:top="1431" w:right="1481" w:bottom="1867" w:left="1597" w:header="0" w:footer="1506" w:gutter="0"/>
          <w:cols w:space="720" w:num="1"/>
        </w:sectPr>
      </w:pPr>
    </w:p>
    <w:p w14:paraId="3C98736B">
      <w:pPr>
        <w:spacing w:line="343" w:lineRule="auto"/>
        <w:rPr>
          <w:rFonts w:ascii="Arial"/>
          <w:sz w:val="21"/>
        </w:rPr>
      </w:pPr>
    </w:p>
    <w:p w14:paraId="7A1ACC5F">
      <w:pPr>
        <w:spacing w:line="343" w:lineRule="auto"/>
        <w:rPr>
          <w:rFonts w:ascii="Arial"/>
          <w:sz w:val="21"/>
        </w:rPr>
      </w:pPr>
    </w:p>
    <w:p w14:paraId="24CF1F17">
      <w:pPr>
        <w:spacing w:before="104" w:line="215" w:lineRule="auto"/>
        <w:ind w:left="616"/>
        <w:rPr>
          <w:rFonts w:ascii="KaiTi_GB2312" w:hAnsi="KaiTi_GB2312" w:eastAsia="KaiTi_GB2312" w:cs="KaiTi_GB2312"/>
          <w:sz w:val="32"/>
          <w:szCs w:val="32"/>
        </w:rPr>
      </w:pPr>
      <w:r>
        <w:rPr>
          <w:rFonts w:ascii="KaiTi_GB2312" w:hAnsi="KaiTi_GB2312" w:eastAsia="KaiTi_GB2312" w:cs="KaiTi_GB2312"/>
          <w:spacing w:val="-8"/>
          <w:sz w:val="32"/>
          <w:szCs w:val="32"/>
        </w:rPr>
        <w:t>（四）推广典型示范</w:t>
      </w:r>
    </w:p>
    <w:p w14:paraId="71BDC74C">
      <w:pPr>
        <w:spacing w:before="200" w:line="331" w:lineRule="auto"/>
        <w:ind w:left="1" w:firstLine="627"/>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加强典型示范引领，支持各地开展美丽城市、美丽园区、美</w:t>
      </w:r>
      <w:r>
        <w:rPr>
          <w:rFonts w:ascii="FangSong_GB2312" w:hAnsi="FangSong_GB2312" w:eastAsia="FangSong_GB2312" w:cs="FangSong_GB2312"/>
          <w:spacing w:val="-19"/>
          <w:sz w:val="32"/>
          <w:szCs w:val="32"/>
        </w:rPr>
        <w:t>丽乡村、美丽河湖等探索实践以及争创生态文明建设示范区</w:t>
      </w:r>
      <w:r>
        <w:rPr>
          <w:rFonts w:ascii="FangSong_GB2312" w:hAnsi="FangSong_GB2312" w:eastAsia="FangSong_GB2312" w:cs="FangSong_GB2312"/>
          <w:spacing w:val="-20"/>
          <w:sz w:val="32"/>
          <w:szCs w:val="32"/>
        </w:rPr>
        <w:t>、“绿</w:t>
      </w:r>
      <w:r>
        <w:rPr>
          <w:rFonts w:ascii="FangSong_GB2312" w:hAnsi="FangSong_GB2312" w:eastAsia="FangSong_GB2312" w:cs="FangSong_GB2312"/>
          <w:spacing w:val="-9"/>
          <w:sz w:val="32"/>
          <w:szCs w:val="32"/>
        </w:rPr>
        <w:t>水青山就是金山银山”实践创新基地等各类有关美丽中国建设的国家级示范试点。建立健全美丽赣州建设成果总结和示范推广机</w:t>
      </w:r>
      <w:r>
        <w:rPr>
          <w:rFonts w:ascii="FangSong_GB2312" w:hAnsi="FangSong_GB2312" w:eastAsia="FangSong_GB2312" w:cs="FangSong_GB2312"/>
          <w:spacing w:val="-8"/>
          <w:sz w:val="32"/>
          <w:szCs w:val="32"/>
        </w:rPr>
        <w:t>制，及时总结推广好经验好做法，成熟一批、推广一</w:t>
      </w:r>
      <w:r>
        <w:rPr>
          <w:rFonts w:ascii="FangSong_GB2312" w:hAnsi="FangSong_GB2312" w:eastAsia="FangSong_GB2312" w:cs="FangSong_GB2312"/>
          <w:spacing w:val="-9"/>
          <w:sz w:val="32"/>
          <w:szCs w:val="32"/>
        </w:rPr>
        <w:t>批。</w:t>
      </w:r>
    </w:p>
    <w:p w14:paraId="0D37BFA4">
      <w:pPr>
        <w:spacing w:before="2" w:line="223" w:lineRule="auto"/>
        <w:ind w:left="616"/>
        <w:rPr>
          <w:rFonts w:ascii="KaiTi_GB2312" w:hAnsi="KaiTi_GB2312" w:eastAsia="KaiTi_GB2312" w:cs="KaiTi_GB2312"/>
          <w:sz w:val="32"/>
          <w:szCs w:val="32"/>
        </w:rPr>
      </w:pPr>
      <w:r>
        <w:rPr>
          <w:rFonts w:ascii="KaiTi_GB2312" w:hAnsi="KaiTi_GB2312" w:eastAsia="KaiTi_GB2312" w:cs="KaiTi_GB2312"/>
          <w:spacing w:val="-6"/>
          <w:sz w:val="32"/>
          <w:szCs w:val="32"/>
        </w:rPr>
        <w:t>（五）加强宣传交流</w:t>
      </w:r>
    </w:p>
    <w:p w14:paraId="0697575D">
      <w:pPr>
        <w:spacing w:before="186" w:line="331" w:lineRule="auto"/>
        <w:ind w:firstLine="628"/>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加强规划纲要解读，拓宽公众参与渠道，全景式、多层次、多角度宣传美丽赣州建设政策制度、进展成效、实践经验以及先进典型，讲好美丽赣州建设故事，广泛凝聚社会共识。加强美丽建设交流合作，建立交流对接机制，学习借鉴国内、国际先进经</w:t>
      </w:r>
      <w:r>
        <w:rPr>
          <w:rFonts w:ascii="FangSong_GB2312" w:hAnsi="FangSong_GB2312" w:eastAsia="FangSong_GB2312" w:cs="FangSong_GB2312"/>
          <w:spacing w:val="-8"/>
          <w:sz w:val="32"/>
          <w:szCs w:val="32"/>
        </w:rPr>
        <w:t>验，强化美丽赣州建设先进成果与模式的应</w:t>
      </w:r>
      <w:r>
        <w:rPr>
          <w:rFonts w:ascii="FangSong_GB2312" w:hAnsi="FangSong_GB2312" w:eastAsia="FangSong_GB2312" w:cs="FangSong_GB2312"/>
          <w:spacing w:val="-9"/>
          <w:sz w:val="32"/>
          <w:szCs w:val="32"/>
        </w:rPr>
        <w:t>用，不断扩大美丽赣</w:t>
      </w:r>
      <w:r>
        <w:rPr>
          <w:rFonts w:ascii="FangSong_GB2312" w:hAnsi="FangSong_GB2312" w:eastAsia="FangSong_GB2312" w:cs="FangSong_GB2312"/>
          <w:spacing w:val="-12"/>
          <w:sz w:val="32"/>
          <w:szCs w:val="32"/>
        </w:rPr>
        <w:t>州的影响力和示范效应。</w:t>
      </w:r>
    </w:p>
    <w:p w14:paraId="46C3270F">
      <w:pPr>
        <w:spacing w:line="469" w:lineRule="auto"/>
        <w:rPr>
          <w:rFonts w:ascii="Arial"/>
          <w:sz w:val="21"/>
        </w:rPr>
      </w:pPr>
    </w:p>
    <w:p w14:paraId="5B9F0200">
      <w:pPr>
        <w:spacing w:before="104" w:line="214" w:lineRule="auto"/>
        <w:ind w:left="652"/>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附件：美丽赣州建设指标体系</w:t>
      </w:r>
    </w:p>
    <w:p w14:paraId="04226386">
      <w:pPr>
        <w:spacing w:line="214" w:lineRule="auto"/>
        <w:rPr>
          <w:rFonts w:ascii="FangSong_GB2312" w:hAnsi="FangSong_GB2312" w:eastAsia="FangSong_GB2312" w:cs="FangSong_GB2312"/>
          <w:sz w:val="32"/>
          <w:szCs w:val="32"/>
        </w:rPr>
        <w:sectPr>
          <w:footerReference r:id="rId42" w:type="default"/>
          <w:pgSz w:w="11905" w:h="16840"/>
          <w:pgMar w:top="1431" w:right="1578" w:bottom="1867" w:left="1597" w:header="0" w:footer="1506" w:gutter="0"/>
          <w:cols w:space="720" w:num="1"/>
        </w:sectPr>
      </w:pPr>
    </w:p>
    <w:p w14:paraId="65C20167">
      <w:pPr>
        <w:spacing w:line="297" w:lineRule="auto"/>
        <w:rPr>
          <w:rFonts w:ascii="Arial"/>
          <w:sz w:val="21"/>
        </w:rPr>
      </w:pPr>
    </w:p>
    <w:p w14:paraId="613323BB">
      <w:pPr>
        <w:spacing w:line="297" w:lineRule="auto"/>
        <w:rPr>
          <w:rFonts w:ascii="Arial"/>
          <w:sz w:val="21"/>
        </w:rPr>
      </w:pPr>
    </w:p>
    <w:p w14:paraId="5C404BCF">
      <w:pPr>
        <w:spacing w:before="104" w:line="225" w:lineRule="auto"/>
        <w:ind w:left="86"/>
        <w:rPr>
          <w:rFonts w:ascii="黑体" w:hAnsi="黑体" w:eastAsia="黑体" w:cs="黑体"/>
          <w:sz w:val="32"/>
          <w:szCs w:val="32"/>
        </w:rPr>
      </w:pPr>
      <w:r>
        <w:rPr>
          <w:rFonts w:ascii="黑体" w:hAnsi="黑体" w:eastAsia="黑体" w:cs="黑体"/>
          <w:spacing w:val="-8"/>
          <w:sz w:val="32"/>
          <w:szCs w:val="32"/>
        </w:rPr>
        <w:t>附件</w:t>
      </w:r>
    </w:p>
    <w:p w14:paraId="19A6FECE">
      <w:pPr>
        <w:spacing w:before="130" w:line="216" w:lineRule="auto"/>
        <w:ind w:left="4587"/>
        <w:outlineLvl w:val="0"/>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pacing w:val="-2"/>
          <w:sz w:val="36"/>
          <w:szCs w:val="36"/>
        </w:rPr>
        <w:t>美丽赣州建设指标体系</w:t>
      </w:r>
    </w:p>
    <w:tbl>
      <w:tblPr>
        <w:tblStyle w:val="5"/>
        <w:tblW w:w="127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1000"/>
        <w:gridCol w:w="2460"/>
        <w:gridCol w:w="2237"/>
        <w:gridCol w:w="2103"/>
        <w:gridCol w:w="2224"/>
        <w:gridCol w:w="2148"/>
      </w:tblGrid>
      <w:tr w14:paraId="60327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7" w:type="dxa"/>
            <w:vAlign w:val="top"/>
          </w:tcPr>
          <w:p w14:paraId="2F7147D3">
            <w:pPr>
              <w:spacing w:before="76" w:line="223" w:lineRule="auto"/>
              <w:ind w:left="94"/>
              <w:rPr>
                <w:rFonts w:ascii="黑体" w:hAnsi="黑体" w:eastAsia="黑体" w:cs="黑体"/>
                <w:sz w:val="20"/>
                <w:szCs w:val="20"/>
              </w:rPr>
            </w:pPr>
            <w:r>
              <w:rPr>
                <w:rFonts w:ascii="黑体" w:hAnsi="黑体" w:eastAsia="黑体" w:cs="黑体"/>
                <w:spacing w:val="-2"/>
                <w:sz w:val="20"/>
                <w:szCs w:val="20"/>
              </w:rPr>
              <w:t>序号</w:t>
            </w:r>
          </w:p>
        </w:tc>
        <w:tc>
          <w:tcPr>
            <w:tcW w:w="1000" w:type="dxa"/>
            <w:vAlign w:val="top"/>
          </w:tcPr>
          <w:p w14:paraId="35E41D97">
            <w:pPr>
              <w:spacing w:before="76" w:line="221" w:lineRule="auto"/>
              <w:ind w:left="310"/>
              <w:rPr>
                <w:rFonts w:ascii="黑体" w:hAnsi="黑体" w:eastAsia="黑体" w:cs="黑体"/>
                <w:sz w:val="20"/>
                <w:szCs w:val="20"/>
              </w:rPr>
            </w:pPr>
            <w:r>
              <w:rPr>
                <w:rFonts w:ascii="黑体" w:hAnsi="黑体" w:eastAsia="黑体" w:cs="黑体"/>
                <w:spacing w:val="-4"/>
                <w:sz w:val="20"/>
                <w:szCs w:val="20"/>
              </w:rPr>
              <w:t>类别</w:t>
            </w:r>
          </w:p>
        </w:tc>
        <w:tc>
          <w:tcPr>
            <w:tcW w:w="4697" w:type="dxa"/>
            <w:gridSpan w:val="2"/>
            <w:vAlign w:val="top"/>
          </w:tcPr>
          <w:p w14:paraId="5EABFF6D">
            <w:pPr>
              <w:spacing w:before="76" w:line="223" w:lineRule="auto"/>
              <w:ind w:left="2152"/>
              <w:rPr>
                <w:rFonts w:ascii="黑体" w:hAnsi="黑体" w:eastAsia="黑体" w:cs="黑体"/>
                <w:sz w:val="20"/>
                <w:szCs w:val="20"/>
              </w:rPr>
            </w:pPr>
            <w:r>
              <w:rPr>
                <w:rFonts w:ascii="黑体" w:hAnsi="黑体" w:eastAsia="黑体" w:cs="黑体"/>
                <w:spacing w:val="-2"/>
                <w:sz w:val="20"/>
                <w:szCs w:val="20"/>
              </w:rPr>
              <w:t>指标</w:t>
            </w:r>
          </w:p>
        </w:tc>
        <w:tc>
          <w:tcPr>
            <w:tcW w:w="2103" w:type="dxa"/>
            <w:vAlign w:val="top"/>
          </w:tcPr>
          <w:p w14:paraId="022235C1">
            <w:pPr>
              <w:pStyle w:val="6"/>
              <w:spacing w:before="76" w:line="223" w:lineRule="auto"/>
              <w:ind w:right="3"/>
              <w:jc w:val="right"/>
              <w:rPr>
                <w:rFonts w:ascii="黑体" w:hAnsi="黑体" w:eastAsia="黑体" w:cs="黑体"/>
              </w:rPr>
            </w:pPr>
            <w:r>
              <w:rPr>
                <w:spacing w:val="-4"/>
              </w:rPr>
              <w:t>2020</w:t>
            </w:r>
            <w:r>
              <w:rPr>
                <w:spacing w:val="-29"/>
              </w:rPr>
              <w:t xml:space="preserve"> </w:t>
            </w:r>
            <w:r>
              <w:rPr>
                <w:rFonts w:ascii="黑体" w:hAnsi="黑体" w:eastAsia="黑体" w:cs="黑体"/>
                <w:spacing w:val="-4"/>
              </w:rPr>
              <w:t>年（</w:t>
            </w:r>
            <w:r>
              <w:rPr>
                <w:spacing w:val="-4"/>
              </w:rPr>
              <w:t>*</w:t>
            </w:r>
            <w:r>
              <w:rPr>
                <w:rFonts w:ascii="黑体" w:hAnsi="黑体" w:eastAsia="黑体" w:cs="黑体"/>
                <w:spacing w:val="-4"/>
              </w:rPr>
              <w:t>为</w:t>
            </w:r>
            <w:r>
              <w:rPr>
                <w:rFonts w:ascii="黑体" w:hAnsi="黑体" w:eastAsia="黑体" w:cs="黑体"/>
                <w:spacing w:val="-41"/>
              </w:rPr>
              <w:t xml:space="preserve"> </w:t>
            </w:r>
            <w:r>
              <w:rPr>
                <w:spacing w:val="-4"/>
              </w:rPr>
              <w:t>2021</w:t>
            </w:r>
            <w:r>
              <w:rPr>
                <w:spacing w:val="-41"/>
              </w:rPr>
              <w:t xml:space="preserve"> </w:t>
            </w:r>
            <w:r>
              <w:rPr>
                <w:rFonts w:ascii="黑体" w:hAnsi="黑体" w:eastAsia="黑体" w:cs="黑体"/>
                <w:spacing w:val="-4"/>
              </w:rPr>
              <w:t>年）</w:t>
            </w:r>
          </w:p>
        </w:tc>
        <w:tc>
          <w:tcPr>
            <w:tcW w:w="2224" w:type="dxa"/>
            <w:vAlign w:val="top"/>
          </w:tcPr>
          <w:p w14:paraId="2C648502">
            <w:pPr>
              <w:pStyle w:val="6"/>
              <w:spacing w:before="76" w:line="223" w:lineRule="auto"/>
              <w:ind w:left="795"/>
              <w:rPr>
                <w:rFonts w:ascii="黑体" w:hAnsi="黑体" w:eastAsia="黑体" w:cs="黑体"/>
              </w:rPr>
            </w:pPr>
            <w:r>
              <w:rPr>
                <w:spacing w:val="-3"/>
              </w:rPr>
              <w:t>2025</w:t>
            </w:r>
            <w:r>
              <w:rPr>
                <w:spacing w:val="-38"/>
              </w:rPr>
              <w:t xml:space="preserve"> </w:t>
            </w:r>
            <w:r>
              <w:rPr>
                <w:rFonts w:ascii="黑体" w:hAnsi="黑体" w:eastAsia="黑体" w:cs="黑体"/>
                <w:spacing w:val="-3"/>
              </w:rPr>
              <w:t>年</w:t>
            </w:r>
          </w:p>
        </w:tc>
        <w:tc>
          <w:tcPr>
            <w:tcW w:w="2148" w:type="dxa"/>
            <w:vAlign w:val="top"/>
          </w:tcPr>
          <w:p w14:paraId="07B2F1D2">
            <w:pPr>
              <w:pStyle w:val="6"/>
              <w:spacing w:before="76" w:line="223" w:lineRule="auto"/>
              <w:ind w:left="755"/>
              <w:rPr>
                <w:rFonts w:ascii="黑体" w:hAnsi="黑体" w:eastAsia="黑体" w:cs="黑体"/>
              </w:rPr>
            </w:pPr>
            <w:r>
              <w:rPr>
                <w:spacing w:val="-3"/>
              </w:rPr>
              <w:t>2035</w:t>
            </w:r>
            <w:r>
              <w:rPr>
                <w:spacing w:val="-38"/>
              </w:rPr>
              <w:t xml:space="preserve"> </w:t>
            </w:r>
            <w:r>
              <w:rPr>
                <w:rFonts w:ascii="黑体" w:hAnsi="黑体" w:eastAsia="黑体" w:cs="黑体"/>
                <w:spacing w:val="-3"/>
              </w:rPr>
              <w:t>年</w:t>
            </w:r>
          </w:p>
        </w:tc>
      </w:tr>
      <w:tr w14:paraId="24B77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1F51917B">
            <w:pPr>
              <w:pStyle w:val="6"/>
              <w:spacing w:before="71" w:line="242" w:lineRule="auto"/>
              <w:ind w:left="258"/>
            </w:pPr>
            <w:r>
              <w:t>1</w:t>
            </w:r>
          </w:p>
        </w:tc>
        <w:tc>
          <w:tcPr>
            <w:tcW w:w="1000" w:type="dxa"/>
            <w:vMerge w:val="restart"/>
            <w:tcBorders>
              <w:bottom w:val="nil"/>
            </w:tcBorders>
            <w:vAlign w:val="top"/>
          </w:tcPr>
          <w:p w14:paraId="159AB776">
            <w:pPr>
              <w:spacing w:before="240" w:line="216"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美丽空间</w:t>
            </w:r>
          </w:p>
        </w:tc>
        <w:tc>
          <w:tcPr>
            <w:tcW w:w="4697" w:type="dxa"/>
            <w:gridSpan w:val="2"/>
            <w:vAlign w:val="top"/>
          </w:tcPr>
          <w:p w14:paraId="5FF28A41">
            <w:pPr>
              <w:pStyle w:val="6"/>
              <w:spacing w:before="71" w:line="218" w:lineRule="auto"/>
              <w:ind w:left="66"/>
              <w:rPr>
                <w:rFonts w:ascii="FangSong_GB2312" w:hAnsi="FangSong_GB2312" w:eastAsia="FangSong_GB2312" w:cs="FangSong_GB2312"/>
              </w:rPr>
            </w:pPr>
            <w:r>
              <w:rPr>
                <w:rFonts w:ascii="FangSong_GB2312" w:hAnsi="FangSong_GB2312" w:eastAsia="FangSong_GB2312" w:cs="FangSong_GB2312"/>
                <w:spacing w:val="-2"/>
              </w:rPr>
              <w:t>生态保护红线占国土面积比例（</w:t>
            </w:r>
            <w:r>
              <w:rPr>
                <w:spacing w:val="-2"/>
              </w:rPr>
              <w:t>%</w:t>
            </w:r>
            <w:r>
              <w:rPr>
                <w:rFonts w:ascii="FangSong_GB2312" w:hAnsi="FangSong_GB2312" w:eastAsia="FangSong_GB2312" w:cs="FangSong_GB2312"/>
                <w:spacing w:val="-2"/>
              </w:rPr>
              <w:t>）</w:t>
            </w:r>
          </w:p>
        </w:tc>
        <w:tc>
          <w:tcPr>
            <w:tcW w:w="2103" w:type="dxa"/>
            <w:vAlign w:val="top"/>
          </w:tcPr>
          <w:p w14:paraId="536E9D27">
            <w:pPr>
              <w:spacing w:before="165" w:line="136" w:lineRule="exact"/>
              <w:ind w:left="967"/>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t>—</w:t>
            </w:r>
          </w:p>
        </w:tc>
        <w:tc>
          <w:tcPr>
            <w:tcW w:w="2224" w:type="dxa"/>
            <w:vAlign w:val="top"/>
          </w:tcPr>
          <w:p w14:paraId="50EF7F08">
            <w:pPr>
              <w:spacing w:before="72" w:line="215" w:lineRule="auto"/>
              <w:ind w:left="22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不低于国家下发数据</w:t>
            </w:r>
          </w:p>
        </w:tc>
        <w:tc>
          <w:tcPr>
            <w:tcW w:w="2148" w:type="dxa"/>
            <w:vAlign w:val="top"/>
          </w:tcPr>
          <w:p w14:paraId="17A03A21">
            <w:pPr>
              <w:spacing w:before="72" w:line="215" w:lineRule="auto"/>
              <w:ind w:left="181"/>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不低于国家下发数据</w:t>
            </w:r>
          </w:p>
        </w:tc>
      </w:tr>
      <w:tr w14:paraId="18EAA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639A94A5">
            <w:pPr>
              <w:pStyle w:val="6"/>
              <w:spacing w:before="71" w:line="242" w:lineRule="auto"/>
              <w:ind w:left="246"/>
            </w:pPr>
            <w:r>
              <w:t>2</w:t>
            </w:r>
          </w:p>
        </w:tc>
        <w:tc>
          <w:tcPr>
            <w:tcW w:w="1000" w:type="dxa"/>
            <w:vMerge w:val="continue"/>
            <w:tcBorders>
              <w:top w:val="nil"/>
            </w:tcBorders>
            <w:vAlign w:val="top"/>
          </w:tcPr>
          <w:p w14:paraId="60B6A8E6">
            <w:pPr>
              <w:rPr>
                <w:rFonts w:ascii="Arial"/>
                <w:sz w:val="21"/>
              </w:rPr>
            </w:pPr>
          </w:p>
        </w:tc>
        <w:tc>
          <w:tcPr>
            <w:tcW w:w="4697" w:type="dxa"/>
            <w:gridSpan w:val="2"/>
            <w:vAlign w:val="top"/>
          </w:tcPr>
          <w:p w14:paraId="4649EE5B">
            <w:pPr>
              <w:pStyle w:val="6"/>
              <w:spacing w:before="71" w:line="218" w:lineRule="auto"/>
              <w:ind w:left="90"/>
              <w:rPr>
                <w:rFonts w:ascii="FangSong_GB2312" w:hAnsi="FangSong_GB2312" w:eastAsia="FangSong_GB2312" w:cs="FangSong_GB2312"/>
              </w:rPr>
            </w:pPr>
            <w:r>
              <w:rPr>
                <w:rFonts w:ascii="FangSong_GB2312" w:hAnsi="FangSong_GB2312" w:eastAsia="FangSong_GB2312" w:cs="FangSong_GB2312"/>
                <w:spacing w:val="-3"/>
              </w:rPr>
              <w:t>自然保护地面积占国土面积比例（</w:t>
            </w:r>
            <w:r>
              <w:rPr>
                <w:spacing w:val="-3"/>
              </w:rPr>
              <w:t>%</w:t>
            </w:r>
            <w:r>
              <w:rPr>
                <w:rFonts w:ascii="FangSong_GB2312" w:hAnsi="FangSong_GB2312" w:eastAsia="FangSong_GB2312" w:cs="FangSong_GB2312"/>
                <w:spacing w:val="-3"/>
              </w:rPr>
              <w:t>）</w:t>
            </w:r>
          </w:p>
        </w:tc>
        <w:tc>
          <w:tcPr>
            <w:tcW w:w="2103" w:type="dxa"/>
            <w:vAlign w:val="top"/>
          </w:tcPr>
          <w:p w14:paraId="64F4D37F">
            <w:pPr>
              <w:pStyle w:val="6"/>
              <w:spacing w:before="71"/>
              <w:ind w:left="858"/>
            </w:pPr>
            <w:r>
              <w:rPr>
                <w:spacing w:val="-3"/>
              </w:rPr>
              <w:t>9.95</w:t>
            </w:r>
          </w:p>
        </w:tc>
        <w:tc>
          <w:tcPr>
            <w:tcW w:w="2224" w:type="dxa"/>
            <w:vAlign w:val="top"/>
          </w:tcPr>
          <w:p w14:paraId="58AB5578">
            <w:pPr>
              <w:pStyle w:val="6"/>
              <w:spacing w:before="71" w:line="241" w:lineRule="auto"/>
              <w:ind w:left="960"/>
            </w:pPr>
            <w:r>
              <w:rPr>
                <w:rFonts w:ascii="FangSong_GB2312" w:hAnsi="FangSong_GB2312" w:eastAsia="FangSong_GB2312" w:cs="FangSong_GB2312"/>
                <w:spacing w:val="-21"/>
              </w:rPr>
              <w:t>≥</w:t>
            </w:r>
            <w:r>
              <w:rPr>
                <w:rFonts w:ascii="FangSong_GB2312" w:hAnsi="FangSong_GB2312" w:eastAsia="FangSong_GB2312" w:cs="FangSong_GB2312"/>
                <w:spacing w:val="-78"/>
              </w:rPr>
              <w:t xml:space="preserve"> </w:t>
            </w:r>
            <w:r>
              <w:rPr>
                <w:spacing w:val="-21"/>
              </w:rPr>
              <w:t>10</w:t>
            </w:r>
          </w:p>
        </w:tc>
        <w:tc>
          <w:tcPr>
            <w:tcW w:w="2148" w:type="dxa"/>
            <w:vAlign w:val="top"/>
          </w:tcPr>
          <w:p w14:paraId="237AC504">
            <w:pPr>
              <w:spacing w:before="76" w:line="225" w:lineRule="auto"/>
              <w:ind w:left="665"/>
              <w:rPr>
                <w:rFonts w:ascii="FangSong_GB2312" w:hAnsi="FangSong_GB2312" w:eastAsia="FangSong_GB2312" w:cs="FangSong_GB2312"/>
                <w:sz w:val="18"/>
                <w:szCs w:val="18"/>
              </w:rPr>
            </w:pPr>
            <w:r>
              <w:rPr>
                <w:rFonts w:ascii="FangSong_GB2312" w:hAnsi="FangSong_GB2312" w:eastAsia="FangSong_GB2312" w:cs="FangSong_GB2312"/>
                <w:spacing w:val="20"/>
                <w:sz w:val="18"/>
                <w:szCs w:val="18"/>
              </w:rPr>
              <w:t>保持稳定</w:t>
            </w:r>
          </w:p>
        </w:tc>
      </w:tr>
      <w:tr w14:paraId="7368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7D8FBD3E">
            <w:pPr>
              <w:pStyle w:val="6"/>
              <w:spacing w:before="71" w:line="241" w:lineRule="auto"/>
              <w:ind w:left="248"/>
            </w:pPr>
            <w:r>
              <w:t>3</w:t>
            </w:r>
          </w:p>
        </w:tc>
        <w:tc>
          <w:tcPr>
            <w:tcW w:w="1000" w:type="dxa"/>
            <w:vMerge w:val="restart"/>
            <w:tcBorders>
              <w:bottom w:val="nil"/>
            </w:tcBorders>
            <w:vAlign w:val="top"/>
          </w:tcPr>
          <w:p w14:paraId="45CBF92A">
            <w:pPr>
              <w:spacing w:line="349" w:lineRule="auto"/>
              <w:rPr>
                <w:rFonts w:ascii="Arial"/>
                <w:sz w:val="21"/>
              </w:rPr>
            </w:pPr>
          </w:p>
          <w:p w14:paraId="45337837">
            <w:pPr>
              <w:spacing w:line="349" w:lineRule="auto"/>
              <w:rPr>
                <w:rFonts w:ascii="Arial"/>
                <w:sz w:val="21"/>
              </w:rPr>
            </w:pPr>
          </w:p>
          <w:p w14:paraId="05878E56">
            <w:pPr>
              <w:spacing w:before="65" w:line="216"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绿色低碳</w:t>
            </w:r>
          </w:p>
        </w:tc>
        <w:tc>
          <w:tcPr>
            <w:tcW w:w="4697" w:type="dxa"/>
            <w:gridSpan w:val="2"/>
            <w:vAlign w:val="top"/>
          </w:tcPr>
          <w:p w14:paraId="5BC892C3">
            <w:pPr>
              <w:pStyle w:val="6"/>
              <w:spacing w:before="71" w:line="216" w:lineRule="auto"/>
              <w:ind w:left="67"/>
              <w:rPr>
                <w:rFonts w:ascii="FangSong_GB2312" w:hAnsi="FangSong_GB2312" w:eastAsia="FangSong_GB2312" w:cs="FangSong_GB2312"/>
              </w:rPr>
            </w:pPr>
            <w:r>
              <w:rPr>
                <w:rFonts w:ascii="FangSong_GB2312" w:hAnsi="FangSong_GB2312" w:eastAsia="FangSong_GB2312" w:cs="FangSong_GB2312"/>
                <w:spacing w:val="-1"/>
              </w:rPr>
              <w:t>战略性新兴产业增加值占规模以上工业比重（</w:t>
            </w:r>
            <w:r>
              <w:rPr>
                <w:spacing w:val="-1"/>
              </w:rPr>
              <w:t>%</w:t>
            </w:r>
            <w:r>
              <w:rPr>
                <w:rFonts w:ascii="FangSong_GB2312" w:hAnsi="FangSong_GB2312" w:eastAsia="FangSong_GB2312" w:cs="FangSong_GB2312"/>
                <w:spacing w:val="-1"/>
              </w:rPr>
              <w:t>）</w:t>
            </w:r>
          </w:p>
        </w:tc>
        <w:tc>
          <w:tcPr>
            <w:tcW w:w="2103" w:type="dxa"/>
            <w:vAlign w:val="top"/>
          </w:tcPr>
          <w:p w14:paraId="1E7954C8">
            <w:pPr>
              <w:pStyle w:val="6"/>
              <w:spacing w:before="72"/>
              <w:ind w:left="862"/>
            </w:pPr>
            <w:r>
              <w:rPr>
                <w:spacing w:val="-3"/>
              </w:rPr>
              <w:t>30.3</w:t>
            </w:r>
          </w:p>
        </w:tc>
        <w:tc>
          <w:tcPr>
            <w:tcW w:w="2224" w:type="dxa"/>
            <w:vAlign w:val="top"/>
          </w:tcPr>
          <w:p w14:paraId="6486A44D">
            <w:pPr>
              <w:pStyle w:val="6"/>
              <w:spacing w:before="71" w:line="241" w:lineRule="auto"/>
              <w:ind w:left="1021"/>
            </w:pPr>
            <w:r>
              <w:rPr>
                <w:spacing w:val="-6"/>
              </w:rPr>
              <w:t>33</w:t>
            </w:r>
          </w:p>
        </w:tc>
        <w:tc>
          <w:tcPr>
            <w:tcW w:w="2148" w:type="dxa"/>
            <w:vAlign w:val="top"/>
          </w:tcPr>
          <w:p w14:paraId="76565D48">
            <w:pPr>
              <w:spacing w:before="72" w:line="214" w:lineRule="auto"/>
              <w:ind w:left="47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r>
      <w:tr w14:paraId="6627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5FDE9382">
            <w:pPr>
              <w:pStyle w:val="6"/>
              <w:spacing w:before="72" w:line="241" w:lineRule="auto"/>
              <w:ind w:left="243"/>
            </w:pPr>
            <w:r>
              <w:t>4</w:t>
            </w:r>
          </w:p>
        </w:tc>
        <w:tc>
          <w:tcPr>
            <w:tcW w:w="1000" w:type="dxa"/>
            <w:vMerge w:val="continue"/>
            <w:tcBorders>
              <w:top w:val="nil"/>
              <w:bottom w:val="nil"/>
            </w:tcBorders>
            <w:vAlign w:val="top"/>
          </w:tcPr>
          <w:p w14:paraId="0CBC56BB">
            <w:pPr>
              <w:rPr>
                <w:rFonts w:ascii="Arial"/>
                <w:sz w:val="21"/>
              </w:rPr>
            </w:pPr>
          </w:p>
        </w:tc>
        <w:tc>
          <w:tcPr>
            <w:tcW w:w="4697" w:type="dxa"/>
            <w:gridSpan w:val="2"/>
            <w:vAlign w:val="top"/>
          </w:tcPr>
          <w:p w14:paraId="5C03C974">
            <w:pPr>
              <w:pStyle w:val="6"/>
              <w:spacing w:before="72" w:line="216" w:lineRule="auto"/>
              <w:ind w:left="59"/>
              <w:rPr>
                <w:rFonts w:ascii="FangSong_GB2312" w:hAnsi="FangSong_GB2312" w:eastAsia="FangSong_GB2312" w:cs="FangSong_GB2312"/>
              </w:rPr>
            </w:pPr>
            <w:r>
              <w:rPr>
                <w:rFonts w:ascii="FangSong_GB2312" w:hAnsi="FangSong_GB2312" w:eastAsia="FangSong_GB2312" w:cs="FangSong_GB2312"/>
                <w:spacing w:val="-4"/>
              </w:rPr>
              <w:t>数字经济核心产业增加值占</w:t>
            </w:r>
            <w:r>
              <w:rPr>
                <w:rFonts w:ascii="FangSong_GB2312" w:hAnsi="FangSong_GB2312" w:eastAsia="FangSong_GB2312" w:cs="FangSong_GB2312"/>
                <w:spacing w:val="-31"/>
              </w:rPr>
              <w:t xml:space="preserve"> </w:t>
            </w:r>
            <w:r>
              <w:rPr>
                <w:spacing w:val="-4"/>
              </w:rPr>
              <w:t xml:space="preserve">GDP </w:t>
            </w:r>
            <w:r>
              <w:rPr>
                <w:rFonts w:ascii="FangSong_GB2312" w:hAnsi="FangSong_GB2312" w:eastAsia="FangSong_GB2312" w:cs="FangSong_GB2312"/>
                <w:spacing w:val="-4"/>
              </w:rPr>
              <w:t>比重（</w:t>
            </w:r>
            <w:r>
              <w:rPr>
                <w:spacing w:val="-4"/>
              </w:rPr>
              <w:t>%</w:t>
            </w:r>
            <w:r>
              <w:rPr>
                <w:rFonts w:ascii="FangSong_GB2312" w:hAnsi="FangSong_GB2312" w:eastAsia="FangSong_GB2312" w:cs="FangSong_GB2312"/>
                <w:spacing w:val="-4"/>
              </w:rPr>
              <w:t>）</w:t>
            </w:r>
          </w:p>
        </w:tc>
        <w:tc>
          <w:tcPr>
            <w:tcW w:w="2103" w:type="dxa"/>
            <w:vAlign w:val="top"/>
          </w:tcPr>
          <w:p w14:paraId="353AB922">
            <w:pPr>
              <w:pStyle w:val="6"/>
              <w:spacing w:before="72"/>
              <w:ind w:left="908"/>
            </w:pPr>
            <w:r>
              <w:rPr>
                <w:spacing w:val="-3"/>
              </w:rPr>
              <w:t>6.2</w:t>
            </w:r>
          </w:p>
        </w:tc>
        <w:tc>
          <w:tcPr>
            <w:tcW w:w="2224" w:type="dxa"/>
            <w:vAlign w:val="top"/>
          </w:tcPr>
          <w:p w14:paraId="5F20CB40">
            <w:pPr>
              <w:pStyle w:val="6"/>
              <w:spacing w:before="72"/>
              <w:ind w:left="968"/>
            </w:pPr>
            <w:r>
              <w:rPr>
                <w:spacing w:val="-3"/>
              </w:rPr>
              <w:t>9.6</w:t>
            </w:r>
          </w:p>
        </w:tc>
        <w:tc>
          <w:tcPr>
            <w:tcW w:w="2148" w:type="dxa"/>
            <w:vAlign w:val="top"/>
          </w:tcPr>
          <w:p w14:paraId="01DBDD49">
            <w:pPr>
              <w:spacing w:before="72"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r>
      <w:tr w14:paraId="7529A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7957D0DC">
            <w:pPr>
              <w:pStyle w:val="6"/>
              <w:spacing w:before="72" w:line="241" w:lineRule="auto"/>
              <w:ind w:left="248"/>
            </w:pPr>
            <w:r>
              <w:t>5</w:t>
            </w:r>
          </w:p>
        </w:tc>
        <w:tc>
          <w:tcPr>
            <w:tcW w:w="1000" w:type="dxa"/>
            <w:vMerge w:val="continue"/>
            <w:tcBorders>
              <w:top w:val="nil"/>
              <w:bottom w:val="nil"/>
            </w:tcBorders>
            <w:vAlign w:val="top"/>
          </w:tcPr>
          <w:p w14:paraId="4B144557">
            <w:pPr>
              <w:rPr>
                <w:rFonts w:ascii="Arial"/>
                <w:sz w:val="21"/>
              </w:rPr>
            </w:pPr>
          </w:p>
        </w:tc>
        <w:tc>
          <w:tcPr>
            <w:tcW w:w="4697" w:type="dxa"/>
            <w:gridSpan w:val="2"/>
            <w:vAlign w:val="top"/>
          </w:tcPr>
          <w:p w14:paraId="76ACACE4">
            <w:pPr>
              <w:pStyle w:val="6"/>
              <w:spacing w:before="72" w:line="216" w:lineRule="auto"/>
              <w:ind w:left="59"/>
              <w:rPr>
                <w:rFonts w:ascii="FangSong_GB2312" w:hAnsi="FangSong_GB2312" w:eastAsia="FangSong_GB2312" w:cs="FangSong_GB2312"/>
              </w:rPr>
            </w:pPr>
            <w:r>
              <w:rPr>
                <w:rFonts w:ascii="FangSong_GB2312" w:hAnsi="FangSong_GB2312" w:eastAsia="FangSong_GB2312" w:cs="FangSong_GB2312"/>
                <w:spacing w:val="-4"/>
              </w:rPr>
              <w:t>单位</w:t>
            </w:r>
            <w:r>
              <w:rPr>
                <w:rFonts w:ascii="FangSong_GB2312" w:hAnsi="FangSong_GB2312" w:eastAsia="FangSong_GB2312" w:cs="FangSong_GB2312"/>
                <w:spacing w:val="-32"/>
              </w:rPr>
              <w:t xml:space="preserve"> </w:t>
            </w:r>
            <w:r>
              <w:rPr>
                <w:spacing w:val="-4"/>
              </w:rPr>
              <w:t>GDP</w:t>
            </w:r>
            <w:r>
              <w:rPr>
                <w:spacing w:val="-25"/>
              </w:rPr>
              <w:t xml:space="preserve"> </w:t>
            </w:r>
            <w:r>
              <w:rPr>
                <w:rFonts w:ascii="FangSong_GB2312" w:hAnsi="FangSong_GB2312" w:eastAsia="FangSong_GB2312" w:cs="FangSong_GB2312"/>
                <w:spacing w:val="-4"/>
              </w:rPr>
              <w:t>能源消耗降低（</w:t>
            </w:r>
            <w:r>
              <w:rPr>
                <w:spacing w:val="-4"/>
              </w:rPr>
              <w:t>%</w:t>
            </w:r>
            <w:r>
              <w:rPr>
                <w:rFonts w:ascii="FangSong_GB2312" w:hAnsi="FangSong_GB2312" w:eastAsia="FangSong_GB2312" w:cs="FangSong_GB2312"/>
                <w:spacing w:val="-4"/>
              </w:rPr>
              <w:t>）</w:t>
            </w:r>
          </w:p>
        </w:tc>
        <w:tc>
          <w:tcPr>
            <w:tcW w:w="2103" w:type="dxa"/>
            <w:vAlign w:val="top"/>
          </w:tcPr>
          <w:p w14:paraId="48E594E1">
            <w:pPr>
              <w:pStyle w:val="6"/>
              <w:spacing w:before="72"/>
              <w:ind w:left="860"/>
            </w:pPr>
            <w:r>
              <w:rPr>
                <w:spacing w:val="-3"/>
              </w:rPr>
              <w:t>2.81</w:t>
            </w:r>
          </w:p>
        </w:tc>
        <w:tc>
          <w:tcPr>
            <w:tcW w:w="2224" w:type="dxa"/>
            <w:vAlign w:val="top"/>
          </w:tcPr>
          <w:p w14:paraId="1D56BFF9">
            <w:pPr>
              <w:pStyle w:val="6"/>
              <w:spacing w:before="72" w:line="226" w:lineRule="auto"/>
              <w:ind w:left="849"/>
            </w:pPr>
            <w:r>
              <w:rPr>
                <w:spacing w:val="-6"/>
              </w:rPr>
              <w:t>[12.5]</w:t>
            </w:r>
          </w:p>
        </w:tc>
        <w:tc>
          <w:tcPr>
            <w:tcW w:w="2148" w:type="dxa"/>
            <w:vAlign w:val="top"/>
          </w:tcPr>
          <w:p w14:paraId="61C70425">
            <w:pPr>
              <w:spacing w:before="73" w:line="214" w:lineRule="auto"/>
              <w:ind w:left="47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r>
      <w:tr w14:paraId="1DF14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6FC68A64">
            <w:pPr>
              <w:pStyle w:val="6"/>
              <w:spacing w:before="72" w:line="241" w:lineRule="auto"/>
              <w:ind w:left="245"/>
            </w:pPr>
            <w:r>
              <w:t>6</w:t>
            </w:r>
          </w:p>
        </w:tc>
        <w:tc>
          <w:tcPr>
            <w:tcW w:w="1000" w:type="dxa"/>
            <w:vMerge w:val="continue"/>
            <w:tcBorders>
              <w:top w:val="nil"/>
              <w:bottom w:val="nil"/>
            </w:tcBorders>
            <w:vAlign w:val="top"/>
          </w:tcPr>
          <w:p w14:paraId="414651D6">
            <w:pPr>
              <w:rPr>
                <w:rFonts w:ascii="Arial"/>
                <w:sz w:val="21"/>
              </w:rPr>
            </w:pPr>
          </w:p>
        </w:tc>
        <w:tc>
          <w:tcPr>
            <w:tcW w:w="4697" w:type="dxa"/>
            <w:gridSpan w:val="2"/>
            <w:vAlign w:val="top"/>
          </w:tcPr>
          <w:p w14:paraId="7DFBC6E3">
            <w:pPr>
              <w:pStyle w:val="6"/>
              <w:spacing w:before="72" w:line="216" w:lineRule="auto"/>
              <w:ind w:left="59"/>
              <w:rPr>
                <w:rFonts w:ascii="FangSong_GB2312" w:hAnsi="FangSong_GB2312" w:eastAsia="FangSong_GB2312" w:cs="FangSong_GB2312"/>
              </w:rPr>
            </w:pPr>
            <w:r>
              <w:rPr>
                <w:rFonts w:ascii="FangSong_GB2312" w:hAnsi="FangSong_GB2312" w:eastAsia="FangSong_GB2312" w:cs="FangSong_GB2312"/>
                <w:spacing w:val="-3"/>
              </w:rPr>
              <w:t>单位</w:t>
            </w:r>
            <w:r>
              <w:rPr>
                <w:rFonts w:ascii="FangSong_GB2312" w:hAnsi="FangSong_GB2312" w:eastAsia="FangSong_GB2312" w:cs="FangSong_GB2312"/>
                <w:spacing w:val="-34"/>
              </w:rPr>
              <w:t xml:space="preserve"> </w:t>
            </w:r>
            <w:r>
              <w:rPr>
                <w:spacing w:val="-3"/>
              </w:rPr>
              <w:t>GDP</w:t>
            </w:r>
            <w:r>
              <w:rPr>
                <w:spacing w:val="-32"/>
              </w:rPr>
              <w:t xml:space="preserve"> </w:t>
            </w:r>
            <w:r>
              <w:rPr>
                <w:rFonts w:ascii="FangSong_GB2312" w:hAnsi="FangSong_GB2312" w:eastAsia="FangSong_GB2312" w:cs="FangSong_GB2312"/>
                <w:spacing w:val="-3"/>
              </w:rPr>
              <w:t>二氧化碳排放降低（</w:t>
            </w:r>
            <w:r>
              <w:rPr>
                <w:spacing w:val="-3"/>
              </w:rPr>
              <w:t>%</w:t>
            </w:r>
            <w:r>
              <w:rPr>
                <w:rFonts w:ascii="FangSong_GB2312" w:hAnsi="FangSong_GB2312" w:eastAsia="FangSong_GB2312" w:cs="FangSong_GB2312"/>
                <w:spacing w:val="-3"/>
              </w:rPr>
              <w:t>）</w:t>
            </w:r>
          </w:p>
        </w:tc>
        <w:tc>
          <w:tcPr>
            <w:tcW w:w="2103" w:type="dxa"/>
            <w:vAlign w:val="top"/>
          </w:tcPr>
          <w:p w14:paraId="656181E4">
            <w:pPr>
              <w:pStyle w:val="6"/>
              <w:spacing w:before="72" w:line="226" w:lineRule="auto"/>
              <w:ind w:left="739"/>
            </w:pPr>
            <w:r>
              <w:rPr>
                <w:spacing w:val="-6"/>
              </w:rPr>
              <w:t>[22.01]</w:t>
            </w:r>
          </w:p>
        </w:tc>
        <w:tc>
          <w:tcPr>
            <w:tcW w:w="2224" w:type="dxa"/>
            <w:vAlign w:val="top"/>
          </w:tcPr>
          <w:p w14:paraId="1BF71773">
            <w:pPr>
              <w:spacing w:before="73" w:line="214" w:lineRule="auto"/>
              <w:ind w:left="518"/>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c>
          <w:tcPr>
            <w:tcW w:w="2148" w:type="dxa"/>
            <w:vAlign w:val="top"/>
          </w:tcPr>
          <w:p w14:paraId="08452A3F">
            <w:pPr>
              <w:spacing w:before="73" w:line="214" w:lineRule="auto"/>
              <w:ind w:left="47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r>
      <w:tr w14:paraId="0F769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023A77BE">
            <w:pPr>
              <w:pStyle w:val="6"/>
              <w:spacing w:before="72" w:line="241" w:lineRule="auto"/>
              <w:ind w:left="248"/>
            </w:pPr>
            <w:r>
              <w:t>7</w:t>
            </w:r>
          </w:p>
        </w:tc>
        <w:tc>
          <w:tcPr>
            <w:tcW w:w="1000" w:type="dxa"/>
            <w:vMerge w:val="continue"/>
            <w:tcBorders>
              <w:top w:val="nil"/>
            </w:tcBorders>
            <w:vAlign w:val="top"/>
          </w:tcPr>
          <w:p w14:paraId="6066FBBD">
            <w:pPr>
              <w:rPr>
                <w:rFonts w:ascii="Arial"/>
                <w:sz w:val="21"/>
              </w:rPr>
            </w:pPr>
          </w:p>
        </w:tc>
        <w:tc>
          <w:tcPr>
            <w:tcW w:w="4697" w:type="dxa"/>
            <w:gridSpan w:val="2"/>
            <w:vAlign w:val="top"/>
          </w:tcPr>
          <w:p w14:paraId="74534D60">
            <w:pPr>
              <w:pStyle w:val="6"/>
              <w:spacing w:before="73" w:line="216" w:lineRule="auto"/>
              <w:ind w:left="65"/>
              <w:rPr>
                <w:rFonts w:ascii="FangSong_GB2312" w:hAnsi="FangSong_GB2312" w:eastAsia="FangSong_GB2312" w:cs="FangSong_GB2312"/>
              </w:rPr>
            </w:pPr>
            <w:r>
              <w:rPr>
                <w:rFonts w:ascii="FangSong_GB2312" w:hAnsi="FangSong_GB2312" w:eastAsia="FangSong_GB2312" w:cs="FangSong_GB2312"/>
                <w:spacing w:val="-1"/>
              </w:rPr>
              <w:t>非化石能源消费占一次能源消费比重（</w:t>
            </w:r>
            <w:r>
              <w:rPr>
                <w:spacing w:val="-1"/>
              </w:rPr>
              <w:t>%</w:t>
            </w:r>
            <w:r>
              <w:rPr>
                <w:rFonts w:ascii="FangSong_GB2312" w:hAnsi="FangSong_GB2312" w:eastAsia="FangSong_GB2312" w:cs="FangSong_GB2312"/>
                <w:spacing w:val="-1"/>
              </w:rPr>
              <w:t>）</w:t>
            </w:r>
          </w:p>
        </w:tc>
        <w:tc>
          <w:tcPr>
            <w:tcW w:w="2103" w:type="dxa"/>
            <w:vAlign w:val="top"/>
          </w:tcPr>
          <w:p w14:paraId="075AC2CD">
            <w:pPr>
              <w:pStyle w:val="6"/>
              <w:spacing w:before="73"/>
              <w:ind w:left="810"/>
            </w:pPr>
            <w:r>
              <w:rPr>
                <w:spacing w:val="-2"/>
              </w:rPr>
              <w:t>24.46</w:t>
            </w:r>
          </w:p>
        </w:tc>
        <w:tc>
          <w:tcPr>
            <w:tcW w:w="2224" w:type="dxa"/>
            <w:vAlign w:val="top"/>
          </w:tcPr>
          <w:p w14:paraId="1A892775">
            <w:pPr>
              <w:spacing w:before="74" w:line="214" w:lineRule="auto"/>
              <w:ind w:left="518"/>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c>
          <w:tcPr>
            <w:tcW w:w="2148" w:type="dxa"/>
            <w:vAlign w:val="top"/>
          </w:tcPr>
          <w:p w14:paraId="5DC21319">
            <w:pPr>
              <w:spacing w:before="74" w:line="214" w:lineRule="auto"/>
              <w:ind w:left="47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按省下达目标</w:t>
            </w:r>
          </w:p>
        </w:tc>
      </w:tr>
      <w:tr w14:paraId="48900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2F2C0AC6">
            <w:pPr>
              <w:pStyle w:val="6"/>
              <w:spacing w:before="73" w:line="241" w:lineRule="auto"/>
              <w:ind w:left="244"/>
            </w:pPr>
            <w:r>
              <w:t>8</w:t>
            </w:r>
          </w:p>
        </w:tc>
        <w:tc>
          <w:tcPr>
            <w:tcW w:w="1000" w:type="dxa"/>
            <w:vMerge w:val="restart"/>
            <w:tcBorders>
              <w:bottom w:val="nil"/>
            </w:tcBorders>
            <w:vAlign w:val="top"/>
          </w:tcPr>
          <w:p w14:paraId="64B9B190">
            <w:pPr>
              <w:spacing w:line="314" w:lineRule="auto"/>
              <w:rPr>
                <w:rFonts w:ascii="Arial"/>
                <w:sz w:val="21"/>
              </w:rPr>
            </w:pPr>
          </w:p>
          <w:p w14:paraId="7862B957">
            <w:pPr>
              <w:spacing w:line="314" w:lineRule="auto"/>
              <w:rPr>
                <w:rFonts w:ascii="Arial"/>
                <w:sz w:val="21"/>
              </w:rPr>
            </w:pPr>
          </w:p>
          <w:p w14:paraId="6F756334">
            <w:pPr>
              <w:spacing w:line="315" w:lineRule="auto"/>
              <w:rPr>
                <w:rFonts w:ascii="Arial"/>
                <w:sz w:val="21"/>
              </w:rPr>
            </w:pPr>
          </w:p>
          <w:p w14:paraId="3AA4DA50">
            <w:pPr>
              <w:spacing w:before="65" w:line="216" w:lineRule="auto"/>
              <w:ind w:left="138"/>
              <w:rPr>
                <w:rFonts w:ascii="FangSong_GB2312" w:hAnsi="FangSong_GB2312" w:eastAsia="FangSong_GB2312" w:cs="FangSong_GB2312"/>
                <w:sz w:val="20"/>
                <w:szCs w:val="20"/>
              </w:rPr>
            </w:pPr>
            <w:r>
              <w:rPr>
                <w:rFonts w:ascii="FangSong_GB2312" w:hAnsi="FangSong_GB2312" w:eastAsia="FangSong_GB2312" w:cs="FangSong_GB2312"/>
                <w:spacing w:val="-8"/>
                <w:sz w:val="20"/>
                <w:szCs w:val="20"/>
              </w:rPr>
              <w:t>自然生态</w:t>
            </w:r>
          </w:p>
        </w:tc>
        <w:tc>
          <w:tcPr>
            <w:tcW w:w="4697" w:type="dxa"/>
            <w:gridSpan w:val="2"/>
            <w:vAlign w:val="top"/>
          </w:tcPr>
          <w:p w14:paraId="40B5C3A9">
            <w:pPr>
              <w:pStyle w:val="6"/>
              <w:spacing w:before="74" w:line="215" w:lineRule="auto"/>
              <w:ind w:left="66"/>
              <w:rPr>
                <w:rFonts w:ascii="FangSong_GB2312" w:hAnsi="FangSong_GB2312" w:eastAsia="FangSong_GB2312" w:cs="FangSong_GB2312"/>
              </w:rPr>
            </w:pPr>
            <w:r>
              <w:rPr>
                <w:rFonts w:ascii="FangSong_GB2312" w:hAnsi="FangSong_GB2312" w:eastAsia="FangSong_GB2312" w:cs="FangSong_GB2312"/>
                <w:spacing w:val="-2"/>
              </w:rPr>
              <w:t>生态质量指数（</w:t>
            </w:r>
            <w:r>
              <w:rPr>
                <w:spacing w:val="-2"/>
              </w:rPr>
              <w:t>EQI</w:t>
            </w:r>
            <w:r>
              <w:rPr>
                <w:rFonts w:ascii="FangSong_GB2312" w:hAnsi="FangSong_GB2312" w:eastAsia="FangSong_GB2312" w:cs="FangSong_GB2312"/>
                <w:spacing w:val="-2"/>
              </w:rPr>
              <w:t>）</w:t>
            </w:r>
          </w:p>
        </w:tc>
        <w:tc>
          <w:tcPr>
            <w:tcW w:w="2103" w:type="dxa"/>
            <w:vAlign w:val="top"/>
          </w:tcPr>
          <w:p w14:paraId="680EDD66">
            <w:pPr>
              <w:pStyle w:val="6"/>
              <w:spacing w:before="73"/>
              <w:ind w:left="812"/>
            </w:pPr>
            <w:r>
              <w:rPr>
                <w:spacing w:val="-3"/>
              </w:rPr>
              <w:t>75.01</w:t>
            </w:r>
          </w:p>
        </w:tc>
        <w:tc>
          <w:tcPr>
            <w:tcW w:w="2224" w:type="dxa"/>
            <w:vAlign w:val="top"/>
          </w:tcPr>
          <w:p w14:paraId="518270DE">
            <w:pPr>
              <w:spacing w:before="74" w:line="218" w:lineRule="auto"/>
              <w:ind w:left="723"/>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巩固提升</w:t>
            </w:r>
          </w:p>
        </w:tc>
        <w:tc>
          <w:tcPr>
            <w:tcW w:w="2148" w:type="dxa"/>
            <w:vAlign w:val="top"/>
          </w:tcPr>
          <w:p w14:paraId="041F69BF">
            <w:pPr>
              <w:spacing w:before="74" w:line="218" w:lineRule="auto"/>
              <w:ind w:left="684"/>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巩固提升</w:t>
            </w:r>
          </w:p>
        </w:tc>
      </w:tr>
      <w:tr w14:paraId="08071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restart"/>
            <w:tcBorders>
              <w:bottom w:val="nil"/>
            </w:tcBorders>
            <w:vAlign w:val="top"/>
          </w:tcPr>
          <w:p w14:paraId="7DB52014">
            <w:pPr>
              <w:spacing w:line="247" w:lineRule="auto"/>
              <w:rPr>
                <w:rFonts w:ascii="Arial"/>
                <w:sz w:val="21"/>
              </w:rPr>
            </w:pPr>
          </w:p>
          <w:p w14:paraId="75EB4331">
            <w:pPr>
              <w:pStyle w:val="6"/>
              <w:spacing w:before="65" w:line="241" w:lineRule="auto"/>
              <w:ind w:left="244"/>
            </w:pPr>
            <w:r>
              <w:t>9</w:t>
            </w:r>
          </w:p>
        </w:tc>
        <w:tc>
          <w:tcPr>
            <w:tcW w:w="1000" w:type="dxa"/>
            <w:vMerge w:val="continue"/>
            <w:tcBorders>
              <w:top w:val="nil"/>
              <w:bottom w:val="nil"/>
            </w:tcBorders>
            <w:vAlign w:val="top"/>
          </w:tcPr>
          <w:p w14:paraId="036D2C22">
            <w:pPr>
              <w:rPr>
                <w:rFonts w:ascii="Arial"/>
                <w:sz w:val="21"/>
              </w:rPr>
            </w:pPr>
          </w:p>
        </w:tc>
        <w:tc>
          <w:tcPr>
            <w:tcW w:w="2460" w:type="dxa"/>
            <w:vMerge w:val="restart"/>
            <w:tcBorders>
              <w:bottom w:val="nil"/>
            </w:tcBorders>
            <w:vAlign w:val="top"/>
          </w:tcPr>
          <w:p w14:paraId="7BB3570B">
            <w:pPr>
              <w:spacing w:line="248" w:lineRule="auto"/>
              <w:rPr>
                <w:rFonts w:ascii="Arial"/>
                <w:sz w:val="21"/>
              </w:rPr>
            </w:pPr>
          </w:p>
          <w:p w14:paraId="6AC91570">
            <w:pPr>
              <w:spacing w:before="65" w:line="215" w:lineRule="auto"/>
              <w:ind w:left="52"/>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森林数量与质量</w:t>
            </w:r>
          </w:p>
        </w:tc>
        <w:tc>
          <w:tcPr>
            <w:tcW w:w="2237" w:type="dxa"/>
            <w:vAlign w:val="top"/>
          </w:tcPr>
          <w:p w14:paraId="4378DF42">
            <w:pPr>
              <w:pStyle w:val="6"/>
              <w:spacing w:before="73" w:line="216" w:lineRule="auto"/>
              <w:ind w:left="55"/>
              <w:rPr>
                <w:rFonts w:ascii="FangSong_GB2312" w:hAnsi="FangSong_GB2312" w:eastAsia="FangSong_GB2312" w:cs="FangSong_GB2312"/>
              </w:rPr>
            </w:pPr>
            <w:r>
              <w:rPr>
                <w:rFonts w:ascii="FangSong_GB2312" w:hAnsi="FangSong_GB2312" w:eastAsia="FangSong_GB2312" w:cs="FangSong_GB2312"/>
                <w:spacing w:val="-1"/>
              </w:rPr>
              <w:t>森林覆盖率（</w:t>
            </w:r>
            <w:r>
              <w:rPr>
                <w:spacing w:val="-1"/>
              </w:rPr>
              <w:t>%</w:t>
            </w:r>
            <w:r>
              <w:rPr>
                <w:rFonts w:ascii="FangSong_GB2312" w:hAnsi="FangSong_GB2312" w:eastAsia="FangSong_GB2312" w:cs="FangSong_GB2312"/>
                <w:spacing w:val="-1"/>
              </w:rPr>
              <w:t>）</w:t>
            </w:r>
          </w:p>
        </w:tc>
        <w:tc>
          <w:tcPr>
            <w:tcW w:w="2103" w:type="dxa"/>
            <w:vAlign w:val="top"/>
          </w:tcPr>
          <w:p w14:paraId="47F2AB99">
            <w:pPr>
              <w:pStyle w:val="6"/>
              <w:spacing w:before="74"/>
              <w:ind w:left="812"/>
            </w:pPr>
            <w:r>
              <w:rPr>
                <w:spacing w:val="-3"/>
              </w:rPr>
              <w:t>76.23</w:t>
            </w:r>
          </w:p>
        </w:tc>
        <w:tc>
          <w:tcPr>
            <w:tcW w:w="2224" w:type="dxa"/>
            <w:vAlign w:val="top"/>
          </w:tcPr>
          <w:p w14:paraId="417DF8B4">
            <w:pPr>
              <w:pStyle w:val="6"/>
              <w:spacing w:before="73" w:line="241" w:lineRule="auto"/>
              <w:ind w:left="960"/>
            </w:pPr>
            <w:r>
              <w:rPr>
                <w:rFonts w:ascii="FangSong_GB2312" w:hAnsi="FangSong_GB2312" w:eastAsia="FangSong_GB2312" w:cs="FangSong_GB2312"/>
                <w:spacing w:val="-17"/>
              </w:rPr>
              <w:t>≥</w:t>
            </w:r>
            <w:r>
              <w:rPr>
                <w:spacing w:val="-17"/>
              </w:rPr>
              <w:t>76</w:t>
            </w:r>
          </w:p>
        </w:tc>
        <w:tc>
          <w:tcPr>
            <w:tcW w:w="2148" w:type="dxa"/>
            <w:vAlign w:val="top"/>
          </w:tcPr>
          <w:p w14:paraId="63CD148D">
            <w:pPr>
              <w:spacing w:before="74" w:line="216" w:lineRule="auto"/>
              <w:ind w:left="6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r>
      <w:tr w14:paraId="1CEBE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7" w:type="dxa"/>
            <w:vMerge w:val="continue"/>
            <w:tcBorders>
              <w:top w:val="nil"/>
            </w:tcBorders>
            <w:vAlign w:val="top"/>
          </w:tcPr>
          <w:p w14:paraId="678CB09E">
            <w:pPr>
              <w:rPr>
                <w:rFonts w:ascii="Arial"/>
                <w:sz w:val="21"/>
              </w:rPr>
            </w:pPr>
          </w:p>
        </w:tc>
        <w:tc>
          <w:tcPr>
            <w:tcW w:w="1000" w:type="dxa"/>
            <w:vMerge w:val="continue"/>
            <w:tcBorders>
              <w:top w:val="nil"/>
              <w:bottom w:val="nil"/>
            </w:tcBorders>
            <w:vAlign w:val="top"/>
          </w:tcPr>
          <w:p w14:paraId="23074CBA">
            <w:pPr>
              <w:rPr>
                <w:rFonts w:ascii="Arial"/>
                <w:sz w:val="21"/>
              </w:rPr>
            </w:pPr>
          </w:p>
        </w:tc>
        <w:tc>
          <w:tcPr>
            <w:tcW w:w="2460" w:type="dxa"/>
            <w:vMerge w:val="continue"/>
            <w:tcBorders>
              <w:top w:val="nil"/>
            </w:tcBorders>
            <w:vAlign w:val="top"/>
          </w:tcPr>
          <w:p w14:paraId="0FE990A1">
            <w:pPr>
              <w:rPr>
                <w:rFonts w:ascii="Arial"/>
                <w:sz w:val="21"/>
              </w:rPr>
            </w:pPr>
          </w:p>
        </w:tc>
        <w:tc>
          <w:tcPr>
            <w:tcW w:w="2237" w:type="dxa"/>
            <w:vAlign w:val="top"/>
          </w:tcPr>
          <w:p w14:paraId="35E92101">
            <w:pPr>
              <w:spacing w:before="24" w:line="208" w:lineRule="auto"/>
              <w:ind w:left="62" w:right="45" w:firstLine="5"/>
              <w:rPr>
                <w:rFonts w:ascii="FangSong_GB2312" w:hAnsi="FangSong_GB2312" w:eastAsia="FangSong_GB2312" w:cs="FangSong_GB2312"/>
                <w:sz w:val="20"/>
                <w:szCs w:val="20"/>
              </w:rPr>
            </w:pPr>
            <w:r>
              <w:rPr>
                <w:rFonts w:ascii="FangSong_GB2312" w:hAnsi="FangSong_GB2312" w:eastAsia="FangSong_GB2312" w:cs="FangSong_GB2312"/>
                <w:spacing w:val="11"/>
                <w:sz w:val="20"/>
                <w:szCs w:val="20"/>
              </w:rPr>
              <w:t>活立木蓄积量（亿立方</w:t>
            </w:r>
            <w:r>
              <w:rPr>
                <w:rFonts w:ascii="FangSong_GB2312" w:hAnsi="FangSong_GB2312" w:eastAsia="FangSong_GB2312" w:cs="FangSong_GB2312"/>
                <w:spacing w:val="-4"/>
                <w:sz w:val="20"/>
                <w:szCs w:val="20"/>
              </w:rPr>
              <w:t>米）</w:t>
            </w:r>
          </w:p>
        </w:tc>
        <w:tc>
          <w:tcPr>
            <w:tcW w:w="2103" w:type="dxa"/>
            <w:vAlign w:val="top"/>
          </w:tcPr>
          <w:p w14:paraId="288DEEC0">
            <w:pPr>
              <w:pStyle w:val="6"/>
              <w:spacing w:before="144"/>
              <w:ind w:left="860"/>
            </w:pPr>
            <w:r>
              <w:rPr>
                <w:spacing w:val="-3"/>
              </w:rPr>
              <w:t>2.01</w:t>
            </w:r>
          </w:p>
        </w:tc>
        <w:tc>
          <w:tcPr>
            <w:tcW w:w="2224" w:type="dxa"/>
            <w:vAlign w:val="top"/>
          </w:tcPr>
          <w:p w14:paraId="04C27C7E">
            <w:pPr>
              <w:pStyle w:val="6"/>
              <w:spacing w:before="144"/>
              <w:ind w:left="860"/>
            </w:pPr>
            <w:r>
              <w:rPr>
                <w:rFonts w:ascii="FangSong_GB2312" w:hAnsi="FangSong_GB2312" w:eastAsia="FangSong_GB2312" w:cs="FangSong_GB2312"/>
                <w:spacing w:val="-11"/>
              </w:rPr>
              <w:t>≥</w:t>
            </w:r>
            <w:r>
              <w:rPr>
                <w:spacing w:val="-11"/>
              </w:rPr>
              <w:t>2.20</w:t>
            </w:r>
          </w:p>
        </w:tc>
        <w:tc>
          <w:tcPr>
            <w:tcW w:w="2148" w:type="dxa"/>
            <w:vAlign w:val="top"/>
          </w:tcPr>
          <w:p w14:paraId="1B9C6D8F">
            <w:pPr>
              <w:spacing w:before="144"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r>
      <w:tr w14:paraId="51AC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63EF6EC4">
            <w:pPr>
              <w:pStyle w:val="6"/>
              <w:spacing w:before="73" w:line="241" w:lineRule="auto"/>
              <w:ind w:left="208"/>
            </w:pPr>
            <w:r>
              <w:rPr>
                <w:spacing w:val="-6"/>
              </w:rPr>
              <w:t>10</w:t>
            </w:r>
          </w:p>
        </w:tc>
        <w:tc>
          <w:tcPr>
            <w:tcW w:w="1000" w:type="dxa"/>
            <w:vMerge w:val="continue"/>
            <w:tcBorders>
              <w:top w:val="nil"/>
              <w:bottom w:val="nil"/>
            </w:tcBorders>
            <w:vAlign w:val="top"/>
          </w:tcPr>
          <w:p w14:paraId="2FEBD242">
            <w:pPr>
              <w:rPr>
                <w:rFonts w:ascii="Arial"/>
                <w:sz w:val="21"/>
              </w:rPr>
            </w:pPr>
          </w:p>
        </w:tc>
        <w:tc>
          <w:tcPr>
            <w:tcW w:w="4697" w:type="dxa"/>
            <w:gridSpan w:val="2"/>
            <w:vAlign w:val="top"/>
          </w:tcPr>
          <w:p w14:paraId="254EAB11">
            <w:pPr>
              <w:pStyle w:val="6"/>
              <w:spacing w:before="73" w:line="216" w:lineRule="auto"/>
              <w:ind w:left="65"/>
              <w:rPr>
                <w:rFonts w:ascii="FangSong_GB2312" w:hAnsi="FangSong_GB2312" w:eastAsia="FangSong_GB2312" w:cs="FangSong_GB2312"/>
              </w:rPr>
            </w:pPr>
            <w:r>
              <w:rPr>
                <w:rFonts w:ascii="FangSong_GB2312" w:hAnsi="FangSong_GB2312" w:eastAsia="FangSong_GB2312" w:cs="FangSong_GB2312"/>
                <w:spacing w:val="-3"/>
              </w:rPr>
              <w:t>湿地保护率（</w:t>
            </w:r>
            <w:r>
              <w:rPr>
                <w:spacing w:val="-3"/>
              </w:rPr>
              <w:t>%</w:t>
            </w:r>
            <w:r>
              <w:rPr>
                <w:rFonts w:ascii="FangSong_GB2312" w:hAnsi="FangSong_GB2312" w:eastAsia="FangSong_GB2312" w:cs="FangSong_GB2312"/>
                <w:spacing w:val="-3"/>
              </w:rPr>
              <w:t>）</w:t>
            </w:r>
          </w:p>
        </w:tc>
        <w:tc>
          <w:tcPr>
            <w:tcW w:w="2103" w:type="dxa"/>
            <w:vAlign w:val="top"/>
          </w:tcPr>
          <w:p w14:paraId="77EED75F">
            <w:pPr>
              <w:pStyle w:val="6"/>
              <w:spacing w:before="74"/>
              <w:ind w:left="809"/>
            </w:pPr>
            <w:r>
              <w:rPr>
                <w:spacing w:val="-2"/>
              </w:rPr>
              <w:t>65.37</w:t>
            </w:r>
          </w:p>
        </w:tc>
        <w:tc>
          <w:tcPr>
            <w:tcW w:w="2224" w:type="dxa"/>
            <w:vAlign w:val="top"/>
          </w:tcPr>
          <w:p w14:paraId="51C64C29">
            <w:pPr>
              <w:spacing w:before="78" w:line="224" w:lineRule="auto"/>
              <w:ind w:left="497"/>
              <w:rPr>
                <w:rFonts w:ascii="FangSong_GB2312" w:hAnsi="FangSong_GB2312" w:eastAsia="FangSong_GB2312" w:cs="FangSong_GB2312"/>
                <w:sz w:val="18"/>
                <w:szCs w:val="18"/>
              </w:rPr>
            </w:pPr>
            <w:r>
              <w:rPr>
                <w:rFonts w:ascii="FangSong_GB2312" w:hAnsi="FangSong_GB2312" w:eastAsia="FangSong_GB2312" w:cs="FangSong_GB2312"/>
                <w:spacing w:val="22"/>
                <w:sz w:val="18"/>
                <w:szCs w:val="18"/>
              </w:rPr>
              <w:t>按省下达目标</w:t>
            </w:r>
          </w:p>
        </w:tc>
        <w:tc>
          <w:tcPr>
            <w:tcW w:w="2148" w:type="dxa"/>
            <w:vAlign w:val="top"/>
          </w:tcPr>
          <w:p w14:paraId="1E110864">
            <w:pPr>
              <w:spacing w:before="74" w:line="216" w:lineRule="auto"/>
              <w:ind w:left="6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r>
      <w:tr w14:paraId="64D90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6652CB9C">
            <w:pPr>
              <w:pStyle w:val="6"/>
              <w:spacing w:before="73"/>
              <w:ind w:left="208"/>
            </w:pPr>
            <w:r>
              <w:rPr>
                <w:spacing w:val="-6"/>
              </w:rPr>
              <w:t>11</w:t>
            </w:r>
          </w:p>
        </w:tc>
        <w:tc>
          <w:tcPr>
            <w:tcW w:w="1000" w:type="dxa"/>
            <w:vMerge w:val="continue"/>
            <w:tcBorders>
              <w:top w:val="nil"/>
              <w:bottom w:val="nil"/>
            </w:tcBorders>
            <w:vAlign w:val="top"/>
          </w:tcPr>
          <w:p w14:paraId="48EF3F3B">
            <w:pPr>
              <w:rPr>
                <w:rFonts w:ascii="Arial"/>
                <w:sz w:val="21"/>
              </w:rPr>
            </w:pPr>
          </w:p>
        </w:tc>
        <w:tc>
          <w:tcPr>
            <w:tcW w:w="4697" w:type="dxa"/>
            <w:gridSpan w:val="2"/>
            <w:vAlign w:val="top"/>
          </w:tcPr>
          <w:p w14:paraId="7D25F6C4">
            <w:pPr>
              <w:pStyle w:val="6"/>
              <w:spacing w:before="74" w:line="216" w:lineRule="auto"/>
              <w:ind w:left="53"/>
              <w:rPr>
                <w:rFonts w:ascii="FangSong_GB2312" w:hAnsi="FangSong_GB2312" w:eastAsia="FangSong_GB2312" w:cs="FangSong_GB2312"/>
              </w:rPr>
            </w:pPr>
            <w:r>
              <w:rPr>
                <w:rFonts w:ascii="FangSong_GB2312" w:hAnsi="FangSong_GB2312" w:eastAsia="FangSong_GB2312" w:cs="FangSong_GB2312"/>
                <w:spacing w:val="-1"/>
              </w:rPr>
              <w:t>水土保持率（</w:t>
            </w:r>
            <w:r>
              <w:rPr>
                <w:spacing w:val="-1"/>
              </w:rPr>
              <w:t>%</w:t>
            </w:r>
            <w:r>
              <w:rPr>
                <w:rFonts w:ascii="FangSong_GB2312" w:hAnsi="FangSong_GB2312" w:eastAsia="FangSong_GB2312" w:cs="FangSong_GB2312"/>
                <w:spacing w:val="-1"/>
              </w:rPr>
              <w:t>）</w:t>
            </w:r>
          </w:p>
        </w:tc>
        <w:tc>
          <w:tcPr>
            <w:tcW w:w="2103" w:type="dxa"/>
            <w:vAlign w:val="top"/>
          </w:tcPr>
          <w:p w14:paraId="5F082B6C">
            <w:pPr>
              <w:pStyle w:val="6"/>
              <w:spacing w:before="73"/>
              <w:ind w:left="808"/>
            </w:pPr>
            <w:r>
              <w:rPr>
                <w:spacing w:val="-2"/>
              </w:rPr>
              <w:t>82.35</w:t>
            </w:r>
          </w:p>
        </w:tc>
        <w:tc>
          <w:tcPr>
            <w:tcW w:w="2224" w:type="dxa"/>
            <w:vAlign w:val="top"/>
          </w:tcPr>
          <w:p w14:paraId="451C9CB9">
            <w:pPr>
              <w:pStyle w:val="6"/>
              <w:spacing w:before="73"/>
              <w:ind w:left="867"/>
            </w:pPr>
            <w:r>
              <w:rPr>
                <w:spacing w:val="-2"/>
              </w:rPr>
              <w:t>83.40</w:t>
            </w:r>
          </w:p>
        </w:tc>
        <w:tc>
          <w:tcPr>
            <w:tcW w:w="2148" w:type="dxa"/>
            <w:vAlign w:val="top"/>
          </w:tcPr>
          <w:p w14:paraId="55582144">
            <w:pPr>
              <w:pStyle w:val="6"/>
              <w:spacing w:before="73"/>
              <w:ind w:left="829"/>
            </w:pPr>
            <w:r>
              <w:rPr>
                <w:spacing w:val="-2"/>
              </w:rPr>
              <w:t>85.33</w:t>
            </w:r>
          </w:p>
        </w:tc>
      </w:tr>
      <w:tr w14:paraId="664B9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48B2D823">
            <w:pPr>
              <w:pStyle w:val="6"/>
              <w:spacing w:before="75"/>
              <w:ind w:left="208"/>
            </w:pPr>
            <w:r>
              <w:rPr>
                <w:spacing w:val="-6"/>
              </w:rPr>
              <w:t>12</w:t>
            </w:r>
          </w:p>
        </w:tc>
        <w:tc>
          <w:tcPr>
            <w:tcW w:w="1000" w:type="dxa"/>
            <w:vMerge w:val="continue"/>
            <w:tcBorders>
              <w:top w:val="nil"/>
            </w:tcBorders>
            <w:vAlign w:val="top"/>
          </w:tcPr>
          <w:p w14:paraId="2279DD87">
            <w:pPr>
              <w:rPr>
                <w:rFonts w:ascii="Arial"/>
                <w:sz w:val="21"/>
              </w:rPr>
            </w:pPr>
          </w:p>
        </w:tc>
        <w:tc>
          <w:tcPr>
            <w:tcW w:w="4697" w:type="dxa"/>
            <w:gridSpan w:val="2"/>
            <w:vAlign w:val="top"/>
          </w:tcPr>
          <w:p w14:paraId="5D5F7C7A">
            <w:pPr>
              <w:pStyle w:val="6"/>
              <w:spacing w:before="74" w:line="216" w:lineRule="auto"/>
              <w:ind w:left="71"/>
              <w:rPr>
                <w:rFonts w:ascii="FangSong_GB2312" w:hAnsi="FangSong_GB2312" w:eastAsia="FangSong_GB2312" w:cs="FangSong_GB2312"/>
              </w:rPr>
            </w:pPr>
            <w:r>
              <w:rPr>
                <w:rFonts w:ascii="FangSong_GB2312" w:hAnsi="FangSong_GB2312" w:eastAsia="FangSong_GB2312" w:cs="FangSong_GB2312"/>
                <w:spacing w:val="-2"/>
              </w:rPr>
              <w:t>国家重点保护野生动植物保护率（</w:t>
            </w:r>
            <w:r>
              <w:rPr>
                <w:spacing w:val="-2"/>
              </w:rPr>
              <w:t>%</w:t>
            </w:r>
            <w:r>
              <w:rPr>
                <w:rFonts w:ascii="FangSong_GB2312" w:hAnsi="FangSong_GB2312" w:eastAsia="FangSong_GB2312" w:cs="FangSong_GB2312"/>
                <w:spacing w:val="-2"/>
              </w:rPr>
              <w:t>）</w:t>
            </w:r>
          </w:p>
        </w:tc>
        <w:tc>
          <w:tcPr>
            <w:tcW w:w="2103" w:type="dxa"/>
            <w:vAlign w:val="top"/>
          </w:tcPr>
          <w:p w14:paraId="19528584">
            <w:pPr>
              <w:pStyle w:val="6"/>
              <w:spacing w:before="75"/>
              <w:ind w:left="901"/>
            </w:pPr>
            <w:r>
              <w:rPr>
                <w:rFonts w:ascii="FangSong_GB2312" w:hAnsi="FangSong_GB2312" w:eastAsia="FangSong_GB2312" w:cs="FangSong_GB2312"/>
                <w:spacing w:val="-17"/>
              </w:rPr>
              <w:t>≥</w:t>
            </w:r>
            <w:r>
              <w:rPr>
                <w:spacing w:val="-17"/>
              </w:rPr>
              <w:t>95</w:t>
            </w:r>
          </w:p>
        </w:tc>
        <w:tc>
          <w:tcPr>
            <w:tcW w:w="2224" w:type="dxa"/>
            <w:vAlign w:val="top"/>
          </w:tcPr>
          <w:p w14:paraId="7FB86382">
            <w:pPr>
              <w:pStyle w:val="6"/>
              <w:spacing w:before="75"/>
              <w:ind w:left="960"/>
            </w:pPr>
            <w:r>
              <w:rPr>
                <w:rFonts w:ascii="FangSong_GB2312" w:hAnsi="FangSong_GB2312" w:eastAsia="FangSong_GB2312" w:cs="FangSong_GB2312"/>
                <w:spacing w:val="-17"/>
              </w:rPr>
              <w:t>≥</w:t>
            </w:r>
            <w:r>
              <w:rPr>
                <w:spacing w:val="-17"/>
              </w:rPr>
              <w:t>95</w:t>
            </w:r>
          </w:p>
        </w:tc>
        <w:tc>
          <w:tcPr>
            <w:tcW w:w="2148" w:type="dxa"/>
            <w:vAlign w:val="top"/>
          </w:tcPr>
          <w:p w14:paraId="5A4E2492">
            <w:pPr>
              <w:pStyle w:val="6"/>
              <w:spacing w:before="75"/>
              <w:ind w:left="921"/>
            </w:pPr>
            <w:r>
              <w:rPr>
                <w:rFonts w:ascii="FangSong_GB2312" w:hAnsi="FangSong_GB2312" w:eastAsia="FangSong_GB2312" w:cs="FangSong_GB2312"/>
                <w:spacing w:val="-17"/>
              </w:rPr>
              <w:t>≥</w:t>
            </w:r>
            <w:r>
              <w:rPr>
                <w:spacing w:val="-17"/>
              </w:rPr>
              <w:t>95</w:t>
            </w:r>
          </w:p>
        </w:tc>
      </w:tr>
      <w:tr w14:paraId="29E9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restart"/>
            <w:tcBorders>
              <w:bottom w:val="nil"/>
            </w:tcBorders>
            <w:vAlign w:val="top"/>
          </w:tcPr>
          <w:p w14:paraId="56A71131">
            <w:pPr>
              <w:pStyle w:val="6"/>
              <w:spacing w:before="244" w:line="241" w:lineRule="auto"/>
              <w:ind w:left="208"/>
            </w:pPr>
            <w:r>
              <w:rPr>
                <w:spacing w:val="-6"/>
              </w:rPr>
              <w:t>13</w:t>
            </w:r>
          </w:p>
        </w:tc>
        <w:tc>
          <w:tcPr>
            <w:tcW w:w="1000" w:type="dxa"/>
            <w:vMerge w:val="restart"/>
            <w:tcBorders>
              <w:bottom w:val="nil"/>
            </w:tcBorders>
            <w:vAlign w:val="top"/>
          </w:tcPr>
          <w:p w14:paraId="0D127F0A">
            <w:pPr>
              <w:spacing w:line="291" w:lineRule="auto"/>
              <w:rPr>
                <w:rFonts w:ascii="Arial"/>
                <w:sz w:val="21"/>
              </w:rPr>
            </w:pPr>
          </w:p>
          <w:p w14:paraId="5849FB17">
            <w:pPr>
              <w:spacing w:line="291" w:lineRule="auto"/>
              <w:rPr>
                <w:rFonts w:ascii="Arial"/>
                <w:sz w:val="21"/>
              </w:rPr>
            </w:pPr>
          </w:p>
          <w:p w14:paraId="6F330A64">
            <w:pPr>
              <w:spacing w:line="291" w:lineRule="auto"/>
              <w:rPr>
                <w:rFonts w:ascii="Arial"/>
                <w:sz w:val="21"/>
              </w:rPr>
            </w:pPr>
          </w:p>
          <w:p w14:paraId="40696AEE">
            <w:pPr>
              <w:spacing w:before="65" w:line="214"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美丽环境</w:t>
            </w:r>
          </w:p>
        </w:tc>
        <w:tc>
          <w:tcPr>
            <w:tcW w:w="2460" w:type="dxa"/>
            <w:vMerge w:val="restart"/>
            <w:tcBorders>
              <w:bottom w:val="nil"/>
            </w:tcBorders>
            <w:vAlign w:val="top"/>
          </w:tcPr>
          <w:p w14:paraId="001D0BAF">
            <w:pPr>
              <w:pStyle w:val="6"/>
              <w:spacing w:before="244" w:line="215" w:lineRule="auto"/>
              <w:ind w:left="51"/>
              <w:rPr>
                <w:rFonts w:ascii="FangSong_GB2312" w:hAnsi="FangSong_GB2312" w:eastAsia="FangSong_GB2312" w:cs="FangSong_GB2312"/>
              </w:rPr>
            </w:pPr>
            <w:r>
              <w:t>PM</w:t>
            </w:r>
            <w:r>
              <w:rPr>
                <w:spacing w:val="7"/>
                <w:sz w:val="9"/>
                <w:szCs w:val="9"/>
              </w:rPr>
              <w:t xml:space="preserve">2.5 </w:t>
            </w:r>
            <w:r>
              <w:rPr>
                <w:rFonts w:ascii="FangSong_GB2312" w:hAnsi="FangSong_GB2312" w:eastAsia="FangSong_GB2312" w:cs="FangSong_GB2312"/>
                <w:spacing w:val="7"/>
              </w:rPr>
              <w:t>浓度(μ</w:t>
            </w:r>
            <w:r>
              <w:rPr>
                <w:spacing w:val="7"/>
              </w:rPr>
              <w:t>g/m</w:t>
            </w:r>
            <w:r>
              <w:rPr>
                <w:spacing w:val="105"/>
              </w:rPr>
              <w:t xml:space="preserve"> </w:t>
            </w:r>
            <w:r>
              <w:rPr>
                <w:rFonts w:ascii="FangSong_GB2312" w:hAnsi="FangSong_GB2312" w:eastAsia="FangSong_GB2312" w:cs="FangSong_GB2312"/>
                <w:spacing w:val="7"/>
              </w:rPr>
              <w:t>）</w:t>
            </w:r>
          </w:p>
        </w:tc>
        <w:tc>
          <w:tcPr>
            <w:tcW w:w="2237" w:type="dxa"/>
            <w:vAlign w:val="top"/>
          </w:tcPr>
          <w:p w14:paraId="4B382130">
            <w:pPr>
              <w:spacing w:before="75" w:line="214" w:lineRule="auto"/>
              <w:ind w:left="8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中心城区</w:t>
            </w:r>
          </w:p>
        </w:tc>
        <w:tc>
          <w:tcPr>
            <w:tcW w:w="2103" w:type="dxa"/>
            <w:vAlign w:val="top"/>
          </w:tcPr>
          <w:p w14:paraId="2847AB66">
            <w:pPr>
              <w:pStyle w:val="6"/>
              <w:spacing w:before="75"/>
              <w:ind w:left="862"/>
            </w:pPr>
            <w:r>
              <w:rPr>
                <w:spacing w:val="-3"/>
              </w:rPr>
              <w:t>30.3</w:t>
            </w:r>
          </w:p>
        </w:tc>
        <w:tc>
          <w:tcPr>
            <w:tcW w:w="2224" w:type="dxa"/>
            <w:vAlign w:val="top"/>
          </w:tcPr>
          <w:p w14:paraId="08A857FD">
            <w:pPr>
              <w:pStyle w:val="6"/>
              <w:spacing w:before="75"/>
              <w:ind w:left="919"/>
            </w:pPr>
            <w:r>
              <w:rPr>
                <w:spacing w:val="-3"/>
              </w:rPr>
              <w:t>25.5</w:t>
            </w:r>
          </w:p>
        </w:tc>
        <w:tc>
          <w:tcPr>
            <w:tcW w:w="2148" w:type="dxa"/>
            <w:vAlign w:val="top"/>
          </w:tcPr>
          <w:p w14:paraId="3BE90617">
            <w:pPr>
              <w:spacing w:before="75"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4677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Merge w:val="continue"/>
            <w:tcBorders>
              <w:top w:val="nil"/>
            </w:tcBorders>
            <w:vAlign w:val="top"/>
          </w:tcPr>
          <w:p w14:paraId="0D31D875">
            <w:pPr>
              <w:rPr>
                <w:rFonts w:ascii="Arial"/>
                <w:sz w:val="21"/>
              </w:rPr>
            </w:pPr>
          </w:p>
        </w:tc>
        <w:tc>
          <w:tcPr>
            <w:tcW w:w="1000" w:type="dxa"/>
            <w:vMerge w:val="continue"/>
            <w:tcBorders>
              <w:top w:val="nil"/>
              <w:bottom w:val="nil"/>
            </w:tcBorders>
            <w:vAlign w:val="top"/>
          </w:tcPr>
          <w:p w14:paraId="78DD46F3">
            <w:pPr>
              <w:rPr>
                <w:rFonts w:ascii="Arial"/>
                <w:sz w:val="21"/>
              </w:rPr>
            </w:pPr>
          </w:p>
        </w:tc>
        <w:tc>
          <w:tcPr>
            <w:tcW w:w="2460" w:type="dxa"/>
            <w:vMerge w:val="continue"/>
            <w:tcBorders>
              <w:top w:val="nil"/>
            </w:tcBorders>
            <w:vAlign w:val="top"/>
          </w:tcPr>
          <w:p w14:paraId="18EC4411">
            <w:pPr>
              <w:rPr>
                <w:rFonts w:ascii="Arial"/>
                <w:sz w:val="21"/>
              </w:rPr>
            </w:pPr>
          </w:p>
        </w:tc>
        <w:tc>
          <w:tcPr>
            <w:tcW w:w="2237" w:type="dxa"/>
            <w:vAlign w:val="top"/>
          </w:tcPr>
          <w:p w14:paraId="050F64C0">
            <w:pPr>
              <w:spacing w:before="76" w:line="216" w:lineRule="auto"/>
              <w:ind w:left="58"/>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县级及以上城市</w:t>
            </w:r>
          </w:p>
        </w:tc>
        <w:tc>
          <w:tcPr>
            <w:tcW w:w="2103" w:type="dxa"/>
            <w:vAlign w:val="top"/>
          </w:tcPr>
          <w:p w14:paraId="15D7C201">
            <w:pPr>
              <w:pStyle w:val="6"/>
              <w:spacing w:before="75" w:line="239" w:lineRule="auto"/>
              <w:ind w:left="860"/>
            </w:pPr>
            <w:r>
              <w:rPr>
                <w:spacing w:val="-3"/>
              </w:rPr>
              <w:t>22.4</w:t>
            </w:r>
          </w:p>
        </w:tc>
        <w:tc>
          <w:tcPr>
            <w:tcW w:w="2224" w:type="dxa"/>
            <w:vAlign w:val="top"/>
          </w:tcPr>
          <w:p w14:paraId="48940307">
            <w:pPr>
              <w:pStyle w:val="6"/>
              <w:spacing w:before="75" w:line="239" w:lineRule="auto"/>
              <w:ind w:left="932"/>
            </w:pPr>
            <w:r>
              <w:rPr>
                <w:spacing w:val="-6"/>
              </w:rPr>
              <w:t>19.9</w:t>
            </w:r>
          </w:p>
        </w:tc>
        <w:tc>
          <w:tcPr>
            <w:tcW w:w="2148" w:type="dxa"/>
            <w:vAlign w:val="top"/>
          </w:tcPr>
          <w:p w14:paraId="6C3C2994">
            <w:pPr>
              <w:spacing w:before="76"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2040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restart"/>
            <w:tcBorders>
              <w:bottom w:val="nil"/>
            </w:tcBorders>
            <w:vAlign w:val="top"/>
          </w:tcPr>
          <w:p w14:paraId="5C9F3D4E">
            <w:pPr>
              <w:pStyle w:val="6"/>
              <w:spacing w:before="245" w:line="242" w:lineRule="auto"/>
              <w:ind w:left="208"/>
            </w:pPr>
            <w:r>
              <w:rPr>
                <w:spacing w:val="-6"/>
              </w:rPr>
              <w:t>14</w:t>
            </w:r>
          </w:p>
        </w:tc>
        <w:tc>
          <w:tcPr>
            <w:tcW w:w="1000" w:type="dxa"/>
            <w:vMerge w:val="continue"/>
            <w:tcBorders>
              <w:top w:val="nil"/>
              <w:bottom w:val="nil"/>
            </w:tcBorders>
            <w:vAlign w:val="top"/>
          </w:tcPr>
          <w:p w14:paraId="34C5558A">
            <w:pPr>
              <w:rPr>
                <w:rFonts w:ascii="Arial"/>
                <w:sz w:val="21"/>
              </w:rPr>
            </w:pPr>
          </w:p>
        </w:tc>
        <w:tc>
          <w:tcPr>
            <w:tcW w:w="2460" w:type="dxa"/>
            <w:vMerge w:val="restart"/>
            <w:tcBorders>
              <w:bottom w:val="nil"/>
            </w:tcBorders>
            <w:vAlign w:val="top"/>
          </w:tcPr>
          <w:p w14:paraId="65FC9559">
            <w:pPr>
              <w:pStyle w:val="6"/>
              <w:spacing w:before="244" w:line="216" w:lineRule="auto"/>
              <w:jc w:val="right"/>
              <w:rPr>
                <w:rFonts w:ascii="FangSong_GB2312" w:hAnsi="FangSong_GB2312" w:eastAsia="FangSong_GB2312" w:cs="FangSong_GB2312"/>
              </w:rPr>
            </w:pPr>
            <w:r>
              <w:rPr>
                <w:rFonts w:ascii="FangSong_GB2312" w:hAnsi="FangSong_GB2312" w:eastAsia="FangSong_GB2312" w:cs="FangSong_GB2312"/>
                <w:spacing w:val="-9"/>
              </w:rPr>
              <w:t>空气质量优良天数比率（</w:t>
            </w:r>
            <w:r>
              <w:rPr>
                <w:spacing w:val="-9"/>
              </w:rPr>
              <w:t>%</w:t>
            </w:r>
            <w:r>
              <w:rPr>
                <w:rFonts w:ascii="FangSong_GB2312" w:hAnsi="FangSong_GB2312" w:eastAsia="FangSong_GB2312" w:cs="FangSong_GB2312"/>
                <w:spacing w:val="-9"/>
              </w:rPr>
              <w:t>）</w:t>
            </w:r>
          </w:p>
        </w:tc>
        <w:tc>
          <w:tcPr>
            <w:tcW w:w="2237" w:type="dxa"/>
            <w:vAlign w:val="top"/>
          </w:tcPr>
          <w:p w14:paraId="3957D80C">
            <w:pPr>
              <w:spacing w:before="76" w:line="214" w:lineRule="auto"/>
              <w:ind w:left="8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中心城区</w:t>
            </w:r>
          </w:p>
        </w:tc>
        <w:tc>
          <w:tcPr>
            <w:tcW w:w="2103" w:type="dxa"/>
            <w:vAlign w:val="top"/>
          </w:tcPr>
          <w:p w14:paraId="67183367">
            <w:pPr>
              <w:pStyle w:val="6"/>
              <w:spacing w:before="76" w:line="239" w:lineRule="auto"/>
              <w:ind w:left="858"/>
            </w:pPr>
            <w:r>
              <w:rPr>
                <w:spacing w:val="-3"/>
              </w:rPr>
              <w:t>93.3</w:t>
            </w:r>
          </w:p>
        </w:tc>
        <w:tc>
          <w:tcPr>
            <w:tcW w:w="2224" w:type="dxa"/>
            <w:vAlign w:val="top"/>
          </w:tcPr>
          <w:p w14:paraId="262ED783">
            <w:pPr>
              <w:pStyle w:val="6"/>
              <w:spacing w:before="76" w:line="239" w:lineRule="auto"/>
              <w:ind w:left="1017"/>
            </w:pPr>
            <w:r>
              <w:rPr>
                <w:spacing w:val="-4"/>
              </w:rPr>
              <w:t>96</w:t>
            </w:r>
          </w:p>
        </w:tc>
        <w:tc>
          <w:tcPr>
            <w:tcW w:w="2148" w:type="dxa"/>
            <w:vAlign w:val="top"/>
          </w:tcPr>
          <w:p w14:paraId="3104677C">
            <w:pPr>
              <w:spacing w:before="76"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6CAA5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continue"/>
            <w:tcBorders>
              <w:top w:val="nil"/>
            </w:tcBorders>
            <w:vAlign w:val="top"/>
          </w:tcPr>
          <w:p w14:paraId="7348FD11">
            <w:pPr>
              <w:rPr>
                <w:rFonts w:ascii="Arial"/>
                <w:sz w:val="21"/>
              </w:rPr>
            </w:pPr>
          </w:p>
        </w:tc>
        <w:tc>
          <w:tcPr>
            <w:tcW w:w="1000" w:type="dxa"/>
            <w:vMerge w:val="continue"/>
            <w:tcBorders>
              <w:top w:val="nil"/>
              <w:bottom w:val="nil"/>
            </w:tcBorders>
            <w:vAlign w:val="top"/>
          </w:tcPr>
          <w:p w14:paraId="7DD20391">
            <w:pPr>
              <w:rPr>
                <w:rFonts w:ascii="Arial"/>
                <w:sz w:val="21"/>
              </w:rPr>
            </w:pPr>
          </w:p>
        </w:tc>
        <w:tc>
          <w:tcPr>
            <w:tcW w:w="2460" w:type="dxa"/>
            <w:vMerge w:val="continue"/>
            <w:tcBorders>
              <w:top w:val="nil"/>
            </w:tcBorders>
            <w:vAlign w:val="top"/>
          </w:tcPr>
          <w:p w14:paraId="60607892">
            <w:pPr>
              <w:rPr>
                <w:rFonts w:ascii="Arial"/>
                <w:sz w:val="21"/>
              </w:rPr>
            </w:pPr>
          </w:p>
        </w:tc>
        <w:tc>
          <w:tcPr>
            <w:tcW w:w="2237" w:type="dxa"/>
            <w:vAlign w:val="top"/>
          </w:tcPr>
          <w:p w14:paraId="0F8FD0DF">
            <w:pPr>
              <w:spacing w:before="77" w:line="216" w:lineRule="auto"/>
              <w:ind w:left="5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县级及以上城市</w:t>
            </w:r>
          </w:p>
        </w:tc>
        <w:tc>
          <w:tcPr>
            <w:tcW w:w="2103" w:type="dxa"/>
            <w:vAlign w:val="top"/>
          </w:tcPr>
          <w:p w14:paraId="3B31F3E0">
            <w:pPr>
              <w:pStyle w:val="6"/>
              <w:spacing w:before="76" w:line="239" w:lineRule="auto"/>
              <w:ind w:left="858"/>
            </w:pPr>
            <w:r>
              <w:rPr>
                <w:spacing w:val="-3"/>
              </w:rPr>
              <w:t>97.2</w:t>
            </w:r>
          </w:p>
        </w:tc>
        <w:tc>
          <w:tcPr>
            <w:tcW w:w="2224" w:type="dxa"/>
            <w:vAlign w:val="top"/>
          </w:tcPr>
          <w:p w14:paraId="6D501AE2">
            <w:pPr>
              <w:pStyle w:val="6"/>
              <w:spacing w:before="76" w:line="239" w:lineRule="auto"/>
              <w:ind w:left="918"/>
            </w:pPr>
            <w:r>
              <w:rPr>
                <w:spacing w:val="-3"/>
              </w:rPr>
              <w:t>97.2</w:t>
            </w:r>
          </w:p>
        </w:tc>
        <w:tc>
          <w:tcPr>
            <w:tcW w:w="2148" w:type="dxa"/>
            <w:vAlign w:val="top"/>
          </w:tcPr>
          <w:p w14:paraId="55CA7B90">
            <w:pPr>
              <w:spacing w:before="76"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689E1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Merge w:val="restart"/>
            <w:tcBorders>
              <w:bottom w:val="nil"/>
            </w:tcBorders>
            <w:vAlign w:val="top"/>
          </w:tcPr>
          <w:p w14:paraId="74BE1AAD">
            <w:pPr>
              <w:pStyle w:val="6"/>
              <w:spacing w:before="245" w:line="241" w:lineRule="auto"/>
              <w:ind w:left="208"/>
            </w:pPr>
            <w:r>
              <w:rPr>
                <w:spacing w:val="-6"/>
              </w:rPr>
              <w:t>15</w:t>
            </w:r>
          </w:p>
        </w:tc>
        <w:tc>
          <w:tcPr>
            <w:tcW w:w="1000" w:type="dxa"/>
            <w:vMerge w:val="continue"/>
            <w:tcBorders>
              <w:top w:val="nil"/>
              <w:bottom w:val="nil"/>
            </w:tcBorders>
            <w:vAlign w:val="top"/>
          </w:tcPr>
          <w:p w14:paraId="43B72C3E">
            <w:pPr>
              <w:rPr>
                <w:rFonts w:ascii="Arial"/>
                <w:sz w:val="21"/>
              </w:rPr>
            </w:pPr>
          </w:p>
        </w:tc>
        <w:tc>
          <w:tcPr>
            <w:tcW w:w="2460" w:type="dxa"/>
            <w:vMerge w:val="restart"/>
            <w:tcBorders>
              <w:bottom w:val="nil"/>
            </w:tcBorders>
            <w:vAlign w:val="top"/>
          </w:tcPr>
          <w:p w14:paraId="150F2458">
            <w:pPr>
              <w:pStyle w:val="6"/>
              <w:spacing w:before="125" w:line="221" w:lineRule="auto"/>
              <w:ind w:left="63" w:right="47" w:hanging="11"/>
              <w:rPr>
                <w:rFonts w:ascii="FangSong_GB2312" w:hAnsi="FangSong_GB2312" w:eastAsia="FangSong_GB2312" w:cs="FangSong_GB2312"/>
              </w:rPr>
            </w:pPr>
            <w:r>
              <w:rPr>
                <w:rFonts w:ascii="FangSong_GB2312" w:hAnsi="FangSong_GB2312" w:eastAsia="FangSong_GB2312" w:cs="FangSong_GB2312"/>
                <w:spacing w:val="-4"/>
              </w:rPr>
              <w:t>地表水水质优良（达到或优</w:t>
            </w:r>
            <w:r>
              <w:rPr>
                <w:rFonts w:ascii="FangSong_GB2312" w:hAnsi="FangSong_GB2312" w:eastAsia="FangSong_GB2312" w:cs="FangSong_GB2312"/>
                <w:spacing w:val="-5"/>
              </w:rPr>
              <w:t>于</w:t>
            </w:r>
            <w:r>
              <w:rPr>
                <w:rFonts w:ascii="FangSong_GB2312" w:hAnsi="FangSong_GB2312" w:eastAsia="FangSong_GB2312" w:cs="FangSong_GB2312"/>
                <w:spacing w:val="-31"/>
              </w:rPr>
              <w:t xml:space="preserve"> </w:t>
            </w:r>
            <w:r>
              <w:rPr>
                <w:spacing w:val="-5"/>
              </w:rPr>
              <w:t>III</w:t>
            </w:r>
            <w:r>
              <w:rPr>
                <w:spacing w:val="-32"/>
              </w:rPr>
              <w:t xml:space="preserve"> </w:t>
            </w:r>
            <w:r>
              <w:rPr>
                <w:rFonts w:ascii="FangSong_GB2312" w:hAnsi="FangSong_GB2312" w:eastAsia="FangSong_GB2312" w:cs="FangSong_GB2312"/>
                <w:spacing w:val="-5"/>
              </w:rPr>
              <w:t>类）比例（</w:t>
            </w:r>
            <w:r>
              <w:rPr>
                <w:spacing w:val="-5"/>
              </w:rPr>
              <w:t>%</w:t>
            </w:r>
            <w:r>
              <w:rPr>
                <w:rFonts w:ascii="FangSong_GB2312" w:hAnsi="FangSong_GB2312" w:eastAsia="FangSong_GB2312" w:cs="FangSong_GB2312"/>
                <w:spacing w:val="-5"/>
              </w:rPr>
              <w:t>）</w:t>
            </w:r>
          </w:p>
        </w:tc>
        <w:tc>
          <w:tcPr>
            <w:tcW w:w="2237" w:type="dxa"/>
            <w:vAlign w:val="top"/>
          </w:tcPr>
          <w:p w14:paraId="09FFD93D">
            <w:pPr>
              <w:spacing w:before="77" w:line="214" w:lineRule="auto"/>
              <w:ind w:left="73"/>
              <w:rPr>
                <w:rFonts w:ascii="FangSong_GB2312" w:hAnsi="FangSong_GB2312" w:eastAsia="FangSong_GB2312" w:cs="FangSong_GB2312"/>
                <w:sz w:val="20"/>
                <w:szCs w:val="20"/>
              </w:rPr>
            </w:pPr>
            <w:r>
              <w:rPr>
                <w:rFonts w:ascii="FangSong_GB2312" w:hAnsi="FangSong_GB2312" w:eastAsia="FangSong_GB2312" w:cs="FangSong_GB2312"/>
                <w:spacing w:val="-4"/>
                <w:sz w:val="20"/>
                <w:szCs w:val="20"/>
              </w:rPr>
              <w:t>国考监测断面</w:t>
            </w:r>
          </w:p>
        </w:tc>
        <w:tc>
          <w:tcPr>
            <w:tcW w:w="2103" w:type="dxa"/>
            <w:vAlign w:val="top"/>
          </w:tcPr>
          <w:p w14:paraId="21B250E6">
            <w:pPr>
              <w:pStyle w:val="6"/>
              <w:spacing w:before="76" w:line="238" w:lineRule="auto"/>
              <w:ind w:left="922"/>
            </w:pPr>
            <w:r>
              <w:rPr>
                <w:spacing w:val="-8"/>
              </w:rPr>
              <w:t>100</w:t>
            </w:r>
          </w:p>
        </w:tc>
        <w:tc>
          <w:tcPr>
            <w:tcW w:w="2224" w:type="dxa"/>
            <w:vAlign w:val="top"/>
          </w:tcPr>
          <w:p w14:paraId="3779B995">
            <w:pPr>
              <w:pStyle w:val="6"/>
              <w:spacing w:before="76" w:line="238" w:lineRule="auto"/>
              <w:ind w:left="918"/>
            </w:pPr>
            <w:r>
              <w:rPr>
                <w:spacing w:val="-3"/>
              </w:rPr>
              <w:t>96.1</w:t>
            </w:r>
          </w:p>
        </w:tc>
        <w:tc>
          <w:tcPr>
            <w:tcW w:w="2148" w:type="dxa"/>
            <w:vAlign w:val="top"/>
          </w:tcPr>
          <w:p w14:paraId="0C80EBB4">
            <w:pPr>
              <w:spacing w:before="76"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持续改善</w:t>
            </w:r>
          </w:p>
        </w:tc>
      </w:tr>
      <w:tr w14:paraId="7324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7" w:type="dxa"/>
            <w:vMerge w:val="continue"/>
            <w:tcBorders>
              <w:top w:val="nil"/>
            </w:tcBorders>
            <w:vAlign w:val="top"/>
          </w:tcPr>
          <w:p w14:paraId="16EED0F2">
            <w:pPr>
              <w:rPr>
                <w:rFonts w:ascii="Arial"/>
                <w:sz w:val="21"/>
              </w:rPr>
            </w:pPr>
          </w:p>
        </w:tc>
        <w:tc>
          <w:tcPr>
            <w:tcW w:w="1000" w:type="dxa"/>
            <w:vMerge w:val="continue"/>
            <w:tcBorders>
              <w:top w:val="nil"/>
            </w:tcBorders>
            <w:vAlign w:val="top"/>
          </w:tcPr>
          <w:p w14:paraId="5A37F19F">
            <w:pPr>
              <w:rPr>
                <w:rFonts w:ascii="Arial"/>
                <w:sz w:val="21"/>
              </w:rPr>
            </w:pPr>
          </w:p>
        </w:tc>
        <w:tc>
          <w:tcPr>
            <w:tcW w:w="2460" w:type="dxa"/>
            <w:vMerge w:val="continue"/>
            <w:tcBorders>
              <w:top w:val="nil"/>
            </w:tcBorders>
            <w:vAlign w:val="top"/>
          </w:tcPr>
          <w:p w14:paraId="5A04BB83">
            <w:pPr>
              <w:rPr>
                <w:rFonts w:ascii="Arial"/>
                <w:sz w:val="21"/>
              </w:rPr>
            </w:pPr>
          </w:p>
        </w:tc>
        <w:tc>
          <w:tcPr>
            <w:tcW w:w="2237" w:type="dxa"/>
            <w:vAlign w:val="top"/>
          </w:tcPr>
          <w:p w14:paraId="1F167939">
            <w:pPr>
              <w:spacing w:before="77" w:line="216" w:lineRule="auto"/>
              <w:ind w:left="62"/>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省监测断面</w:t>
            </w:r>
          </w:p>
        </w:tc>
        <w:tc>
          <w:tcPr>
            <w:tcW w:w="2103" w:type="dxa"/>
            <w:vAlign w:val="top"/>
          </w:tcPr>
          <w:p w14:paraId="6D7E1EDB">
            <w:pPr>
              <w:pStyle w:val="6"/>
              <w:spacing w:before="76"/>
              <w:ind w:left="858"/>
            </w:pPr>
            <w:r>
              <w:rPr>
                <w:spacing w:val="-3"/>
              </w:rPr>
              <w:t>96.3</w:t>
            </w:r>
          </w:p>
        </w:tc>
        <w:tc>
          <w:tcPr>
            <w:tcW w:w="2224" w:type="dxa"/>
            <w:vAlign w:val="top"/>
          </w:tcPr>
          <w:p w14:paraId="3BFFCF10">
            <w:pPr>
              <w:pStyle w:val="6"/>
              <w:spacing w:before="76"/>
              <w:ind w:left="918"/>
            </w:pPr>
            <w:r>
              <w:rPr>
                <w:spacing w:val="-3"/>
              </w:rPr>
              <w:t>97.2</w:t>
            </w:r>
          </w:p>
        </w:tc>
        <w:tc>
          <w:tcPr>
            <w:tcW w:w="2148" w:type="dxa"/>
            <w:vAlign w:val="top"/>
          </w:tcPr>
          <w:p w14:paraId="74C523F9">
            <w:pPr>
              <w:spacing w:before="76"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持续改善</w:t>
            </w:r>
          </w:p>
        </w:tc>
      </w:tr>
    </w:tbl>
    <w:p w14:paraId="46E3414E">
      <w:pPr>
        <w:spacing w:line="144" w:lineRule="exact"/>
        <w:rPr>
          <w:rFonts w:ascii="Arial"/>
          <w:sz w:val="12"/>
        </w:rPr>
      </w:pPr>
    </w:p>
    <w:p w14:paraId="76344BA5">
      <w:pPr>
        <w:spacing w:line="144" w:lineRule="exact"/>
        <w:rPr>
          <w:rFonts w:ascii="Arial" w:hAnsi="Arial" w:eastAsia="Arial" w:cs="Arial"/>
          <w:sz w:val="12"/>
          <w:szCs w:val="12"/>
        </w:rPr>
        <w:sectPr>
          <w:footerReference r:id="rId43" w:type="default"/>
          <w:pgSz w:w="16840" w:h="11905"/>
          <w:pgMar w:top="1011" w:right="2044" w:bottom="1864" w:left="2041" w:header="0" w:footer="1502" w:gutter="0"/>
          <w:cols w:space="720" w:num="1"/>
        </w:sectPr>
      </w:pPr>
    </w:p>
    <w:p w14:paraId="23480BAB">
      <w:pPr>
        <w:spacing w:before="46"/>
      </w:pPr>
    </w:p>
    <w:p w14:paraId="6DF58717">
      <w:pPr>
        <w:spacing w:before="46"/>
      </w:pPr>
    </w:p>
    <w:tbl>
      <w:tblPr>
        <w:tblStyle w:val="5"/>
        <w:tblW w:w="127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7"/>
        <w:gridCol w:w="1000"/>
        <w:gridCol w:w="2460"/>
        <w:gridCol w:w="2237"/>
        <w:gridCol w:w="2103"/>
        <w:gridCol w:w="2224"/>
        <w:gridCol w:w="2148"/>
      </w:tblGrid>
      <w:tr w14:paraId="4E5B2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7" w:type="dxa"/>
            <w:vAlign w:val="top"/>
          </w:tcPr>
          <w:p w14:paraId="0B829C03">
            <w:pPr>
              <w:spacing w:before="76" w:line="223" w:lineRule="auto"/>
              <w:ind w:left="94"/>
              <w:rPr>
                <w:rFonts w:ascii="黑体" w:hAnsi="黑体" w:eastAsia="黑体" w:cs="黑体"/>
                <w:sz w:val="20"/>
                <w:szCs w:val="20"/>
              </w:rPr>
            </w:pPr>
            <w:r>
              <w:rPr>
                <w:rFonts w:ascii="黑体" w:hAnsi="黑体" w:eastAsia="黑体" w:cs="黑体"/>
                <w:spacing w:val="-2"/>
                <w:sz w:val="20"/>
                <w:szCs w:val="20"/>
              </w:rPr>
              <w:t>序号</w:t>
            </w:r>
          </w:p>
        </w:tc>
        <w:tc>
          <w:tcPr>
            <w:tcW w:w="1000" w:type="dxa"/>
            <w:vAlign w:val="top"/>
          </w:tcPr>
          <w:p w14:paraId="64747ABB">
            <w:pPr>
              <w:spacing w:before="76" w:line="221" w:lineRule="auto"/>
              <w:ind w:left="310"/>
              <w:rPr>
                <w:rFonts w:ascii="黑体" w:hAnsi="黑体" w:eastAsia="黑体" w:cs="黑体"/>
                <w:sz w:val="20"/>
                <w:szCs w:val="20"/>
              </w:rPr>
            </w:pPr>
            <w:r>
              <w:rPr>
                <w:rFonts w:ascii="黑体" w:hAnsi="黑体" w:eastAsia="黑体" w:cs="黑体"/>
                <w:spacing w:val="-4"/>
                <w:sz w:val="20"/>
                <w:szCs w:val="20"/>
              </w:rPr>
              <w:t>类别</w:t>
            </w:r>
          </w:p>
        </w:tc>
        <w:tc>
          <w:tcPr>
            <w:tcW w:w="4697" w:type="dxa"/>
            <w:gridSpan w:val="2"/>
            <w:vAlign w:val="top"/>
          </w:tcPr>
          <w:p w14:paraId="50CB03EA">
            <w:pPr>
              <w:spacing w:before="76" w:line="223" w:lineRule="auto"/>
              <w:ind w:left="2152"/>
              <w:rPr>
                <w:rFonts w:ascii="黑体" w:hAnsi="黑体" w:eastAsia="黑体" w:cs="黑体"/>
                <w:sz w:val="20"/>
                <w:szCs w:val="20"/>
              </w:rPr>
            </w:pPr>
            <w:r>
              <w:rPr>
                <w:rFonts w:ascii="黑体" w:hAnsi="黑体" w:eastAsia="黑体" w:cs="黑体"/>
                <w:spacing w:val="-2"/>
                <w:sz w:val="20"/>
                <w:szCs w:val="20"/>
              </w:rPr>
              <w:t>指标</w:t>
            </w:r>
          </w:p>
        </w:tc>
        <w:tc>
          <w:tcPr>
            <w:tcW w:w="2103" w:type="dxa"/>
            <w:vAlign w:val="top"/>
          </w:tcPr>
          <w:p w14:paraId="7BCD006D">
            <w:pPr>
              <w:pStyle w:val="6"/>
              <w:spacing w:before="76" w:line="223" w:lineRule="auto"/>
              <w:ind w:right="3"/>
              <w:jc w:val="right"/>
              <w:rPr>
                <w:rFonts w:ascii="黑体" w:hAnsi="黑体" w:eastAsia="黑体" w:cs="黑体"/>
              </w:rPr>
            </w:pPr>
            <w:r>
              <w:rPr>
                <w:spacing w:val="-4"/>
              </w:rPr>
              <w:t>2020</w:t>
            </w:r>
            <w:r>
              <w:rPr>
                <w:spacing w:val="-29"/>
              </w:rPr>
              <w:t xml:space="preserve"> </w:t>
            </w:r>
            <w:r>
              <w:rPr>
                <w:rFonts w:ascii="黑体" w:hAnsi="黑体" w:eastAsia="黑体" w:cs="黑体"/>
                <w:spacing w:val="-4"/>
              </w:rPr>
              <w:t>年（</w:t>
            </w:r>
            <w:r>
              <w:rPr>
                <w:spacing w:val="-4"/>
              </w:rPr>
              <w:t>*</w:t>
            </w:r>
            <w:r>
              <w:rPr>
                <w:rFonts w:ascii="黑体" w:hAnsi="黑体" w:eastAsia="黑体" w:cs="黑体"/>
                <w:spacing w:val="-4"/>
              </w:rPr>
              <w:t>为</w:t>
            </w:r>
            <w:r>
              <w:rPr>
                <w:rFonts w:ascii="黑体" w:hAnsi="黑体" w:eastAsia="黑体" w:cs="黑体"/>
                <w:spacing w:val="-41"/>
              </w:rPr>
              <w:t xml:space="preserve"> </w:t>
            </w:r>
            <w:r>
              <w:rPr>
                <w:spacing w:val="-4"/>
              </w:rPr>
              <w:t>2021</w:t>
            </w:r>
            <w:r>
              <w:rPr>
                <w:spacing w:val="-41"/>
              </w:rPr>
              <w:t xml:space="preserve"> </w:t>
            </w:r>
            <w:r>
              <w:rPr>
                <w:rFonts w:ascii="黑体" w:hAnsi="黑体" w:eastAsia="黑体" w:cs="黑体"/>
                <w:spacing w:val="-4"/>
              </w:rPr>
              <w:t>年）</w:t>
            </w:r>
          </w:p>
        </w:tc>
        <w:tc>
          <w:tcPr>
            <w:tcW w:w="2224" w:type="dxa"/>
            <w:vAlign w:val="top"/>
          </w:tcPr>
          <w:p w14:paraId="0D9A1885">
            <w:pPr>
              <w:pStyle w:val="6"/>
              <w:spacing w:before="76" w:line="223" w:lineRule="auto"/>
              <w:ind w:left="795"/>
              <w:rPr>
                <w:rFonts w:ascii="黑体" w:hAnsi="黑体" w:eastAsia="黑体" w:cs="黑体"/>
              </w:rPr>
            </w:pPr>
            <w:r>
              <w:rPr>
                <w:spacing w:val="-3"/>
              </w:rPr>
              <w:t>2025</w:t>
            </w:r>
            <w:r>
              <w:rPr>
                <w:spacing w:val="-38"/>
              </w:rPr>
              <w:t xml:space="preserve"> </w:t>
            </w:r>
            <w:r>
              <w:rPr>
                <w:rFonts w:ascii="黑体" w:hAnsi="黑体" w:eastAsia="黑体" w:cs="黑体"/>
                <w:spacing w:val="-3"/>
              </w:rPr>
              <w:t>年</w:t>
            </w:r>
          </w:p>
        </w:tc>
        <w:tc>
          <w:tcPr>
            <w:tcW w:w="2148" w:type="dxa"/>
            <w:vAlign w:val="top"/>
          </w:tcPr>
          <w:p w14:paraId="516AAC35">
            <w:pPr>
              <w:pStyle w:val="6"/>
              <w:spacing w:before="76" w:line="223" w:lineRule="auto"/>
              <w:ind w:left="755"/>
              <w:rPr>
                <w:rFonts w:ascii="黑体" w:hAnsi="黑体" w:eastAsia="黑体" w:cs="黑体"/>
              </w:rPr>
            </w:pPr>
            <w:r>
              <w:rPr>
                <w:spacing w:val="-3"/>
              </w:rPr>
              <w:t>2035</w:t>
            </w:r>
            <w:r>
              <w:rPr>
                <w:spacing w:val="-38"/>
              </w:rPr>
              <w:t xml:space="preserve"> </w:t>
            </w:r>
            <w:r>
              <w:rPr>
                <w:rFonts w:ascii="黑体" w:hAnsi="黑体" w:eastAsia="黑体" w:cs="黑体"/>
                <w:spacing w:val="-3"/>
              </w:rPr>
              <w:t>年</w:t>
            </w:r>
          </w:p>
        </w:tc>
      </w:tr>
      <w:tr w14:paraId="0F20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7" w:type="dxa"/>
            <w:vMerge w:val="restart"/>
            <w:tcBorders>
              <w:bottom w:val="nil"/>
            </w:tcBorders>
            <w:vAlign w:val="top"/>
          </w:tcPr>
          <w:p w14:paraId="21AECFAB">
            <w:pPr>
              <w:spacing w:line="244" w:lineRule="auto"/>
              <w:rPr>
                <w:rFonts w:ascii="Arial"/>
                <w:sz w:val="21"/>
              </w:rPr>
            </w:pPr>
          </w:p>
          <w:p w14:paraId="5C50A7CB">
            <w:pPr>
              <w:pStyle w:val="6"/>
              <w:spacing w:before="65" w:line="241" w:lineRule="auto"/>
              <w:ind w:left="208"/>
            </w:pPr>
            <w:r>
              <w:rPr>
                <w:spacing w:val="-6"/>
              </w:rPr>
              <w:t>16</w:t>
            </w:r>
          </w:p>
        </w:tc>
        <w:tc>
          <w:tcPr>
            <w:tcW w:w="1000" w:type="dxa"/>
            <w:vMerge w:val="restart"/>
            <w:tcBorders>
              <w:bottom w:val="nil"/>
            </w:tcBorders>
            <w:vAlign w:val="top"/>
          </w:tcPr>
          <w:p w14:paraId="4891771A">
            <w:pPr>
              <w:spacing w:line="295" w:lineRule="auto"/>
              <w:rPr>
                <w:rFonts w:ascii="Arial"/>
                <w:sz w:val="21"/>
              </w:rPr>
            </w:pPr>
          </w:p>
          <w:p w14:paraId="349A1997">
            <w:pPr>
              <w:spacing w:line="295" w:lineRule="auto"/>
              <w:rPr>
                <w:rFonts w:ascii="Arial"/>
                <w:sz w:val="21"/>
              </w:rPr>
            </w:pPr>
          </w:p>
          <w:p w14:paraId="78E589C5">
            <w:pPr>
              <w:spacing w:line="295" w:lineRule="auto"/>
              <w:rPr>
                <w:rFonts w:ascii="Arial"/>
                <w:sz w:val="21"/>
              </w:rPr>
            </w:pPr>
          </w:p>
          <w:p w14:paraId="0CAD49F0">
            <w:pPr>
              <w:spacing w:line="296" w:lineRule="auto"/>
              <w:rPr>
                <w:rFonts w:ascii="Arial"/>
                <w:sz w:val="21"/>
              </w:rPr>
            </w:pPr>
          </w:p>
          <w:p w14:paraId="57F606A9">
            <w:pPr>
              <w:spacing w:before="65" w:line="214"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美丽环境</w:t>
            </w:r>
          </w:p>
        </w:tc>
        <w:tc>
          <w:tcPr>
            <w:tcW w:w="2460" w:type="dxa"/>
            <w:vMerge w:val="restart"/>
            <w:tcBorders>
              <w:bottom w:val="nil"/>
            </w:tcBorders>
            <w:vAlign w:val="top"/>
          </w:tcPr>
          <w:p w14:paraId="646E7441">
            <w:pPr>
              <w:pStyle w:val="6"/>
              <w:spacing w:before="192" w:line="222" w:lineRule="auto"/>
              <w:ind w:left="83" w:right="47" w:hanging="31"/>
              <w:rPr>
                <w:rFonts w:ascii="FangSong_GB2312" w:hAnsi="FangSong_GB2312" w:eastAsia="FangSong_GB2312" w:cs="FangSong_GB2312"/>
              </w:rPr>
            </w:pPr>
            <w:r>
              <w:rPr>
                <w:rFonts w:ascii="FangSong_GB2312" w:hAnsi="FangSong_GB2312" w:eastAsia="FangSong_GB2312" w:cs="FangSong_GB2312"/>
                <w:spacing w:val="-4"/>
              </w:rPr>
              <w:t>地表水监测断面好水、劣水</w:t>
            </w:r>
            <w:r>
              <w:rPr>
                <w:rFonts w:ascii="FangSong_GB2312" w:hAnsi="FangSong_GB2312" w:eastAsia="FangSong_GB2312" w:cs="FangSong_GB2312"/>
                <w:spacing w:val="-8"/>
              </w:rPr>
              <w:t>比例（</w:t>
            </w:r>
            <w:r>
              <w:rPr>
                <w:spacing w:val="-8"/>
              </w:rPr>
              <w:t>%</w:t>
            </w:r>
            <w:r>
              <w:rPr>
                <w:rFonts w:ascii="FangSong_GB2312" w:hAnsi="FangSong_GB2312" w:eastAsia="FangSong_GB2312" w:cs="FangSong_GB2312"/>
                <w:spacing w:val="-8"/>
              </w:rPr>
              <w:t>）</w:t>
            </w:r>
          </w:p>
        </w:tc>
        <w:tc>
          <w:tcPr>
            <w:tcW w:w="2237" w:type="dxa"/>
            <w:vAlign w:val="top"/>
          </w:tcPr>
          <w:p w14:paraId="663770FA">
            <w:pPr>
              <w:pStyle w:val="6"/>
              <w:spacing w:before="20" w:line="210" w:lineRule="auto"/>
              <w:ind w:left="53" w:right="46" w:firstLine="3"/>
              <w:rPr>
                <w:rFonts w:ascii="FangSong_GB2312" w:hAnsi="FangSong_GB2312" w:eastAsia="FangSong_GB2312" w:cs="FangSong_GB2312"/>
              </w:rPr>
            </w:pPr>
            <w:r>
              <w:rPr>
                <w:rFonts w:ascii="FangSong_GB2312" w:hAnsi="FangSong_GB2312" w:eastAsia="FangSong_GB2312" w:cs="FangSong_GB2312"/>
                <w:spacing w:val="12"/>
              </w:rPr>
              <w:t>达到或好于</w:t>
            </w:r>
            <w:r>
              <w:rPr>
                <w:spacing w:val="12"/>
              </w:rPr>
              <w:t>Ⅱ</w:t>
            </w:r>
            <w:r>
              <w:rPr>
                <w:rFonts w:ascii="FangSong_GB2312" w:hAnsi="FangSong_GB2312" w:eastAsia="FangSong_GB2312" w:cs="FangSong_GB2312"/>
                <w:spacing w:val="12"/>
              </w:rPr>
              <w:t>类水体比</w:t>
            </w:r>
            <w:r>
              <w:rPr>
                <w:rFonts w:ascii="FangSong_GB2312" w:hAnsi="FangSong_GB2312" w:eastAsia="FangSong_GB2312" w:cs="FangSong_GB2312"/>
                <w:spacing w:val="-1"/>
              </w:rPr>
              <w:t>例（省考）</w:t>
            </w:r>
          </w:p>
        </w:tc>
        <w:tc>
          <w:tcPr>
            <w:tcW w:w="2103" w:type="dxa"/>
            <w:vAlign w:val="top"/>
          </w:tcPr>
          <w:p w14:paraId="71D29F74">
            <w:pPr>
              <w:pStyle w:val="6"/>
              <w:spacing w:before="141"/>
              <w:ind w:left="858"/>
            </w:pPr>
            <w:r>
              <w:rPr>
                <w:spacing w:val="-3"/>
              </w:rPr>
              <w:t>87.9</w:t>
            </w:r>
          </w:p>
        </w:tc>
        <w:tc>
          <w:tcPr>
            <w:tcW w:w="2224" w:type="dxa"/>
            <w:vAlign w:val="top"/>
          </w:tcPr>
          <w:p w14:paraId="3CA1ACC3">
            <w:pPr>
              <w:spacing w:before="141" w:line="214" w:lineRule="auto"/>
              <w:ind w:left="318"/>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c>
          <w:tcPr>
            <w:tcW w:w="2148" w:type="dxa"/>
            <w:vAlign w:val="top"/>
          </w:tcPr>
          <w:p w14:paraId="69AFD6C2">
            <w:pPr>
              <w:spacing w:before="141"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3007F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continue"/>
            <w:tcBorders>
              <w:top w:val="nil"/>
            </w:tcBorders>
            <w:vAlign w:val="top"/>
          </w:tcPr>
          <w:p w14:paraId="4EAA3A8E">
            <w:pPr>
              <w:rPr>
                <w:rFonts w:ascii="Arial"/>
                <w:sz w:val="21"/>
              </w:rPr>
            </w:pPr>
          </w:p>
        </w:tc>
        <w:tc>
          <w:tcPr>
            <w:tcW w:w="1000" w:type="dxa"/>
            <w:vMerge w:val="continue"/>
            <w:tcBorders>
              <w:top w:val="nil"/>
              <w:bottom w:val="nil"/>
            </w:tcBorders>
            <w:vAlign w:val="top"/>
          </w:tcPr>
          <w:p w14:paraId="590363EF">
            <w:pPr>
              <w:rPr>
                <w:rFonts w:ascii="Arial"/>
                <w:sz w:val="21"/>
              </w:rPr>
            </w:pPr>
          </w:p>
        </w:tc>
        <w:tc>
          <w:tcPr>
            <w:tcW w:w="2460" w:type="dxa"/>
            <w:vMerge w:val="continue"/>
            <w:tcBorders>
              <w:top w:val="nil"/>
            </w:tcBorders>
            <w:vAlign w:val="top"/>
          </w:tcPr>
          <w:p w14:paraId="731B21A8">
            <w:pPr>
              <w:rPr>
                <w:rFonts w:ascii="Arial"/>
                <w:sz w:val="21"/>
              </w:rPr>
            </w:pPr>
          </w:p>
        </w:tc>
        <w:tc>
          <w:tcPr>
            <w:tcW w:w="2237" w:type="dxa"/>
            <w:vAlign w:val="top"/>
          </w:tcPr>
          <w:p w14:paraId="0C8A85C4">
            <w:pPr>
              <w:pStyle w:val="6"/>
              <w:spacing w:before="69" w:line="216" w:lineRule="auto"/>
              <w:ind w:left="79"/>
              <w:rPr>
                <w:rFonts w:ascii="FangSong_GB2312" w:hAnsi="FangSong_GB2312" w:eastAsia="FangSong_GB2312" w:cs="FangSong_GB2312"/>
              </w:rPr>
            </w:pPr>
            <w:r>
              <w:rPr>
                <w:spacing w:val="-4"/>
              </w:rPr>
              <w:t>Ⅴ</w:t>
            </w:r>
            <w:r>
              <w:rPr>
                <w:rFonts w:ascii="FangSong_GB2312" w:hAnsi="FangSong_GB2312" w:eastAsia="FangSong_GB2312" w:cs="FangSong_GB2312"/>
                <w:spacing w:val="-4"/>
              </w:rPr>
              <w:t>类及劣</w:t>
            </w:r>
            <w:r>
              <w:rPr>
                <w:spacing w:val="-4"/>
              </w:rPr>
              <w:t>Ⅴ</w:t>
            </w:r>
            <w:r>
              <w:rPr>
                <w:rFonts w:ascii="FangSong_GB2312" w:hAnsi="FangSong_GB2312" w:eastAsia="FangSong_GB2312" w:cs="FangSong_GB2312"/>
                <w:spacing w:val="-4"/>
              </w:rPr>
              <w:t>类水比例</w:t>
            </w:r>
          </w:p>
        </w:tc>
        <w:tc>
          <w:tcPr>
            <w:tcW w:w="2103" w:type="dxa"/>
            <w:vAlign w:val="top"/>
          </w:tcPr>
          <w:p w14:paraId="2CA21270">
            <w:pPr>
              <w:pStyle w:val="6"/>
              <w:spacing w:before="70" w:line="241" w:lineRule="auto"/>
              <w:ind w:left="1009"/>
            </w:pPr>
            <w:r>
              <w:t>0</w:t>
            </w:r>
          </w:p>
        </w:tc>
        <w:tc>
          <w:tcPr>
            <w:tcW w:w="2224" w:type="dxa"/>
            <w:vAlign w:val="top"/>
          </w:tcPr>
          <w:p w14:paraId="0FE324C0">
            <w:pPr>
              <w:spacing w:before="71" w:line="218" w:lineRule="auto"/>
              <w:ind w:left="713"/>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基本消除</w:t>
            </w:r>
          </w:p>
        </w:tc>
        <w:tc>
          <w:tcPr>
            <w:tcW w:w="2148" w:type="dxa"/>
            <w:vAlign w:val="top"/>
          </w:tcPr>
          <w:p w14:paraId="2F906956">
            <w:pPr>
              <w:spacing w:before="71" w:line="216" w:lineRule="auto"/>
              <w:ind w:left="6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r>
      <w:tr w14:paraId="55570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7453A39A">
            <w:pPr>
              <w:pStyle w:val="6"/>
              <w:spacing w:before="71" w:line="241" w:lineRule="auto"/>
              <w:ind w:left="208"/>
            </w:pPr>
            <w:r>
              <w:rPr>
                <w:spacing w:val="-6"/>
              </w:rPr>
              <w:t>17</w:t>
            </w:r>
          </w:p>
        </w:tc>
        <w:tc>
          <w:tcPr>
            <w:tcW w:w="1000" w:type="dxa"/>
            <w:vMerge w:val="continue"/>
            <w:tcBorders>
              <w:top w:val="nil"/>
              <w:bottom w:val="nil"/>
            </w:tcBorders>
            <w:vAlign w:val="top"/>
          </w:tcPr>
          <w:p w14:paraId="4F697C15">
            <w:pPr>
              <w:rPr>
                <w:rFonts w:ascii="Arial"/>
                <w:sz w:val="21"/>
              </w:rPr>
            </w:pPr>
          </w:p>
        </w:tc>
        <w:tc>
          <w:tcPr>
            <w:tcW w:w="4697" w:type="dxa"/>
            <w:gridSpan w:val="2"/>
            <w:vAlign w:val="top"/>
          </w:tcPr>
          <w:p w14:paraId="61865A46">
            <w:pPr>
              <w:pStyle w:val="6"/>
              <w:spacing w:before="63" w:line="216" w:lineRule="auto"/>
              <w:ind w:left="52"/>
              <w:rPr>
                <w:rFonts w:ascii="FangSong_GB2312" w:hAnsi="FangSong_GB2312" w:eastAsia="FangSong_GB2312" w:cs="FangSong_GB2312"/>
                <w:sz w:val="21"/>
                <w:szCs w:val="21"/>
              </w:rPr>
            </w:pPr>
            <w:r>
              <w:rPr>
                <w:rFonts w:ascii="FangSong_GB2312" w:hAnsi="FangSong_GB2312" w:eastAsia="FangSong_GB2312" w:cs="FangSong_GB2312"/>
                <w:spacing w:val="-2"/>
                <w:sz w:val="21"/>
                <w:szCs w:val="21"/>
              </w:rPr>
              <w:t>地下水环境质量（区域）</w:t>
            </w:r>
            <w:r>
              <w:rPr>
                <w:spacing w:val="-2"/>
                <w:sz w:val="21"/>
                <w:szCs w:val="21"/>
              </w:rPr>
              <w:t>V</w:t>
            </w:r>
            <w:r>
              <w:rPr>
                <w:spacing w:val="-23"/>
                <w:sz w:val="21"/>
                <w:szCs w:val="21"/>
              </w:rPr>
              <w:t xml:space="preserve"> </w:t>
            </w:r>
            <w:r>
              <w:rPr>
                <w:rFonts w:ascii="FangSong_GB2312" w:hAnsi="FangSong_GB2312" w:eastAsia="FangSong_GB2312" w:cs="FangSong_GB2312"/>
                <w:spacing w:val="-2"/>
                <w:sz w:val="21"/>
                <w:szCs w:val="21"/>
              </w:rPr>
              <w:t>类水比例（</w:t>
            </w:r>
            <w:r>
              <w:rPr>
                <w:spacing w:val="-2"/>
                <w:sz w:val="21"/>
                <w:szCs w:val="21"/>
              </w:rPr>
              <w:t>%</w:t>
            </w:r>
            <w:r>
              <w:rPr>
                <w:rFonts w:ascii="FangSong_GB2312" w:hAnsi="FangSong_GB2312" w:eastAsia="FangSong_GB2312" w:cs="FangSong_GB2312"/>
                <w:spacing w:val="-2"/>
                <w:sz w:val="21"/>
                <w:szCs w:val="21"/>
              </w:rPr>
              <w:t>）</w:t>
            </w:r>
          </w:p>
        </w:tc>
        <w:tc>
          <w:tcPr>
            <w:tcW w:w="2103" w:type="dxa"/>
            <w:vAlign w:val="top"/>
          </w:tcPr>
          <w:p w14:paraId="5EA2EB2A">
            <w:pPr>
              <w:pStyle w:val="6"/>
              <w:spacing w:before="71" w:line="241" w:lineRule="auto"/>
              <w:ind w:left="960"/>
            </w:pPr>
            <w:r>
              <w:rPr>
                <w:spacing w:val="-3"/>
              </w:rPr>
              <w:t>20</w:t>
            </w:r>
          </w:p>
        </w:tc>
        <w:tc>
          <w:tcPr>
            <w:tcW w:w="2224" w:type="dxa"/>
            <w:vAlign w:val="top"/>
          </w:tcPr>
          <w:p w14:paraId="0DF421DE">
            <w:pPr>
              <w:pStyle w:val="6"/>
              <w:spacing w:before="71"/>
              <w:ind w:left="932"/>
            </w:pPr>
            <w:r>
              <w:rPr>
                <w:spacing w:val="-6"/>
              </w:rPr>
              <w:t>16.7</w:t>
            </w:r>
          </w:p>
        </w:tc>
        <w:tc>
          <w:tcPr>
            <w:tcW w:w="2148" w:type="dxa"/>
            <w:vAlign w:val="top"/>
          </w:tcPr>
          <w:p w14:paraId="3FA13B64">
            <w:pPr>
              <w:spacing w:before="72" w:line="216" w:lineRule="auto"/>
              <w:ind w:left="682"/>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稳定下降</w:t>
            </w:r>
          </w:p>
        </w:tc>
      </w:tr>
      <w:tr w14:paraId="7E3FF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2B50F926">
            <w:pPr>
              <w:pStyle w:val="6"/>
              <w:spacing w:before="71" w:line="241" w:lineRule="auto"/>
              <w:ind w:left="208"/>
            </w:pPr>
            <w:r>
              <w:rPr>
                <w:spacing w:val="-6"/>
              </w:rPr>
              <w:t>18</w:t>
            </w:r>
          </w:p>
        </w:tc>
        <w:tc>
          <w:tcPr>
            <w:tcW w:w="1000" w:type="dxa"/>
            <w:vMerge w:val="continue"/>
            <w:tcBorders>
              <w:top w:val="nil"/>
              <w:bottom w:val="nil"/>
            </w:tcBorders>
            <w:vAlign w:val="top"/>
          </w:tcPr>
          <w:p w14:paraId="29A92D2F">
            <w:pPr>
              <w:rPr>
                <w:rFonts w:ascii="Arial"/>
                <w:sz w:val="21"/>
              </w:rPr>
            </w:pPr>
          </w:p>
        </w:tc>
        <w:tc>
          <w:tcPr>
            <w:tcW w:w="4697" w:type="dxa"/>
            <w:gridSpan w:val="2"/>
            <w:vAlign w:val="top"/>
          </w:tcPr>
          <w:p w14:paraId="7521AF99">
            <w:pPr>
              <w:pStyle w:val="6"/>
              <w:spacing w:before="64" w:line="216" w:lineRule="auto"/>
              <w:ind w:left="65"/>
              <w:rPr>
                <w:rFonts w:ascii="FangSong_GB2312" w:hAnsi="FangSong_GB2312" w:eastAsia="FangSong_GB2312" w:cs="FangSong_GB2312"/>
                <w:sz w:val="21"/>
                <w:szCs w:val="21"/>
              </w:rPr>
            </w:pPr>
            <w:r>
              <w:rPr>
                <w:rFonts w:ascii="FangSong_GB2312" w:hAnsi="FangSong_GB2312" w:eastAsia="FangSong_GB2312" w:cs="FangSong_GB2312"/>
                <w:spacing w:val="-2"/>
                <w:sz w:val="21"/>
                <w:szCs w:val="21"/>
              </w:rPr>
              <w:t>声环境功能区夜间达标率（</w:t>
            </w:r>
            <w:r>
              <w:rPr>
                <w:spacing w:val="-2"/>
                <w:sz w:val="21"/>
                <w:szCs w:val="21"/>
              </w:rPr>
              <w:t>%</w:t>
            </w:r>
            <w:r>
              <w:rPr>
                <w:rFonts w:ascii="FangSong_GB2312" w:hAnsi="FangSong_GB2312" w:eastAsia="FangSong_GB2312" w:cs="FangSong_GB2312"/>
                <w:spacing w:val="-2"/>
                <w:sz w:val="21"/>
                <w:szCs w:val="21"/>
              </w:rPr>
              <w:t>）</w:t>
            </w:r>
          </w:p>
        </w:tc>
        <w:tc>
          <w:tcPr>
            <w:tcW w:w="2103" w:type="dxa"/>
            <w:vAlign w:val="top"/>
          </w:tcPr>
          <w:p w14:paraId="7B9F7CC0">
            <w:pPr>
              <w:pStyle w:val="6"/>
              <w:spacing w:before="71"/>
              <w:ind w:left="862"/>
            </w:pPr>
            <w:r>
              <w:rPr>
                <w:spacing w:val="-4"/>
              </w:rPr>
              <w:t>70.6</w:t>
            </w:r>
          </w:p>
        </w:tc>
        <w:tc>
          <w:tcPr>
            <w:tcW w:w="2224" w:type="dxa"/>
            <w:vAlign w:val="top"/>
          </w:tcPr>
          <w:p w14:paraId="644E4C73">
            <w:pPr>
              <w:pStyle w:val="6"/>
              <w:spacing w:before="71" w:line="241" w:lineRule="auto"/>
              <w:ind w:left="1017"/>
            </w:pPr>
            <w:r>
              <w:rPr>
                <w:spacing w:val="-2"/>
              </w:rPr>
              <w:t>85</w:t>
            </w:r>
          </w:p>
        </w:tc>
        <w:tc>
          <w:tcPr>
            <w:tcW w:w="2148" w:type="dxa"/>
            <w:vAlign w:val="top"/>
          </w:tcPr>
          <w:p w14:paraId="439A9970">
            <w:pPr>
              <w:pStyle w:val="6"/>
              <w:spacing w:before="71" w:line="241" w:lineRule="auto"/>
              <w:ind w:left="979"/>
            </w:pPr>
            <w:r>
              <w:rPr>
                <w:spacing w:val="-2"/>
              </w:rPr>
              <w:t>85</w:t>
            </w:r>
          </w:p>
        </w:tc>
      </w:tr>
      <w:tr w14:paraId="58765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restart"/>
            <w:tcBorders>
              <w:bottom w:val="nil"/>
            </w:tcBorders>
            <w:vAlign w:val="top"/>
          </w:tcPr>
          <w:p w14:paraId="44778BB9">
            <w:pPr>
              <w:spacing w:line="418" w:lineRule="auto"/>
              <w:rPr>
                <w:rFonts w:ascii="Arial"/>
                <w:sz w:val="21"/>
              </w:rPr>
            </w:pPr>
          </w:p>
          <w:p w14:paraId="0A47AD17">
            <w:pPr>
              <w:pStyle w:val="6"/>
              <w:spacing w:before="65" w:line="241" w:lineRule="auto"/>
              <w:ind w:left="208"/>
            </w:pPr>
            <w:r>
              <w:rPr>
                <w:spacing w:val="-6"/>
              </w:rPr>
              <w:t>19</w:t>
            </w:r>
          </w:p>
        </w:tc>
        <w:tc>
          <w:tcPr>
            <w:tcW w:w="1000" w:type="dxa"/>
            <w:vMerge w:val="continue"/>
            <w:tcBorders>
              <w:top w:val="nil"/>
              <w:bottom w:val="nil"/>
            </w:tcBorders>
            <w:vAlign w:val="top"/>
          </w:tcPr>
          <w:p w14:paraId="49AE9335">
            <w:pPr>
              <w:rPr>
                <w:rFonts w:ascii="Arial"/>
                <w:sz w:val="21"/>
              </w:rPr>
            </w:pPr>
          </w:p>
        </w:tc>
        <w:tc>
          <w:tcPr>
            <w:tcW w:w="2460" w:type="dxa"/>
            <w:vMerge w:val="restart"/>
            <w:tcBorders>
              <w:bottom w:val="nil"/>
            </w:tcBorders>
            <w:vAlign w:val="top"/>
          </w:tcPr>
          <w:p w14:paraId="3D623E4B">
            <w:pPr>
              <w:spacing w:line="418" w:lineRule="auto"/>
              <w:rPr>
                <w:rFonts w:ascii="Arial"/>
                <w:sz w:val="21"/>
              </w:rPr>
            </w:pPr>
          </w:p>
          <w:p w14:paraId="21A56E4C">
            <w:pPr>
              <w:pStyle w:val="6"/>
              <w:spacing w:before="65" w:line="216" w:lineRule="auto"/>
              <w:ind w:left="62"/>
              <w:rPr>
                <w:rFonts w:ascii="FangSong_GB2312" w:hAnsi="FangSong_GB2312" w:eastAsia="FangSong_GB2312" w:cs="FangSong_GB2312"/>
              </w:rPr>
            </w:pPr>
            <w:r>
              <w:rPr>
                <w:rFonts w:ascii="FangSong_GB2312" w:hAnsi="FangSong_GB2312" w:eastAsia="FangSong_GB2312" w:cs="FangSong_GB2312"/>
                <w:spacing w:val="-2"/>
              </w:rPr>
              <w:t>黑臭水体比例（</w:t>
            </w:r>
            <w:r>
              <w:rPr>
                <w:spacing w:val="-2"/>
              </w:rPr>
              <w:t>%</w:t>
            </w:r>
            <w:r>
              <w:rPr>
                <w:rFonts w:ascii="FangSong_GB2312" w:hAnsi="FangSong_GB2312" w:eastAsia="FangSong_GB2312" w:cs="FangSong_GB2312"/>
                <w:spacing w:val="-2"/>
              </w:rPr>
              <w:t>）</w:t>
            </w:r>
          </w:p>
        </w:tc>
        <w:tc>
          <w:tcPr>
            <w:tcW w:w="2237" w:type="dxa"/>
            <w:vAlign w:val="top"/>
          </w:tcPr>
          <w:p w14:paraId="5E6DDCC5">
            <w:pPr>
              <w:spacing w:before="72" w:line="214" w:lineRule="auto"/>
              <w:ind w:left="8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中心城区</w:t>
            </w:r>
          </w:p>
        </w:tc>
        <w:tc>
          <w:tcPr>
            <w:tcW w:w="2103" w:type="dxa"/>
            <w:vAlign w:val="top"/>
          </w:tcPr>
          <w:p w14:paraId="7011F5EF">
            <w:pPr>
              <w:pStyle w:val="6"/>
              <w:spacing w:before="71" w:line="241" w:lineRule="auto"/>
              <w:ind w:left="1009"/>
            </w:pPr>
            <w:r>
              <w:t>0</w:t>
            </w:r>
          </w:p>
        </w:tc>
        <w:tc>
          <w:tcPr>
            <w:tcW w:w="2224" w:type="dxa"/>
            <w:vAlign w:val="top"/>
          </w:tcPr>
          <w:p w14:paraId="297AADF3">
            <w:pPr>
              <w:spacing w:before="72" w:line="216" w:lineRule="auto"/>
              <w:ind w:left="51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保持长治久清</w:t>
            </w:r>
          </w:p>
        </w:tc>
        <w:tc>
          <w:tcPr>
            <w:tcW w:w="2148" w:type="dxa"/>
            <w:vAlign w:val="top"/>
          </w:tcPr>
          <w:p w14:paraId="045F9DE2">
            <w:pPr>
              <w:spacing w:before="72" w:line="216" w:lineRule="auto"/>
              <w:ind w:left="476"/>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保持长治久清</w:t>
            </w:r>
          </w:p>
        </w:tc>
      </w:tr>
      <w:tr w14:paraId="337E1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continue"/>
            <w:tcBorders>
              <w:top w:val="nil"/>
              <w:bottom w:val="nil"/>
            </w:tcBorders>
            <w:vAlign w:val="top"/>
          </w:tcPr>
          <w:p w14:paraId="46116FE6">
            <w:pPr>
              <w:rPr>
                <w:rFonts w:ascii="Arial"/>
                <w:sz w:val="21"/>
              </w:rPr>
            </w:pPr>
          </w:p>
        </w:tc>
        <w:tc>
          <w:tcPr>
            <w:tcW w:w="1000" w:type="dxa"/>
            <w:vMerge w:val="continue"/>
            <w:tcBorders>
              <w:top w:val="nil"/>
              <w:bottom w:val="nil"/>
            </w:tcBorders>
            <w:vAlign w:val="top"/>
          </w:tcPr>
          <w:p w14:paraId="53AF5E42">
            <w:pPr>
              <w:rPr>
                <w:rFonts w:ascii="Arial"/>
                <w:sz w:val="21"/>
              </w:rPr>
            </w:pPr>
          </w:p>
        </w:tc>
        <w:tc>
          <w:tcPr>
            <w:tcW w:w="2460" w:type="dxa"/>
            <w:vMerge w:val="continue"/>
            <w:tcBorders>
              <w:top w:val="nil"/>
              <w:bottom w:val="nil"/>
            </w:tcBorders>
            <w:vAlign w:val="top"/>
          </w:tcPr>
          <w:p w14:paraId="26CBCE8A">
            <w:pPr>
              <w:rPr>
                <w:rFonts w:ascii="Arial"/>
                <w:sz w:val="21"/>
              </w:rPr>
            </w:pPr>
          </w:p>
        </w:tc>
        <w:tc>
          <w:tcPr>
            <w:tcW w:w="2237" w:type="dxa"/>
            <w:vAlign w:val="top"/>
          </w:tcPr>
          <w:p w14:paraId="00C0874A">
            <w:pPr>
              <w:spacing w:before="73" w:line="216" w:lineRule="auto"/>
              <w:ind w:left="5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县级及以上城市</w:t>
            </w:r>
          </w:p>
        </w:tc>
        <w:tc>
          <w:tcPr>
            <w:tcW w:w="2103" w:type="dxa"/>
            <w:vAlign w:val="top"/>
          </w:tcPr>
          <w:p w14:paraId="01BAB18C">
            <w:pPr>
              <w:spacing w:before="166" w:line="136" w:lineRule="exact"/>
              <w:ind w:left="967"/>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t>—</w:t>
            </w:r>
          </w:p>
        </w:tc>
        <w:tc>
          <w:tcPr>
            <w:tcW w:w="2224" w:type="dxa"/>
            <w:vAlign w:val="top"/>
          </w:tcPr>
          <w:p w14:paraId="07EDDF47">
            <w:pPr>
              <w:spacing w:before="72" w:line="218" w:lineRule="auto"/>
              <w:ind w:left="713"/>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基本消除</w:t>
            </w:r>
          </w:p>
        </w:tc>
        <w:tc>
          <w:tcPr>
            <w:tcW w:w="2148" w:type="dxa"/>
            <w:vAlign w:val="top"/>
          </w:tcPr>
          <w:p w14:paraId="768DD6EF">
            <w:pPr>
              <w:spacing w:before="72" w:line="216" w:lineRule="auto"/>
              <w:ind w:left="476"/>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保持长治久清</w:t>
            </w:r>
          </w:p>
        </w:tc>
      </w:tr>
      <w:tr w14:paraId="6C7B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77" w:type="dxa"/>
            <w:vMerge w:val="continue"/>
            <w:tcBorders>
              <w:top w:val="nil"/>
            </w:tcBorders>
            <w:vAlign w:val="top"/>
          </w:tcPr>
          <w:p w14:paraId="44C0B081">
            <w:pPr>
              <w:rPr>
                <w:rFonts w:ascii="Arial"/>
                <w:sz w:val="21"/>
              </w:rPr>
            </w:pPr>
          </w:p>
        </w:tc>
        <w:tc>
          <w:tcPr>
            <w:tcW w:w="1000" w:type="dxa"/>
            <w:vMerge w:val="continue"/>
            <w:tcBorders>
              <w:top w:val="nil"/>
            </w:tcBorders>
            <w:vAlign w:val="top"/>
          </w:tcPr>
          <w:p w14:paraId="6633D98D">
            <w:pPr>
              <w:rPr>
                <w:rFonts w:ascii="Arial"/>
                <w:sz w:val="21"/>
              </w:rPr>
            </w:pPr>
          </w:p>
        </w:tc>
        <w:tc>
          <w:tcPr>
            <w:tcW w:w="2460" w:type="dxa"/>
            <w:vMerge w:val="continue"/>
            <w:tcBorders>
              <w:top w:val="nil"/>
            </w:tcBorders>
            <w:vAlign w:val="top"/>
          </w:tcPr>
          <w:p w14:paraId="2C717AA6">
            <w:pPr>
              <w:rPr>
                <w:rFonts w:ascii="Arial"/>
                <w:sz w:val="21"/>
              </w:rPr>
            </w:pPr>
          </w:p>
        </w:tc>
        <w:tc>
          <w:tcPr>
            <w:tcW w:w="2237" w:type="dxa"/>
            <w:vAlign w:val="top"/>
          </w:tcPr>
          <w:p w14:paraId="652B5A8F">
            <w:pPr>
              <w:spacing w:before="143" w:line="214" w:lineRule="auto"/>
              <w:ind w:left="84"/>
              <w:rPr>
                <w:rFonts w:ascii="FangSong_GB2312" w:hAnsi="FangSong_GB2312" w:eastAsia="FangSong_GB2312" w:cs="FangSong_GB2312"/>
                <w:sz w:val="20"/>
                <w:szCs w:val="20"/>
              </w:rPr>
            </w:pPr>
            <w:r>
              <w:rPr>
                <w:rFonts w:ascii="FangSong_GB2312" w:hAnsi="FangSong_GB2312" w:eastAsia="FangSong_GB2312" w:cs="FangSong_GB2312"/>
                <w:spacing w:val="-7"/>
                <w:sz w:val="20"/>
                <w:szCs w:val="20"/>
              </w:rPr>
              <w:t>乡镇及农村</w:t>
            </w:r>
          </w:p>
        </w:tc>
        <w:tc>
          <w:tcPr>
            <w:tcW w:w="2103" w:type="dxa"/>
            <w:vAlign w:val="top"/>
          </w:tcPr>
          <w:p w14:paraId="456878B3">
            <w:pPr>
              <w:pStyle w:val="6"/>
              <w:spacing w:before="142"/>
              <w:ind w:left="862"/>
            </w:pPr>
            <w:r>
              <w:rPr>
                <w:spacing w:val="-3"/>
              </w:rPr>
              <w:t>37.2</w:t>
            </w:r>
          </w:p>
        </w:tc>
        <w:tc>
          <w:tcPr>
            <w:tcW w:w="2224" w:type="dxa"/>
            <w:vAlign w:val="top"/>
          </w:tcPr>
          <w:p w14:paraId="647424C9">
            <w:pPr>
              <w:spacing w:before="23" w:line="214" w:lineRule="auto"/>
              <w:ind w:left="114"/>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基本消除大面积黑臭水</w:t>
            </w:r>
          </w:p>
          <w:p w14:paraId="66F981AA">
            <w:pPr>
              <w:spacing w:before="8" w:line="195" w:lineRule="auto"/>
              <w:ind w:left="1012"/>
              <w:rPr>
                <w:rFonts w:ascii="FangSong_GB2312" w:hAnsi="FangSong_GB2312" w:eastAsia="FangSong_GB2312" w:cs="FangSong_GB2312"/>
                <w:sz w:val="20"/>
                <w:szCs w:val="20"/>
              </w:rPr>
            </w:pPr>
            <w:r>
              <w:rPr>
                <w:rFonts w:ascii="FangSong_GB2312" w:hAnsi="FangSong_GB2312" w:eastAsia="FangSong_GB2312" w:cs="FangSong_GB2312"/>
                <w:sz w:val="20"/>
                <w:szCs w:val="20"/>
              </w:rPr>
              <w:t>体</w:t>
            </w:r>
          </w:p>
        </w:tc>
        <w:tc>
          <w:tcPr>
            <w:tcW w:w="2148" w:type="dxa"/>
            <w:vAlign w:val="top"/>
          </w:tcPr>
          <w:p w14:paraId="774B89D2">
            <w:pPr>
              <w:spacing w:before="142" w:line="216" w:lineRule="auto"/>
              <w:ind w:left="476"/>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保持长治久清</w:t>
            </w:r>
          </w:p>
        </w:tc>
      </w:tr>
      <w:tr w14:paraId="6733B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restart"/>
            <w:tcBorders>
              <w:bottom w:val="nil"/>
            </w:tcBorders>
            <w:vAlign w:val="top"/>
          </w:tcPr>
          <w:p w14:paraId="47041C23">
            <w:pPr>
              <w:pStyle w:val="6"/>
              <w:spacing w:before="241" w:line="241" w:lineRule="auto"/>
              <w:ind w:left="196"/>
            </w:pPr>
            <w:r>
              <w:rPr>
                <w:spacing w:val="-3"/>
              </w:rPr>
              <w:t>20</w:t>
            </w:r>
          </w:p>
        </w:tc>
        <w:tc>
          <w:tcPr>
            <w:tcW w:w="1000" w:type="dxa"/>
            <w:vMerge w:val="restart"/>
            <w:tcBorders>
              <w:bottom w:val="nil"/>
            </w:tcBorders>
            <w:vAlign w:val="top"/>
          </w:tcPr>
          <w:p w14:paraId="3384733D">
            <w:pPr>
              <w:spacing w:line="262" w:lineRule="auto"/>
              <w:rPr>
                <w:rFonts w:ascii="Arial"/>
                <w:sz w:val="21"/>
              </w:rPr>
            </w:pPr>
          </w:p>
          <w:p w14:paraId="50035D56">
            <w:pPr>
              <w:spacing w:line="262" w:lineRule="auto"/>
              <w:rPr>
                <w:rFonts w:ascii="Arial"/>
                <w:sz w:val="21"/>
              </w:rPr>
            </w:pPr>
          </w:p>
          <w:p w14:paraId="6FB7344A">
            <w:pPr>
              <w:spacing w:before="65" w:line="216" w:lineRule="auto"/>
              <w:ind w:left="9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健康安全</w:t>
            </w:r>
          </w:p>
        </w:tc>
        <w:tc>
          <w:tcPr>
            <w:tcW w:w="2460" w:type="dxa"/>
            <w:vMerge w:val="restart"/>
            <w:tcBorders>
              <w:bottom w:val="nil"/>
            </w:tcBorders>
            <w:vAlign w:val="top"/>
          </w:tcPr>
          <w:p w14:paraId="7CD06F72">
            <w:pPr>
              <w:pStyle w:val="6"/>
              <w:spacing w:before="121" w:line="228" w:lineRule="auto"/>
              <w:ind w:left="46" w:right="48" w:firstLine="11"/>
              <w:rPr>
                <w:rFonts w:ascii="FangSong_GB2312" w:hAnsi="FangSong_GB2312" w:eastAsia="FangSong_GB2312" w:cs="FangSong_GB2312"/>
              </w:rPr>
            </w:pPr>
            <w:r>
              <w:rPr>
                <w:rFonts w:ascii="FangSong_GB2312" w:hAnsi="FangSong_GB2312" w:eastAsia="FangSong_GB2312" w:cs="FangSong_GB2312"/>
                <w:spacing w:val="13"/>
              </w:rPr>
              <w:t>集中式饮用水水源达标率</w:t>
            </w:r>
            <w:r>
              <w:rPr>
                <w:rFonts w:ascii="FangSong_GB2312" w:hAnsi="FangSong_GB2312" w:eastAsia="FangSong_GB2312" w:cs="FangSong_GB2312"/>
              </w:rPr>
              <w:t>（</w:t>
            </w:r>
            <w:r>
              <w:t>%</w:t>
            </w:r>
            <w:r>
              <w:rPr>
                <w:rFonts w:ascii="FangSong_GB2312" w:hAnsi="FangSong_GB2312" w:eastAsia="FangSong_GB2312" w:cs="FangSong_GB2312"/>
              </w:rPr>
              <w:t>）</w:t>
            </w:r>
          </w:p>
        </w:tc>
        <w:tc>
          <w:tcPr>
            <w:tcW w:w="2237" w:type="dxa"/>
            <w:vAlign w:val="top"/>
          </w:tcPr>
          <w:p w14:paraId="5E71753C">
            <w:pPr>
              <w:spacing w:before="73" w:line="214" w:lineRule="auto"/>
              <w:ind w:left="80"/>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中心城区</w:t>
            </w:r>
          </w:p>
        </w:tc>
        <w:tc>
          <w:tcPr>
            <w:tcW w:w="2103" w:type="dxa"/>
            <w:vAlign w:val="top"/>
          </w:tcPr>
          <w:p w14:paraId="4D026390">
            <w:pPr>
              <w:pStyle w:val="6"/>
              <w:spacing w:before="72" w:line="241" w:lineRule="auto"/>
              <w:ind w:left="922"/>
            </w:pPr>
            <w:r>
              <w:rPr>
                <w:spacing w:val="-8"/>
              </w:rPr>
              <w:t>100</w:t>
            </w:r>
          </w:p>
        </w:tc>
        <w:tc>
          <w:tcPr>
            <w:tcW w:w="2224" w:type="dxa"/>
            <w:vAlign w:val="top"/>
          </w:tcPr>
          <w:p w14:paraId="22E922E2">
            <w:pPr>
              <w:spacing w:before="72" w:line="216" w:lineRule="auto"/>
              <w:ind w:left="714"/>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c>
          <w:tcPr>
            <w:tcW w:w="2148" w:type="dxa"/>
            <w:vAlign w:val="top"/>
          </w:tcPr>
          <w:p w14:paraId="27538E53">
            <w:pPr>
              <w:spacing w:before="72" w:line="216" w:lineRule="auto"/>
              <w:ind w:left="6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r>
      <w:tr w14:paraId="0A569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Merge w:val="continue"/>
            <w:tcBorders>
              <w:top w:val="nil"/>
            </w:tcBorders>
            <w:vAlign w:val="top"/>
          </w:tcPr>
          <w:p w14:paraId="205132BA">
            <w:pPr>
              <w:rPr>
                <w:rFonts w:ascii="Arial"/>
                <w:sz w:val="21"/>
              </w:rPr>
            </w:pPr>
          </w:p>
        </w:tc>
        <w:tc>
          <w:tcPr>
            <w:tcW w:w="1000" w:type="dxa"/>
            <w:vMerge w:val="continue"/>
            <w:tcBorders>
              <w:top w:val="nil"/>
              <w:bottom w:val="nil"/>
            </w:tcBorders>
            <w:vAlign w:val="top"/>
          </w:tcPr>
          <w:p w14:paraId="5AED46D4">
            <w:pPr>
              <w:rPr>
                <w:rFonts w:ascii="Arial"/>
                <w:sz w:val="21"/>
              </w:rPr>
            </w:pPr>
          </w:p>
        </w:tc>
        <w:tc>
          <w:tcPr>
            <w:tcW w:w="2460" w:type="dxa"/>
            <w:vMerge w:val="continue"/>
            <w:tcBorders>
              <w:top w:val="nil"/>
            </w:tcBorders>
            <w:vAlign w:val="top"/>
          </w:tcPr>
          <w:p w14:paraId="1ABE1883">
            <w:pPr>
              <w:rPr>
                <w:rFonts w:ascii="Arial"/>
                <w:sz w:val="21"/>
              </w:rPr>
            </w:pPr>
          </w:p>
        </w:tc>
        <w:tc>
          <w:tcPr>
            <w:tcW w:w="2237" w:type="dxa"/>
            <w:vAlign w:val="top"/>
          </w:tcPr>
          <w:p w14:paraId="79AD813D">
            <w:pPr>
              <w:spacing w:before="73" w:line="216" w:lineRule="auto"/>
              <w:ind w:left="5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县级及以上城市</w:t>
            </w:r>
          </w:p>
        </w:tc>
        <w:tc>
          <w:tcPr>
            <w:tcW w:w="2103" w:type="dxa"/>
            <w:vAlign w:val="top"/>
          </w:tcPr>
          <w:p w14:paraId="43EF1D35">
            <w:pPr>
              <w:pStyle w:val="6"/>
              <w:spacing w:before="72" w:line="241" w:lineRule="auto"/>
              <w:ind w:left="922"/>
            </w:pPr>
            <w:r>
              <w:rPr>
                <w:spacing w:val="-8"/>
              </w:rPr>
              <w:t>100</w:t>
            </w:r>
          </w:p>
        </w:tc>
        <w:tc>
          <w:tcPr>
            <w:tcW w:w="2224" w:type="dxa"/>
            <w:vAlign w:val="top"/>
          </w:tcPr>
          <w:p w14:paraId="67CBD16C">
            <w:pPr>
              <w:spacing w:before="73" w:line="216" w:lineRule="auto"/>
              <w:ind w:left="714"/>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c>
          <w:tcPr>
            <w:tcW w:w="2148" w:type="dxa"/>
            <w:vAlign w:val="top"/>
          </w:tcPr>
          <w:p w14:paraId="418E6198">
            <w:pPr>
              <w:spacing w:before="73" w:line="216" w:lineRule="auto"/>
              <w:ind w:left="6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保持稳定</w:t>
            </w:r>
          </w:p>
        </w:tc>
      </w:tr>
      <w:tr w14:paraId="58315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642EA7C4">
            <w:pPr>
              <w:pStyle w:val="6"/>
              <w:spacing w:before="72" w:line="242" w:lineRule="auto"/>
              <w:ind w:left="196"/>
            </w:pPr>
            <w:r>
              <w:rPr>
                <w:spacing w:val="-3"/>
              </w:rPr>
              <w:t>21</w:t>
            </w:r>
          </w:p>
        </w:tc>
        <w:tc>
          <w:tcPr>
            <w:tcW w:w="1000" w:type="dxa"/>
            <w:vMerge w:val="continue"/>
            <w:tcBorders>
              <w:top w:val="nil"/>
              <w:bottom w:val="nil"/>
            </w:tcBorders>
            <w:vAlign w:val="top"/>
          </w:tcPr>
          <w:p w14:paraId="4871882B">
            <w:pPr>
              <w:rPr>
                <w:rFonts w:ascii="Arial"/>
                <w:sz w:val="21"/>
              </w:rPr>
            </w:pPr>
          </w:p>
        </w:tc>
        <w:tc>
          <w:tcPr>
            <w:tcW w:w="4697" w:type="dxa"/>
            <w:gridSpan w:val="2"/>
            <w:vAlign w:val="top"/>
          </w:tcPr>
          <w:p w14:paraId="4F827699">
            <w:pPr>
              <w:pStyle w:val="6"/>
              <w:spacing w:before="72" w:line="216" w:lineRule="auto"/>
              <w:ind w:left="62"/>
              <w:rPr>
                <w:rFonts w:ascii="FangSong_GB2312" w:hAnsi="FangSong_GB2312" w:eastAsia="FangSong_GB2312" w:cs="FangSong_GB2312"/>
              </w:rPr>
            </w:pPr>
            <w:r>
              <w:rPr>
                <w:rFonts w:ascii="FangSong_GB2312" w:hAnsi="FangSong_GB2312" w:eastAsia="FangSong_GB2312" w:cs="FangSong_GB2312"/>
                <w:spacing w:val="-2"/>
              </w:rPr>
              <w:t>受污染耕地安全利用率（</w:t>
            </w:r>
            <w:r>
              <w:rPr>
                <w:spacing w:val="-2"/>
              </w:rPr>
              <w:t>%</w:t>
            </w:r>
            <w:r>
              <w:rPr>
                <w:rFonts w:ascii="FangSong_GB2312" w:hAnsi="FangSong_GB2312" w:eastAsia="FangSong_GB2312" w:cs="FangSong_GB2312"/>
                <w:spacing w:val="-2"/>
              </w:rPr>
              <w:t>）</w:t>
            </w:r>
          </w:p>
        </w:tc>
        <w:tc>
          <w:tcPr>
            <w:tcW w:w="2103" w:type="dxa"/>
            <w:vAlign w:val="top"/>
          </w:tcPr>
          <w:p w14:paraId="6157F6CA">
            <w:pPr>
              <w:pStyle w:val="6"/>
              <w:spacing w:before="72" w:line="241" w:lineRule="auto"/>
              <w:ind w:left="901"/>
            </w:pPr>
            <w:r>
              <w:rPr>
                <w:rFonts w:ascii="FangSong_GB2312" w:hAnsi="FangSong_GB2312" w:eastAsia="FangSong_GB2312" w:cs="FangSong_GB2312"/>
                <w:spacing w:val="-17"/>
              </w:rPr>
              <w:t>≥</w:t>
            </w:r>
            <w:r>
              <w:rPr>
                <w:spacing w:val="-17"/>
              </w:rPr>
              <w:t>93</w:t>
            </w:r>
          </w:p>
        </w:tc>
        <w:tc>
          <w:tcPr>
            <w:tcW w:w="2224" w:type="dxa"/>
            <w:vAlign w:val="top"/>
          </w:tcPr>
          <w:p w14:paraId="15E3DC28">
            <w:pPr>
              <w:pStyle w:val="6"/>
              <w:spacing w:before="72" w:line="241" w:lineRule="auto"/>
              <w:ind w:left="960"/>
            </w:pPr>
            <w:r>
              <w:rPr>
                <w:rFonts w:ascii="FangSong_GB2312" w:hAnsi="FangSong_GB2312" w:eastAsia="FangSong_GB2312" w:cs="FangSong_GB2312"/>
                <w:spacing w:val="-17"/>
              </w:rPr>
              <w:t>≥</w:t>
            </w:r>
            <w:r>
              <w:rPr>
                <w:spacing w:val="-17"/>
              </w:rPr>
              <w:t>93</w:t>
            </w:r>
          </w:p>
        </w:tc>
        <w:tc>
          <w:tcPr>
            <w:tcW w:w="2148" w:type="dxa"/>
            <w:vAlign w:val="top"/>
          </w:tcPr>
          <w:p w14:paraId="316F9E83">
            <w:pPr>
              <w:pStyle w:val="6"/>
              <w:spacing w:before="71" w:line="241" w:lineRule="auto"/>
              <w:ind w:left="921"/>
            </w:pPr>
            <w:r>
              <w:rPr>
                <w:rFonts w:ascii="FangSong_GB2312" w:hAnsi="FangSong_GB2312" w:eastAsia="FangSong_GB2312" w:cs="FangSong_GB2312"/>
                <w:spacing w:val="-17"/>
              </w:rPr>
              <w:t>≥</w:t>
            </w:r>
            <w:r>
              <w:rPr>
                <w:spacing w:val="-17"/>
              </w:rPr>
              <w:t>93</w:t>
            </w:r>
          </w:p>
        </w:tc>
      </w:tr>
      <w:tr w14:paraId="7FF2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054F6849">
            <w:pPr>
              <w:pStyle w:val="6"/>
              <w:spacing w:before="73" w:line="241" w:lineRule="auto"/>
              <w:ind w:left="196"/>
            </w:pPr>
            <w:r>
              <w:rPr>
                <w:spacing w:val="-3"/>
              </w:rPr>
              <w:t>22</w:t>
            </w:r>
          </w:p>
        </w:tc>
        <w:tc>
          <w:tcPr>
            <w:tcW w:w="1000" w:type="dxa"/>
            <w:vMerge w:val="continue"/>
            <w:tcBorders>
              <w:top w:val="nil"/>
            </w:tcBorders>
            <w:vAlign w:val="top"/>
          </w:tcPr>
          <w:p w14:paraId="3B35BF99">
            <w:pPr>
              <w:rPr>
                <w:rFonts w:ascii="Arial"/>
                <w:sz w:val="21"/>
              </w:rPr>
            </w:pPr>
          </w:p>
        </w:tc>
        <w:tc>
          <w:tcPr>
            <w:tcW w:w="4697" w:type="dxa"/>
            <w:gridSpan w:val="2"/>
            <w:vAlign w:val="top"/>
          </w:tcPr>
          <w:p w14:paraId="60A3EED6">
            <w:pPr>
              <w:spacing w:before="74" w:line="214" w:lineRule="auto"/>
              <w:ind w:left="62"/>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重点建设用地安全利用</w:t>
            </w:r>
          </w:p>
        </w:tc>
        <w:tc>
          <w:tcPr>
            <w:tcW w:w="2103" w:type="dxa"/>
            <w:vAlign w:val="top"/>
          </w:tcPr>
          <w:p w14:paraId="64D35ACA">
            <w:pPr>
              <w:spacing w:before="167" w:line="136" w:lineRule="exact"/>
              <w:ind w:left="967"/>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t>—</w:t>
            </w:r>
          </w:p>
        </w:tc>
        <w:tc>
          <w:tcPr>
            <w:tcW w:w="2224" w:type="dxa"/>
            <w:vAlign w:val="top"/>
          </w:tcPr>
          <w:p w14:paraId="09EFBA57">
            <w:pPr>
              <w:spacing w:before="73" w:line="216" w:lineRule="auto"/>
              <w:ind w:left="72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有效保障</w:t>
            </w:r>
          </w:p>
        </w:tc>
        <w:tc>
          <w:tcPr>
            <w:tcW w:w="2148" w:type="dxa"/>
            <w:vAlign w:val="top"/>
          </w:tcPr>
          <w:p w14:paraId="20E4C50E">
            <w:pPr>
              <w:spacing w:before="73" w:line="216" w:lineRule="auto"/>
              <w:ind w:left="683"/>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有效保障</w:t>
            </w:r>
          </w:p>
        </w:tc>
      </w:tr>
      <w:tr w14:paraId="57096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Merge w:val="restart"/>
            <w:tcBorders>
              <w:bottom w:val="nil"/>
            </w:tcBorders>
            <w:vAlign w:val="top"/>
          </w:tcPr>
          <w:p w14:paraId="507C7AA4">
            <w:pPr>
              <w:spacing w:line="350" w:lineRule="auto"/>
              <w:rPr>
                <w:rFonts w:ascii="Arial"/>
                <w:sz w:val="21"/>
              </w:rPr>
            </w:pPr>
          </w:p>
          <w:p w14:paraId="2CA79102">
            <w:pPr>
              <w:pStyle w:val="6"/>
              <w:spacing w:before="65" w:line="241" w:lineRule="auto"/>
              <w:ind w:left="196"/>
            </w:pPr>
            <w:r>
              <w:rPr>
                <w:spacing w:val="-3"/>
              </w:rPr>
              <w:t>23</w:t>
            </w:r>
          </w:p>
        </w:tc>
        <w:tc>
          <w:tcPr>
            <w:tcW w:w="1000" w:type="dxa"/>
            <w:vMerge w:val="restart"/>
            <w:tcBorders>
              <w:bottom w:val="nil"/>
            </w:tcBorders>
            <w:vAlign w:val="top"/>
          </w:tcPr>
          <w:p w14:paraId="526FC9A9">
            <w:pPr>
              <w:spacing w:line="261" w:lineRule="auto"/>
              <w:rPr>
                <w:rFonts w:ascii="Arial"/>
                <w:sz w:val="21"/>
              </w:rPr>
            </w:pPr>
          </w:p>
          <w:p w14:paraId="0E1AEF30">
            <w:pPr>
              <w:spacing w:line="262" w:lineRule="auto"/>
              <w:rPr>
                <w:rFonts w:ascii="Arial"/>
                <w:sz w:val="21"/>
              </w:rPr>
            </w:pPr>
          </w:p>
          <w:p w14:paraId="1F875F1A">
            <w:pPr>
              <w:spacing w:line="262" w:lineRule="auto"/>
              <w:rPr>
                <w:rFonts w:ascii="Arial"/>
                <w:sz w:val="21"/>
              </w:rPr>
            </w:pPr>
          </w:p>
          <w:p w14:paraId="473EE946">
            <w:pPr>
              <w:spacing w:line="262" w:lineRule="auto"/>
              <w:rPr>
                <w:rFonts w:ascii="Arial"/>
                <w:sz w:val="21"/>
              </w:rPr>
            </w:pPr>
          </w:p>
          <w:p w14:paraId="56670E2B">
            <w:pPr>
              <w:spacing w:before="65" w:line="216" w:lineRule="auto"/>
              <w:ind w:left="100"/>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城乡人居</w:t>
            </w:r>
          </w:p>
        </w:tc>
        <w:tc>
          <w:tcPr>
            <w:tcW w:w="2460" w:type="dxa"/>
            <w:vMerge w:val="restart"/>
            <w:tcBorders>
              <w:bottom w:val="nil"/>
            </w:tcBorders>
            <w:vAlign w:val="top"/>
          </w:tcPr>
          <w:p w14:paraId="1ED3697D">
            <w:pPr>
              <w:spacing w:line="350" w:lineRule="auto"/>
              <w:rPr>
                <w:rFonts w:ascii="Arial"/>
                <w:sz w:val="21"/>
              </w:rPr>
            </w:pPr>
          </w:p>
          <w:p w14:paraId="6F56B598">
            <w:pPr>
              <w:pStyle w:val="6"/>
              <w:spacing w:before="65" w:line="216" w:lineRule="auto"/>
              <w:jc w:val="right"/>
              <w:rPr>
                <w:rFonts w:ascii="FangSong_GB2312" w:hAnsi="FangSong_GB2312" w:eastAsia="FangSong_GB2312" w:cs="FangSong_GB2312"/>
              </w:rPr>
            </w:pPr>
            <w:r>
              <w:rPr>
                <w:rFonts w:ascii="FangSong_GB2312" w:hAnsi="FangSong_GB2312" w:eastAsia="FangSong_GB2312" w:cs="FangSong_GB2312"/>
                <w:spacing w:val="-9"/>
              </w:rPr>
              <w:t>生活污水收集、处理率（</w:t>
            </w:r>
            <w:r>
              <w:rPr>
                <w:spacing w:val="-9"/>
              </w:rPr>
              <w:t>%</w:t>
            </w:r>
            <w:r>
              <w:rPr>
                <w:rFonts w:ascii="FangSong_GB2312" w:hAnsi="FangSong_GB2312" w:eastAsia="FangSong_GB2312" w:cs="FangSong_GB2312"/>
                <w:spacing w:val="-9"/>
              </w:rPr>
              <w:t>）</w:t>
            </w:r>
          </w:p>
        </w:tc>
        <w:tc>
          <w:tcPr>
            <w:tcW w:w="2237" w:type="dxa"/>
            <w:vAlign w:val="top"/>
          </w:tcPr>
          <w:p w14:paraId="775693CB">
            <w:pPr>
              <w:spacing w:before="74" w:line="214" w:lineRule="auto"/>
              <w:ind w:left="55"/>
              <w:rPr>
                <w:rFonts w:ascii="FangSong_GB2312" w:hAnsi="FangSong_GB2312" w:eastAsia="FangSong_GB2312" w:cs="FangSong_GB2312"/>
                <w:sz w:val="20"/>
                <w:szCs w:val="20"/>
              </w:rPr>
            </w:pPr>
            <w:r>
              <w:rPr>
                <w:rFonts w:ascii="FangSong_GB2312" w:hAnsi="FangSong_GB2312" w:eastAsia="FangSong_GB2312" w:cs="FangSong_GB2312"/>
                <w:spacing w:val="-14"/>
                <w:sz w:val="20"/>
                <w:szCs w:val="20"/>
              </w:rPr>
              <w:t>城市生活污水集中收集率</w:t>
            </w:r>
          </w:p>
        </w:tc>
        <w:tc>
          <w:tcPr>
            <w:tcW w:w="2103" w:type="dxa"/>
            <w:vAlign w:val="top"/>
          </w:tcPr>
          <w:p w14:paraId="4A6A1DE2">
            <w:pPr>
              <w:spacing w:before="168" w:line="135" w:lineRule="exact"/>
              <w:ind w:left="967"/>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t>—</w:t>
            </w:r>
          </w:p>
        </w:tc>
        <w:tc>
          <w:tcPr>
            <w:tcW w:w="2224" w:type="dxa"/>
            <w:vAlign w:val="top"/>
          </w:tcPr>
          <w:p w14:paraId="71DD763F">
            <w:pPr>
              <w:spacing w:before="74" w:line="214" w:lineRule="auto"/>
              <w:ind w:left="318"/>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c>
          <w:tcPr>
            <w:tcW w:w="2148" w:type="dxa"/>
            <w:vAlign w:val="top"/>
          </w:tcPr>
          <w:p w14:paraId="6800EEB2">
            <w:pPr>
              <w:spacing w:before="74"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r>
      <w:tr w14:paraId="52B5A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continue"/>
            <w:tcBorders>
              <w:top w:val="nil"/>
              <w:bottom w:val="nil"/>
            </w:tcBorders>
            <w:vAlign w:val="top"/>
          </w:tcPr>
          <w:p w14:paraId="09E0755A">
            <w:pPr>
              <w:rPr>
                <w:rFonts w:ascii="Arial"/>
                <w:sz w:val="21"/>
              </w:rPr>
            </w:pPr>
          </w:p>
        </w:tc>
        <w:tc>
          <w:tcPr>
            <w:tcW w:w="1000" w:type="dxa"/>
            <w:vMerge w:val="continue"/>
            <w:tcBorders>
              <w:top w:val="nil"/>
              <w:bottom w:val="nil"/>
            </w:tcBorders>
            <w:vAlign w:val="top"/>
          </w:tcPr>
          <w:p w14:paraId="2547B2DE">
            <w:pPr>
              <w:rPr>
                <w:rFonts w:ascii="Arial"/>
                <w:sz w:val="21"/>
              </w:rPr>
            </w:pPr>
          </w:p>
        </w:tc>
        <w:tc>
          <w:tcPr>
            <w:tcW w:w="2460" w:type="dxa"/>
            <w:vMerge w:val="continue"/>
            <w:tcBorders>
              <w:top w:val="nil"/>
              <w:bottom w:val="nil"/>
            </w:tcBorders>
            <w:vAlign w:val="top"/>
          </w:tcPr>
          <w:p w14:paraId="5DCE8B27">
            <w:pPr>
              <w:rPr>
                <w:rFonts w:ascii="Arial"/>
                <w:sz w:val="21"/>
              </w:rPr>
            </w:pPr>
          </w:p>
        </w:tc>
        <w:tc>
          <w:tcPr>
            <w:tcW w:w="2237" w:type="dxa"/>
            <w:vAlign w:val="top"/>
          </w:tcPr>
          <w:p w14:paraId="2615F68A">
            <w:pPr>
              <w:spacing w:before="74" w:line="214" w:lineRule="auto"/>
              <w:ind w:left="5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县城生活污水处理率</w:t>
            </w:r>
          </w:p>
        </w:tc>
        <w:tc>
          <w:tcPr>
            <w:tcW w:w="2103" w:type="dxa"/>
            <w:vAlign w:val="top"/>
          </w:tcPr>
          <w:p w14:paraId="61EC573F">
            <w:pPr>
              <w:pStyle w:val="6"/>
              <w:spacing w:before="73" w:line="241" w:lineRule="auto"/>
              <w:ind w:left="958"/>
            </w:pPr>
            <w:r>
              <w:rPr>
                <w:spacing w:val="-2"/>
              </w:rPr>
              <w:t>92</w:t>
            </w:r>
          </w:p>
        </w:tc>
        <w:tc>
          <w:tcPr>
            <w:tcW w:w="2224" w:type="dxa"/>
            <w:vAlign w:val="top"/>
          </w:tcPr>
          <w:p w14:paraId="414EE05D">
            <w:pPr>
              <w:pStyle w:val="6"/>
              <w:spacing w:before="73" w:line="241" w:lineRule="auto"/>
              <w:ind w:left="1017"/>
            </w:pPr>
            <w:r>
              <w:rPr>
                <w:spacing w:val="-2"/>
              </w:rPr>
              <w:t>95</w:t>
            </w:r>
          </w:p>
        </w:tc>
        <w:tc>
          <w:tcPr>
            <w:tcW w:w="2148" w:type="dxa"/>
            <w:vAlign w:val="top"/>
          </w:tcPr>
          <w:p w14:paraId="0C2A7BDE">
            <w:pPr>
              <w:spacing w:before="74"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r>
      <w:tr w14:paraId="1D91B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Merge w:val="continue"/>
            <w:tcBorders>
              <w:top w:val="nil"/>
            </w:tcBorders>
            <w:vAlign w:val="top"/>
          </w:tcPr>
          <w:p w14:paraId="15104809">
            <w:pPr>
              <w:rPr>
                <w:rFonts w:ascii="Arial"/>
                <w:sz w:val="21"/>
              </w:rPr>
            </w:pPr>
          </w:p>
        </w:tc>
        <w:tc>
          <w:tcPr>
            <w:tcW w:w="1000" w:type="dxa"/>
            <w:vMerge w:val="continue"/>
            <w:tcBorders>
              <w:top w:val="nil"/>
              <w:bottom w:val="nil"/>
            </w:tcBorders>
            <w:vAlign w:val="top"/>
          </w:tcPr>
          <w:p w14:paraId="5385858A">
            <w:pPr>
              <w:rPr>
                <w:rFonts w:ascii="Arial"/>
                <w:sz w:val="21"/>
              </w:rPr>
            </w:pPr>
          </w:p>
        </w:tc>
        <w:tc>
          <w:tcPr>
            <w:tcW w:w="2460" w:type="dxa"/>
            <w:vMerge w:val="continue"/>
            <w:tcBorders>
              <w:top w:val="nil"/>
            </w:tcBorders>
            <w:vAlign w:val="top"/>
          </w:tcPr>
          <w:p w14:paraId="07568467">
            <w:pPr>
              <w:rPr>
                <w:rFonts w:ascii="Arial"/>
                <w:sz w:val="21"/>
              </w:rPr>
            </w:pPr>
          </w:p>
        </w:tc>
        <w:tc>
          <w:tcPr>
            <w:tcW w:w="2237" w:type="dxa"/>
            <w:vAlign w:val="top"/>
          </w:tcPr>
          <w:p w14:paraId="445355D5">
            <w:pPr>
              <w:spacing w:before="75" w:line="214" w:lineRule="auto"/>
              <w:ind w:left="58"/>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农村生活污水治理率</w:t>
            </w:r>
          </w:p>
        </w:tc>
        <w:tc>
          <w:tcPr>
            <w:tcW w:w="2103" w:type="dxa"/>
            <w:vAlign w:val="top"/>
          </w:tcPr>
          <w:p w14:paraId="53549E0A">
            <w:pPr>
              <w:pStyle w:val="6"/>
              <w:spacing w:before="75"/>
              <w:ind w:left="961"/>
            </w:pPr>
            <w:r>
              <w:rPr>
                <w:spacing w:val="-3"/>
              </w:rPr>
              <w:t>33</w:t>
            </w:r>
          </w:p>
        </w:tc>
        <w:tc>
          <w:tcPr>
            <w:tcW w:w="2224" w:type="dxa"/>
            <w:vAlign w:val="top"/>
          </w:tcPr>
          <w:p w14:paraId="1CBDF87B">
            <w:pPr>
              <w:pStyle w:val="6"/>
              <w:spacing w:before="75"/>
              <w:ind w:left="1021"/>
            </w:pPr>
            <w:r>
              <w:rPr>
                <w:spacing w:val="-3"/>
              </w:rPr>
              <w:t>50</w:t>
            </w:r>
          </w:p>
        </w:tc>
        <w:tc>
          <w:tcPr>
            <w:tcW w:w="2148" w:type="dxa"/>
            <w:vAlign w:val="top"/>
          </w:tcPr>
          <w:p w14:paraId="16814B64">
            <w:pPr>
              <w:pStyle w:val="6"/>
              <w:spacing w:before="75"/>
              <w:ind w:left="921"/>
            </w:pPr>
            <w:r>
              <w:rPr>
                <w:rFonts w:ascii="FangSong_GB2312" w:hAnsi="FangSong_GB2312" w:eastAsia="FangSong_GB2312" w:cs="FangSong_GB2312"/>
                <w:spacing w:val="-17"/>
              </w:rPr>
              <w:t>≥</w:t>
            </w:r>
            <w:r>
              <w:rPr>
                <w:spacing w:val="-17"/>
              </w:rPr>
              <w:t>55</w:t>
            </w:r>
          </w:p>
        </w:tc>
      </w:tr>
      <w:tr w14:paraId="2090C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497AB7F8">
            <w:pPr>
              <w:pStyle w:val="6"/>
              <w:spacing w:before="75" w:line="239" w:lineRule="auto"/>
              <w:ind w:left="196"/>
            </w:pPr>
            <w:r>
              <w:rPr>
                <w:spacing w:val="-3"/>
              </w:rPr>
              <w:t>24</w:t>
            </w:r>
          </w:p>
        </w:tc>
        <w:tc>
          <w:tcPr>
            <w:tcW w:w="1000" w:type="dxa"/>
            <w:vMerge w:val="continue"/>
            <w:tcBorders>
              <w:top w:val="nil"/>
              <w:bottom w:val="nil"/>
            </w:tcBorders>
            <w:vAlign w:val="top"/>
          </w:tcPr>
          <w:p w14:paraId="0D255EB8">
            <w:pPr>
              <w:rPr>
                <w:rFonts w:ascii="Arial"/>
                <w:sz w:val="21"/>
              </w:rPr>
            </w:pPr>
          </w:p>
        </w:tc>
        <w:tc>
          <w:tcPr>
            <w:tcW w:w="4697" w:type="dxa"/>
            <w:gridSpan w:val="2"/>
            <w:vAlign w:val="top"/>
          </w:tcPr>
          <w:p w14:paraId="484BEFAB">
            <w:pPr>
              <w:pStyle w:val="6"/>
              <w:spacing w:before="69" w:line="215" w:lineRule="auto"/>
              <w:ind w:left="52"/>
              <w:rPr>
                <w:rFonts w:ascii="FangSong_GB2312" w:hAnsi="FangSong_GB2312" w:eastAsia="FangSong_GB2312" w:cs="FangSong_GB2312"/>
                <w:sz w:val="21"/>
                <w:szCs w:val="21"/>
              </w:rPr>
            </w:pPr>
            <w:r>
              <w:rPr>
                <w:rFonts w:ascii="FangSong_GB2312" w:hAnsi="FangSong_GB2312" w:eastAsia="FangSong_GB2312" w:cs="FangSong_GB2312"/>
                <w:spacing w:val="-1"/>
                <w:sz w:val="21"/>
                <w:szCs w:val="21"/>
              </w:rPr>
              <w:t>城市生活垃圾资源化利用率（</w:t>
            </w:r>
            <w:r>
              <w:rPr>
                <w:spacing w:val="-1"/>
                <w:sz w:val="21"/>
                <w:szCs w:val="21"/>
              </w:rPr>
              <w:t>%</w:t>
            </w:r>
            <w:r>
              <w:rPr>
                <w:rFonts w:ascii="FangSong_GB2312" w:hAnsi="FangSong_GB2312" w:eastAsia="FangSong_GB2312" w:cs="FangSong_GB2312"/>
                <w:spacing w:val="-1"/>
                <w:sz w:val="21"/>
                <w:szCs w:val="21"/>
              </w:rPr>
              <w:t>）</w:t>
            </w:r>
          </w:p>
        </w:tc>
        <w:tc>
          <w:tcPr>
            <w:tcW w:w="2103" w:type="dxa"/>
            <w:vAlign w:val="top"/>
          </w:tcPr>
          <w:p w14:paraId="43C8F7EB">
            <w:pPr>
              <w:pStyle w:val="6"/>
              <w:spacing w:before="75" w:line="239" w:lineRule="auto"/>
              <w:ind w:left="811"/>
            </w:pPr>
            <w:r>
              <w:rPr>
                <w:spacing w:val="-3"/>
              </w:rPr>
              <w:t>33.24</w:t>
            </w:r>
          </w:p>
        </w:tc>
        <w:tc>
          <w:tcPr>
            <w:tcW w:w="2224" w:type="dxa"/>
            <w:vAlign w:val="top"/>
          </w:tcPr>
          <w:p w14:paraId="00782E29">
            <w:pPr>
              <w:pStyle w:val="6"/>
              <w:spacing w:before="75" w:line="239" w:lineRule="auto"/>
              <w:ind w:left="1018"/>
            </w:pPr>
            <w:r>
              <w:rPr>
                <w:spacing w:val="-3"/>
              </w:rPr>
              <w:t>60</w:t>
            </w:r>
          </w:p>
        </w:tc>
        <w:tc>
          <w:tcPr>
            <w:tcW w:w="2148" w:type="dxa"/>
            <w:vAlign w:val="top"/>
          </w:tcPr>
          <w:p w14:paraId="58E56118">
            <w:pPr>
              <w:spacing w:before="75"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248BD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62D2A052">
            <w:pPr>
              <w:pStyle w:val="6"/>
              <w:spacing w:before="75"/>
              <w:ind w:left="196"/>
            </w:pPr>
            <w:r>
              <w:rPr>
                <w:spacing w:val="-3"/>
              </w:rPr>
              <w:t>25</w:t>
            </w:r>
          </w:p>
        </w:tc>
        <w:tc>
          <w:tcPr>
            <w:tcW w:w="1000" w:type="dxa"/>
            <w:vMerge w:val="continue"/>
            <w:tcBorders>
              <w:top w:val="nil"/>
              <w:bottom w:val="nil"/>
            </w:tcBorders>
            <w:vAlign w:val="top"/>
          </w:tcPr>
          <w:p w14:paraId="1094B517">
            <w:pPr>
              <w:rPr>
                <w:rFonts w:ascii="Arial"/>
                <w:sz w:val="21"/>
              </w:rPr>
            </w:pPr>
          </w:p>
        </w:tc>
        <w:tc>
          <w:tcPr>
            <w:tcW w:w="4697" w:type="dxa"/>
            <w:gridSpan w:val="2"/>
            <w:vAlign w:val="top"/>
          </w:tcPr>
          <w:p w14:paraId="6CB8F2DB">
            <w:pPr>
              <w:pStyle w:val="6"/>
              <w:spacing w:before="69" w:line="216" w:lineRule="auto"/>
              <w:ind w:left="52"/>
              <w:rPr>
                <w:rFonts w:ascii="FangSong_GB2312" w:hAnsi="FangSong_GB2312" w:eastAsia="FangSong_GB2312" w:cs="FangSong_GB2312"/>
                <w:sz w:val="21"/>
                <w:szCs w:val="21"/>
              </w:rPr>
            </w:pPr>
            <w:r>
              <w:rPr>
                <w:rFonts w:ascii="FangSong_GB2312" w:hAnsi="FangSong_GB2312" w:eastAsia="FangSong_GB2312" w:cs="FangSong_GB2312"/>
                <w:spacing w:val="-1"/>
              </w:rPr>
              <w:t>城市建成区绿地率</w:t>
            </w:r>
            <w:r>
              <w:rPr>
                <w:rFonts w:ascii="FangSong_GB2312" w:hAnsi="FangSong_GB2312" w:eastAsia="FangSong_GB2312" w:cs="FangSong_GB2312"/>
                <w:spacing w:val="-1"/>
                <w:sz w:val="21"/>
                <w:szCs w:val="21"/>
              </w:rPr>
              <w:t>（</w:t>
            </w:r>
            <w:r>
              <w:rPr>
                <w:spacing w:val="-1"/>
                <w:sz w:val="21"/>
                <w:szCs w:val="21"/>
              </w:rPr>
              <w:t>%</w:t>
            </w:r>
            <w:r>
              <w:rPr>
                <w:rFonts w:ascii="FangSong_GB2312" w:hAnsi="FangSong_GB2312" w:eastAsia="FangSong_GB2312" w:cs="FangSong_GB2312"/>
                <w:spacing w:val="-1"/>
                <w:sz w:val="21"/>
                <w:szCs w:val="21"/>
              </w:rPr>
              <w:t>）</w:t>
            </w:r>
          </w:p>
        </w:tc>
        <w:tc>
          <w:tcPr>
            <w:tcW w:w="2103" w:type="dxa"/>
            <w:vAlign w:val="top"/>
          </w:tcPr>
          <w:p w14:paraId="1438EEAD">
            <w:pPr>
              <w:pStyle w:val="6"/>
              <w:spacing w:before="75"/>
              <w:ind w:left="806"/>
            </w:pPr>
            <w:r>
              <w:rPr>
                <w:spacing w:val="-2"/>
              </w:rPr>
              <w:t>42.72</w:t>
            </w:r>
          </w:p>
        </w:tc>
        <w:tc>
          <w:tcPr>
            <w:tcW w:w="2224" w:type="dxa"/>
            <w:vAlign w:val="top"/>
          </w:tcPr>
          <w:p w14:paraId="1629A1EC">
            <w:pPr>
              <w:pStyle w:val="6"/>
              <w:spacing w:before="75"/>
              <w:ind w:left="866"/>
            </w:pPr>
            <w:r>
              <w:rPr>
                <w:spacing w:val="-2"/>
              </w:rPr>
              <w:t>43.55</w:t>
            </w:r>
          </w:p>
        </w:tc>
        <w:tc>
          <w:tcPr>
            <w:tcW w:w="2148" w:type="dxa"/>
            <w:vAlign w:val="top"/>
          </w:tcPr>
          <w:p w14:paraId="57BAB033">
            <w:pPr>
              <w:pStyle w:val="6"/>
              <w:spacing w:before="75"/>
              <w:ind w:left="827"/>
            </w:pPr>
            <w:r>
              <w:rPr>
                <w:spacing w:val="-2"/>
              </w:rPr>
              <w:t>43.60</w:t>
            </w:r>
          </w:p>
        </w:tc>
      </w:tr>
      <w:tr w14:paraId="65428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38500F3A">
            <w:pPr>
              <w:pStyle w:val="6"/>
              <w:spacing w:before="75"/>
              <w:ind w:left="196"/>
            </w:pPr>
            <w:r>
              <w:rPr>
                <w:spacing w:val="-3"/>
              </w:rPr>
              <w:t>26</w:t>
            </w:r>
          </w:p>
        </w:tc>
        <w:tc>
          <w:tcPr>
            <w:tcW w:w="1000" w:type="dxa"/>
            <w:vMerge w:val="continue"/>
            <w:tcBorders>
              <w:top w:val="nil"/>
              <w:bottom w:val="nil"/>
            </w:tcBorders>
            <w:vAlign w:val="top"/>
          </w:tcPr>
          <w:p w14:paraId="6F2D713D">
            <w:pPr>
              <w:rPr>
                <w:rFonts w:ascii="Arial"/>
                <w:sz w:val="21"/>
              </w:rPr>
            </w:pPr>
          </w:p>
        </w:tc>
        <w:tc>
          <w:tcPr>
            <w:tcW w:w="4697" w:type="dxa"/>
            <w:gridSpan w:val="2"/>
            <w:vAlign w:val="top"/>
          </w:tcPr>
          <w:p w14:paraId="18297A96">
            <w:pPr>
              <w:pStyle w:val="6"/>
              <w:spacing w:before="69" w:line="216" w:lineRule="auto"/>
              <w:ind w:left="55"/>
              <w:rPr>
                <w:rFonts w:ascii="FangSong_GB2312" w:hAnsi="FangSong_GB2312" w:eastAsia="FangSong_GB2312" w:cs="FangSong_GB2312"/>
                <w:sz w:val="21"/>
                <w:szCs w:val="21"/>
              </w:rPr>
            </w:pPr>
            <w:r>
              <w:rPr>
                <w:rFonts w:ascii="FangSong_GB2312" w:hAnsi="FangSong_GB2312" w:eastAsia="FangSong_GB2312" w:cs="FangSong_GB2312"/>
                <w:spacing w:val="-1"/>
              </w:rPr>
              <w:t>农村卫生厕所普及率</w:t>
            </w:r>
            <w:r>
              <w:rPr>
                <w:rFonts w:ascii="FangSong_GB2312" w:hAnsi="FangSong_GB2312" w:eastAsia="FangSong_GB2312" w:cs="FangSong_GB2312"/>
                <w:spacing w:val="-1"/>
                <w:sz w:val="21"/>
                <w:szCs w:val="21"/>
              </w:rPr>
              <w:t>（</w:t>
            </w:r>
            <w:r>
              <w:rPr>
                <w:spacing w:val="-1"/>
                <w:sz w:val="21"/>
                <w:szCs w:val="21"/>
              </w:rPr>
              <w:t>%</w:t>
            </w:r>
            <w:r>
              <w:rPr>
                <w:rFonts w:ascii="FangSong_GB2312" w:hAnsi="FangSong_GB2312" w:eastAsia="FangSong_GB2312" w:cs="FangSong_GB2312"/>
                <w:spacing w:val="-1"/>
                <w:sz w:val="21"/>
                <w:szCs w:val="21"/>
              </w:rPr>
              <w:t>）</w:t>
            </w:r>
          </w:p>
        </w:tc>
        <w:tc>
          <w:tcPr>
            <w:tcW w:w="2103" w:type="dxa"/>
            <w:vAlign w:val="top"/>
          </w:tcPr>
          <w:p w14:paraId="27462AF5">
            <w:pPr>
              <w:pStyle w:val="6"/>
              <w:spacing w:before="75"/>
              <w:ind w:left="958"/>
            </w:pPr>
            <w:r>
              <w:rPr>
                <w:spacing w:val="-2"/>
              </w:rPr>
              <w:t>92</w:t>
            </w:r>
          </w:p>
        </w:tc>
        <w:tc>
          <w:tcPr>
            <w:tcW w:w="2224" w:type="dxa"/>
            <w:vAlign w:val="top"/>
          </w:tcPr>
          <w:p w14:paraId="3675076D">
            <w:pPr>
              <w:spacing w:before="75" w:line="216" w:lineRule="auto"/>
              <w:ind w:left="71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c>
          <w:tcPr>
            <w:tcW w:w="2148" w:type="dxa"/>
            <w:vAlign w:val="top"/>
          </w:tcPr>
          <w:p w14:paraId="3114055D">
            <w:pPr>
              <w:spacing w:before="75" w:line="216" w:lineRule="auto"/>
              <w:ind w:left="68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r>
      <w:tr w14:paraId="537AD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577" w:type="dxa"/>
            <w:vAlign w:val="top"/>
          </w:tcPr>
          <w:p w14:paraId="3659EB0C">
            <w:pPr>
              <w:pStyle w:val="6"/>
              <w:spacing w:before="76" w:line="238" w:lineRule="auto"/>
              <w:ind w:left="196"/>
            </w:pPr>
            <w:r>
              <w:rPr>
                <w:spacing w:val="-3"/>
              </w:rPr>
              <w:t>27</w:t>
            </w:r>
          </w:p>
        </w:tc>
        <w:tc>
          <w:tcPr>
            <w:tcW w:w="1000" w:type="dxa"/>
            <w:vMerge w:val="continue"/>
            <w:tcBorders>
              <w:top w:val="nil"/>
            </w:tcBorders>
            <w:vAlign w:val="top"/>
          </w:tcPr>
          <w:p w14:paraId="13228299">
            <w:pPr>
              <w:rPr>
                <w:rFonts w:ascii="Arial"/>
                <w:sz w:val="21"/>
              </w:rPr>
            </w:pPr>
          </w:p>
        </w:tc>
        <w:tc>
          <w:tcPr>
            <w:tcW w:w="4697" w:type="dxa"/>
            <w:gridSpan w:val="2"/>
            <w:vAlign w:val="top"/>
          </w:tcPr>
          <w:p w14:paraId="6E9296BC">
            <w:pPr>
              <w:pStyle w:val="6"/>
              <w:spacing w:before="75" w:line="216" w:lineRule="auto"/>
              <w:ind w:left="52"/>
              <w:rPr>
                <w:rFonts w:ascii="FangSong_GB2312" w:hAnsi="FangSong_GB2312" w:eastAsia="FangSong_GB2312" w:cs="FangSong_GB2312"/>
              </w:rPr>
            </w:pPr>
            <w:r>
              <w:rPr>
                <w:rFonts w:ascii="FangSong_GB2312" w:hAnsi="FangSong_GB2312" w:eastAsia="FangSong_GB2312" w:cs="FangSong_GB2312"/>
                <w:spacing w:val="-1"/>
              </w:rPr>
              <w:t>城镇新建绿色建筑比例（</w:t>
            </w:r>
            <w:r>
              <w:rPr>
                <w:spacing w:val="-1"/>
              </w:rPr>
              <w:t>%</w:t>
            </w:r>
            <w:r>
              <w:rPr>
                <w:rFonts w:ascii="FangSong_GB2312" w:hAnsi="FangSong_GB2312" w:eastAsia="FangSong_GB2312" w:cs="FangSong_GB2312"/>
                <w:spacing w:val="-1"/>
              </w:rPr>
              <w:t>）</w:t>
            </w:r>
          </w:p>
        </w:tc>
        <w:tc>
          <w:tcPr>
            <w:tcW w:w="2103" w:type="dxa"/>
            <w:vAlign w:val="top"/>
          </w:tcPr>
          <w:p w14:paraId="57CF677D">
            <w:pPr>
              <w:pStyle w:val="6"/>
              <w:spacing w:before="76" w:line="238" w:lineRule="auto"/>
              <w:ind w:left="908"/>
            </w:pPr>
            <w:r>
              <w:rPr>
                <w:spacing w:val="-3"/>
              </w:rPr>
              <w:t>60*</w:t>
            </w:r>
          </w:p>
        </w:tc>
        <w:tc>
          <w:tcPr>
            <w:tcW w:w="2224" w:type="dxa"/>
            <w:vAlign w:val="top"/>
          </w:tcPr>
          <w:p w14:paraId="5378A08B">
            <w:pPr>
              <w:spacing w:before="76" w:line="214" w:lineRule="auto"/>
              <w:ind w:left="318"/>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c>
          <w:tcPr>
            <w:tcW w:w="2148" w:type="dxa"/>
            <w:vAlign w:val="top"/>
          </w:tcPr>
          <w:p w14:paraId="2C0D0CB7">
            <w:pPr>
              <w:spacing w:before="76" w:line="214" w:lineRule="auto"/>
              <w:ind w:left="279"/>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按省下达任务执行</w:t>
            </w:r>
          </w:p>
        </w:tc>
      </w:tr>
      <w:tr w14:paraId="5791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711BD7D4">
            <w:pPr>
              <w:pStyle w:val="6"/>
              <w:spacing w:before="76" w:line="239" w:lineRule="auto"/>
              <w:ind w:left="196"/>
            </w:pPr>
            <w:r>
              <w:rPr>
                <w:spacing w:val="-3"/>
              </w:rPr>
              <w:t>28</w:t>
            </w:r>
          </w:p>
        </w:tc>
        <w:tc>
          <w:tcPr>
            <w:tcW w:w="1000" w:type="dxa"/>
            <w:vAlign w:val="top"/>
          </w:tcPr>
          <w:p w14:paraId="5621C213">
            <w:pPr>
              <w:spacing w:before="75" w:line="216" w:lineRule="auto"/>
              <w:ind w:left="111"/>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文化共融</w:t>
            </w:r>
          </w:p>
        </w:tc>
        <w:tc>
          <w:tcPr>
            <w:tcW w:w="4697" w:type="dxa"/>
            <w:gridSpan w:val="2"/>
            <w:vAlign w:val="top"/>
          </w:tcPr>
          <w:p w14:paraId="4989362E">
            <w:pPr>
              <w:pStyle w:val="6"/>
              <w:spacing w:before="75" w:line="215" w:lineRule="auto"/>
              <w:ind w:left="53"/>
              <w:rPr>
                <w:rFonts w:ascii="FangSong_GB2312" w:hAnsi="FangSong_GB2312" w:eastAsia="FangSong_GB2312" w:cs="FangSong_GB2312"/>
              </w:rPr>
            </w:pPr>
            <w:r>
              <w:rPr>
                <w:rFonts w:ascii="FangSong_GB2312" w:hAnsi="FangSong_GB2312" w:eastAsia="FangSong_GB2312" w:cs="FangSong_GB2312"/>
                <w:spacing w:val="-1"/>
              </w:rPr>
              <w:t>公众对生态环境质量满意度（</w:t>
            </w:r>
            <w:r>
              <w:rPr>
                <w:spacing w:val="-1"/>
              </w:rPr>
              <w:t>%</w:t>
            </w:r>
            <w:r>
              <w:rPr>
                <w:rFonts w:ascii="FangSong_GB2312" w:hAnsi="FangSong_GB2312" w:eastAsia="FangSong_GB2312" w:cs="FangSong_GB2312"/>
                <w:spacing w:val="-1"/>
              </w:rPr>
              <w:t>）</w:t>
            </w:r>
          </w:p>
        </w:tc>
        <w:tc>
          <w:tcPr>
            <w:tcW w:w="2103" w:type="dxa"/>
            <w:vAlign w:val="top"/>
          </w:tcPr>
          <w:p w14:paraId="2CD20079">
            <w:pPr>
              <w:pStyle w:val="6"/>
              <w:spacing w:before="76" w:line="239" w:lineRule="auto"/>
              <w:ind w:left="850"/>
            </w:pPr>
            <w:r>
              <w:rPr>
                <w:rFonts w:ascii="FangSong_GB2312" w:hAnsi="FangSong_GB2312" w:eastAsia="FangSong_GB2312" w:cs="FangSong_GB2312"/>
                <w:spacing w:val="-13"/>
              </w:rPr>
              <w:t>≥</w:t>
            </w:r>
            <w:r>
              <w:rPr>
                <w:spacing w:val="-13"/>
              </w:rPr>
              <w:t>90*</w:t>
            </w:r>
          </w:p>
        </w:tc>
        <w:tc>
          <w:tcPr>
            <w:tcW w:w="2224" w:type="dxa"/>
            <w:vAlign w:val="top"/>
          </w:tcPr>
          <w:p w14:paraId="11090C97">
            <w:pPr>
              <w:pStyle w:val="6"/>
              <w:spacing w:before="76" w:line="239" w:lineRule="auto"/>
              <w:ind w:left="960"/>
            </w:pPr>
            <w:r>
              <w:rPr>
                <w:rFonts w:ascii="FangSong_GB2312" w:hAnsi="FangSong_GB2312" w:eastAsia="FangSong_GB2312" w:cs="FangSong_GB2312"/>
                <w:spacing w:val="-17"/>
              </w:rPr>
              <w:t>≥</w:t>
            </w:r>
            <w:r>
              <w:rPr>
                <w:spacing w:val="-17"/>
              </w:rPr>
              <w:t>91</w:t>
            </w:r>
          </w:p>
        </w:tc>
        <w:tc>
          <w:tcPr>
            <w:tcW w:w="2148" w:type="dxa"/>
            <w:vAlign w:val="top"/>
          </w:tcPr>
          <w:p w14:paraId="2E476F92">
            <w:pPr>
              <w:pStyle w:val="6"/>
              <w:spacing w:before="76" w:line="239" w:lineRule="auto"/>
              <w:ind w:left="921"/>
            </w:pPr>
            <w:r>
              <w:rPr>
                <w:rFonts w:ascii="FangSong_GB2312" w:hAnsi="FangSong_GB2312" w:eastAsia="FangSong_GB2312" w:cs="FangSong_GB2312"/>
                <w:spacing w:val="-17"/>
              </w:rPr>
              <w:t>≥</w:t>
            </w:r>
            <w:r>
              <w:rPr>
                <w:spacing w:val="-17"/>
              </w:rPr>
              <w:t>95</w:t>
            </w:r>
          </w:p>
        </w:tc>
      </w:tr>
      <w:tr w14:paraId="23A47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77" w:type="dxa"/>
            <w:vAlign w:val="top"/>
          </w:tcPr>
          <w:p w14:paraId="5E2D5C71">
            <w:pPr>
              <w:pStyle w:val="6"/>
              <w:spacing w:before="76" w:line="239" w:lineRule="auto"/>
              <w:ind w:left="196"/>
            </w:pPr>
            <w:r>
              <w:rPr>
                <w:spacing w:val="-3"/>
              </w:rPr>
              <w:t>29</w:t>
            </w:r>
          </w:p>
        </w:tc>
        <w:tc>
          <w:tcPr>
            <w:tcW w:w="1000" w:type="dxa"/>
            <w:vMerge w:val="restart"/>
            <w:tcBorders>
              <w:bottom w:val="nil"/>
            </w:tcBorders>
            <w:vAlign w:val="top"/>
          </w:tcPr>
          <w:p w14:paraId="00E1F4D9">
            <w:pPr>
              <w:spacing w:before="243" w:line="214" w:lineRule="auto"/>
              <w:ind w:left="123"/>
              <w:rPr>
                <w:rFonts w:ascii="FangSong_GB2312" w:hAnsi="FangSong_GB2312" w:eastAsia="FangSong_GB2312" w:cs="FangSong_GB2312"/>
                <w:sz w:val="20"/>
                <w:szCs w:val="20"/>
              </w:rPr>
            </w:pPr>
            <w:r>
              <w:rPr>
                <w:rFonts w:ascii="FangSong_GB2312" w:hAnsi="FangSong_GB2312" w:eastAsia="FangSong_GB2312" w:cs="FangSong_GB2312"/>
                <w:spacing w:val="-6"/>
                <w:sz w:val="20"/>
                <w:szCs w:val="20"/>
              </w:rPr>
              <w:t>改革创新</w:t>
            </w:r>
          </w:p>
        </w:tc>
        <w:tc>
          <w:tcPr>
            <w:tcW w:w="4697" w:type="dxa"/>
            <w:gridSpan w:val="2"/>
            <w:vAlign w:val="top"/>
          </w:tcPr>
          <w:p w14:paraId="03E16F8A">
            <w:pPr>
              <w:spacing w:before="77" w:line="213" w:lineRule="auto"/>
              <w:ind w:left="60"/>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现代环境治理体系与能力</w:t>
            </w:r>
          </w:p>
        </w:tc>
        <w:tc>
          <w:tcPr>
            <w:tcW w:w="2103" w:type="dxa"/>
            <w:vAlign w:val="top"/>
          </w:tcPr>
          <w:p w14:paraId="27955205">
            <w:pPr>
              <w:spacing w:before="77" w:line="217" w:lineRule="auto"/>
              <w:ind w:left="654"/>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基本健全</w:t>
            </w:r>
          </w:p>
        </w:tc>
        <w:tc>
          <w:tcPr>
            <w:tcW w:w="2224" w:type="dxa"/>
            <w:vAlign w:val="top"/>
          </w:tcPr>
          <w:p w14:paraId="761135D2">
            <w:pPr>
              <w:spacing w:before="76" w:line="216" w:lineRule="auto"/>
              <w:ind w:left="719"/>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持续提升</w:t>
            </w:r>
          </w:p>
        </w:tc>
        <w:tc>
          <w:tcPr>
            <w:tcW w:w="2148" w:type="dxa"/>
            <w:vAlign w:val="top"/>
          </w:tcPr>
          <w:p w14:paraId="72A780F6">
            <w:pPr>
              <w:spacing w:before="77" w:line="216" w:lineRule="auto"/>
              <w:ind w:left="375"/>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基本实现现代化</w:t>
            </w:r>
          </w:p>
        </w:tc>
      </w:tr>
      <w:tr w14:paraId="75754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77" w:type="dxa"/>
            <w:vAlign w:val="top"/>
          </w:tcPr>
          <w:p w14:paraId="35F8B914">
            <w:pPr>
              <w:pStyle w:val="6"/>
              <w:spacing w:before="76" w:line="241" w:lineRule="auto"/>
              <w:ind w:left="197"/>
            </w:pPr>
            <w:r>
              <w:rPr>
                <w:spacing w:val="-3"/>
              </w:rPr>
              <w:t>30</w:t>
            </w:r>
          </w:p>
        </w:tc>
        <w:tc>
          <w:tcPr>
            <w:tcW w:w="1000" w:type="dxa"/>
            <w:vMerge w:val="continue"/>
            <w:tcBorders>
              <w:top w:val="nil"/>
            </w:tcBorders>
            <w:vAlign w:val="top"/>
          </w:tcPr>
          <w:p w14:paraId="07B0B1E6">
            <w:pPr>
              <w:rPr>
                <w:rFonts w:ascii="Arial"/>
                <w:sz w:val="21"/>
              </w:rPr>
            </w:pPr>
          </w:p>
        </w:tc>
        <w:tc>
          <w:tcPr>
            <w:tcW w:w="4697" w:type="dxa"/>
            <w:gridSpan w:val="2"/>
            <w:vAlign w:val="top"/>
          </w:tcPr>
          <w:p w14:paraId="533E6847">
            <w:pPr>
              <w:spacing w:before="77" w:line="215" w:lineRule="auto"/>
              <w:ind w:left="66"/>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生态产品价值实现机制</w:t>
            </w:r>
          </w:p>
        </w:tc>
        <w:tc>
          <w:tcPr>
            <w:tcW w:w="2103" w:type="dxa"/>
            <w:vAlign w:val="top"/>
          </w:tcPr>
          <w:p w14:paraId="0122F4E6">
            <w:pPr>
              <w:spacing w:before="171" w:line="135" w:lineRule="exact"/>
              <w:ind w:left="967"/>
              <w:rPr>
                <w:rFonts w:ascii="FangSong_GB2312" w:hAnsi="FangSong_GB2312" w:eastAsia="FangSong_GB2312" w:cs="FangSong_GB2312"/>
                <w:sz w:val="20"/>
                <w:szCs w:val="20"/>
              </w:rPr>
            </w:pPr>
            <w:r>
              <w:rPr>
                <w:rFonts w:ascii="FangSong_GB2312" w:hAnsi="FangSong_GB2312" w:eastAsia="FangSong_GB2312" w:cs="FangSong_GB2312"/>
                <w:position w:val="-3"/>
                <w:sz w:val="20"/>
                <w:szCs w:val="20"/>
              </w:rPr>
              <w:t>—</w:t>
            </w:r>
          </w:p>
        </w:tc>
        <w:tc>
          <w:tcPr>
            <w:tcW w:w="2224" w:type="dxa"/>
            <w:vAlign w:val="top"/>
          </w:tcPr>
          <w:p w14:paraId="081905AA">
            <w:pPr>
              <w:spacing w:before="77" w:line="214" w:lineRule="auto"/>
              <w:ind w:left="713"/>
              <w:rPr>
                <w:rFonts w:ascii="FangSong_GB2312" w:hAnsi="FangSong_GB2312" w:eastAsia="FangSong_GB2312" w:cs="FangSong_GB2312"/>
                <w:sz w:val="20"/>
                <w:szCs w:val="20"/>
              </w:rPr>
            </w:pPr>
            <w:r>
              <w:rPr>
                <w:rFonts w:ascii="FangSong_GB2312" w:hAnsi="FangSong_GB2312" w:eastAsia="FangSong_GB2312" w:cs="FangSong_GB2312"/>
                <w:spacing w:val="-1"/>
                <w:sz w:val="20"/>
                <w:szCs w:val="20"/>
              </w:rPr>
              <w:t>基本建立</w:t>
            </w:r>
          </w:p>
        </w:tc>
        <w:tc>
          <w:tcPr>
            <w:tcW w:w="2148" w:type="dxa"/>
            <w:vAlign w:val="top"/>
          </w:tcPr>
          <w:p w14:paraId="01BF3D8B">
            <w:pPr>
              <w:spacing w:before="77" w:line="214" w:lineRule="auto"/>
              <w:ind w:left="677"/>
              <w:rPr>
                <w:rFonts w:ascii="FangSong_GB2312" w:hAnsi="FangSong_GB2312" w:eastAsia="FangSong_GB2312" w:cs="FangSong_GB2312"/>
                <w:sz w:val="20"/>
                <w:szCs w:val="20"/>
              </w:rPr>
            </w:pPr>
            <w:r>
              <w:rPr>
                <w:rFonts w:ascii="FangSong_GB2312" w:hAnsi="FangSong_GB2312" w:eastAsia="FangSong_GB2312" w:cs="FangSong_GB2312"/>
                <w:spacing w:val="-2"/>
                <w:sz w:val="20"/>
                <w:szCs w:val="20"/>
              </w:rPr>
              <w:t>全面建立</w:t>
            </w:r>
          </w:p>
        </w:tc>
      </w:tr>
    </w:tbl>
    <w:p w14:paraId="15B8AF5C">
      <w:pPr>
        <w:pStyle w:val="2"/>
        <w:spacing w:before="67" w:line="216" w:lineRule="auto"/>
        <w:ind w:left="69"/>
        <w:rPr>
          <w:rFonts w:ascii="FangSong_GB2312" w:hAnsi="FangSong_GB2312" w:eastAsia="FangSong_GB2312" w:cs="FangSong_GB2312"/>
          <w:sz w:val="20"/>
          <w:szCs w:val="20"/>
        </w:rPr>
      </w:pPr>
      <w:r>
        <w:rPr>
          <w:rFonts w:ascii="FangSong_GB2312" w:hAnsi="FangSong_GB2312" w:eastAsia="FangSong_GB2312" w:cs="FangSong_GB2312"/>
          <w:spacing w:val="-3"/>
          <w:sz w:val="20"/>
          <w:szCs w:val="20"/>
        </w:rPr>
        <w:t>注：</w:t>
      </w:r>
      <w:r>
        <w:rPr>
          <w:spacing w:val="-3"/>
          <w:sz w:val="20"/>
          <w:szCs w:val="20"/>
        </w:rPr>
        <w:t>[…]</w:t>
      </w:r>
      <w:r>
        <w:rPr>
          <w:rFonts w:ascii="FangSong_GB2312" w:hAnsi="FangSong_GB2312" w:eastAsia="FangSong_GB2312" w:cs="FangSong_GB2312"/>
          <w:spacing w:val="-3"/>
          <w:sz w:val="20"/>
          <w:szCs w:val="20"/>
        </w:rPr>
        <w:t>中的数值表明五年累计值。</w:t>
      </w:r>
    </w:p>
    <w:p w14:paraId="0F2033CF">
      <w:pPr>
        <w:spacing w:line="216" w:lineRule="auto"/>
        <w:rPr>
          <w:rFonts w:ascii="FangSong_GB2312" w:hAnsi="FangSong_GB2312" w:eastAsia="FangSong_GB2312" w:cs="FangSong_GB2312"/>
          <w:sz w:val="20"/>
          <w:szCs w:val="20"/>
        </w:rPr>
        <w:sectPr>
          <w:footerReference r:id="rId44" w:type="default"/>
          <w:pgSz w:w="16840" w:h="11905"/>
          <w:pgMar w:top="1011" w:right="2044" w:bottom="1864" w:left="2041" w:header="0" w:footer="1502" w:gutter="0"/>
          <w:cols w:space="720" w:num="1"/>
        </w:sectPr>
      </w:pPr>
    </w:p>
    <w:p w14:paraId="20D4E1B2">
      <w:pPr>
        <w:spacing w:line="342" w:lineRule="auto"/>
        <w:rPr>
          <w:rFonts w:ascii="Arial"/>
          <w:sz w:val="21"/>
        </w:rPr>
      </w:pPr>
    </w:p>
    <w:p w14:paraId="31929E24">
      <w:pPr>
        <w:spacing w:line="343" w:lineRule="auto"/>
        <w:rPr>
          <w:rFonts w:ascii="Arial"/>
          <w:sz w:val="21"/>
        </w:rPr>
      </w:pPr>
    </w:p>
    <w:p w14:paraId="2A83BBA1">
      <w:pPr>
        <w:spacing w:before="104" w:line="218" w:lineRule="auto"/>
        <w:ind w:left="11"/>
        <w:rPr>
          <w:rFonts w:ascii="FangSong_GB2312" w:hAnsi="FangSong_GB2312" w:eastAsia="FangSong_GB2312" w:cs="FangSong_GB2312"/>
          <w:sz w:val="32"/>
          <w:szCs w:val="32"/>
        </w:rPr>
      </w:pPr>
      <w:r>
        <w:rPr>
          <w:rFonts w:ascii="FangSong_GB2312" w:hAnsi="FangSong_GB2312" w:eastAsia="FangSong_GB2312" w:cs="FangSong_GB2312"/>
          <w:spacing w:val="-27"/>
          <w:sz w:val="32"/>
          <w:szCs w:val="32"/>
        </w:rPr>
        <w:t>注释：</w:t>
      </w:r>
    </w:p>
    <w:p w14:paraId="7AF53A29">
      <w:pPr>
        <w:pStyle w:val="2"/>
        <w:spacing w:before="194" w:line="331" w:lineRule="auto"/>
        <w:ind w:left="10" w:right="193" w:firstLine="643"/>
        <w:rPr>
          <w:rFonts w:ascii="FangSong_GB2312" w:hAnsi="FangSong_GB2312" w:eastAsia="FangSong_GB2312" w:cs="FangSong_GB2312"/>
        </w:rPr>
      </w:pPr>
      <w:r>
        <w:rPr>
          <w:spacing w:val="-9"/>
        </w:rPr>
        <w:t>1.</w:t>
      </w:r>
      <w:r>
        <w:rPr>
          <w:rFonts w:ascii="FangSong_GB2312" w:hAnsi="FangSong_GB2312" w:eastAsia="FangSong_GB2312" w:cs="FangSong_GB2312"/>
          <w:spacing w:val="-9"/>
        </w:rPr>
        <w:t>“八大行动”：工业倍增升级行动、科技创新赋能行</w:t>
      </w:r>
      <w:r>
        <w:rPr>
          <w:rFonts w:ascii="FangSong_GB2312" w:hAnsi="FangSong_GB2312" w:eastAsia="FangSong_GB2312" w:cs="FangSong_GB2312"/>
          <w:spacing w:val="-10"/>
        </w:rPr>
        <w:t>动、</w:t>
      </w:r>
      <w:r>
        <w:rPr>
          <w:rFonts w:ascii="FangSong_GB2312" w:hAnsi="FangSong_GB2312" w:eastAsia="FangSong_GB2312" w:cs="FangSong_GB2312"/>
          <w:spacing w:val="-9"/>
        </w:rPr>
        <w:t>深化改革开放行动、乡村全面振兴行动、城市能级提升行动、美</w:t>
      </w:r>
      <w:r>
        <w:rPr>
          <w:rFonts w:ascii="FangSong_GB2312" w:hAnsi="FangSong_GB2312" w:eastAsia="FangSong_GB2312" w:cs="FangSong_GB2312"/>
          <w:spacing w:val="-10"/>
        </w:rPr>
        <w:t>丽赣州建设行动、提高民生品质行动、党建质量过硬行动。</w:t>
      </w:r>
    </w:p>
    <w:p w14:paraId="03F20BE1">
      <w:pPr>
        <w:pStyle w:val="2"/>
        <w:spacing w:before="4" w:line="331" w:lineRule="auto"/>
        <w:ind w:left="7" w:right="193" w:firstLine="626"/>
        <w:rPr>
          <w:rFonts w:ascii="FangSong_GB2312" w:hAnsi="FangSong_GB2312" w:eastAsia="FangSong_GB2312" w:cs="FangSong_GB2312"/>
        </w:rPr>
      </w:pPr>
      <w:r>
        <w:rPr>
          <w:spacing w:val="-9"/>
        </w:rPr>
        <w:t>2.</w:t>
      </w:r>
      <w:r>
        <w:rPr>
          <w:rFonts w:ascii="FangSong_GB2312" w:hAnsi="FangSong_GB2312" w:eastAsia="FangSong_GB2312" w:cs="FangSong_GB2312"/>
          <w:spacing w:val="-9"/>
        </w:rPr>
        <w:t>“一核引领、两谷育田、三脉筑屏”：一核引领</w:t>
      </w:r>
      <w:r>
        <w:rPr>
          <w:rFonts w:ascii="黑体" w:hAnsi="黑体" w:eastAsia="黑体" w:cs="黑体"/>
          <w:spacing w:val="-9"/>
        </w:rPr>
        <w:t>——</w:t>
      </w:r>
      <w:r>
        <w:rPr>
          <w:rFonts w:ascii="FangSong_GB2312" w:hAnsi="FangSong_GB2312" w:eastAsia="FangSong_GB2312" w:cs="FangSong_GB2312"/>
          <w:spacing w:val="-9"/>
        </w:rPr>
        <w:t>以中心城区为核心，做大做强都市圈，不断提升城市功能，引领全市高质量发展。两谷育田</w:t>
      </w:r>
      <w:r>
        <w:rPr>
          <w:rFonts w:ascii="黑体" w:hAnsi="黑体" w:eastAsia="黑体" w:cs="黑体"/>
          <w:spacing w:val="-9"/>
        </w:rPr>
        <w:t>——</w:t>
      </w:r>
      <w:r>
        <w:rPr>
          <w:rFonts w:ascii="FangSong_GB2312" w:hAnsi="FangSong_GB2312" w:eastAsia="FangSong_GB2312" w:cs="FangSong_GB2312"/>
          <w:spacing w:val="-9"/>
        </w:rPr>
        <w:t>以兴国—赣康—信丰和宁都—于都—</w:t>
      </w:r>
      <w:r>
        <w:rPr>
          <w:rFonts w:ascii="FangSong_GB2312" w:hAnsi="FangSong_GB2312" w:eastAsia="FangSong_GB2312" w:cs="FangSong_GB2312"/>
          <w:spacing w:val="-10"/>
        </w:rPr>
        <w:t>瑞金两条盆地连绵区为主要空间依托，遏制耕地“非农化”，防</w:t>
      </w:r>
      <w:r>
        <w:rPr>
          <w:rFonts w:ascii="FangSong_GB2312" w:hAnsi="FangSong_GB2312" w:eastAsia="FangSong_GB2312" w:cs="FangSong_GB2312"/>
          <w:spacing w:val="-9"/>
        </w:rPr>
        <w:t>止耕地“非粮化”，强化高标准田建设，稳定粮</w:t>
      </w:r>
      <w:r>
        <w:rPr>
          <w:rFonts w:ascii="FangSong_GB2312" w:hAnsi="FangSong_GB2312" w:eastAsia="FangSong_GB2312" w:cs="FangSong_GB2312"/>
          <w:spacing w:val="-10"/>
        </w:rPr>
        <w:t>食生产。三脉筑</w:t>
      </w:r>
      <w:r>
        <w:rPr>
          <w:rFonts w:ascii="FangSong_GB2312" w:hAnsi="FangSong_GB2312" w:eastAsia="FangSong_GB2312" w:cs="FangSong_GB2312"/>
          <w:spacing w:val="-9"/>
        </w:rPr>
        <w:t>屏</w:t>
      </w:r>
      <w:r>
        <w:rPr>
          <w:rFonts w:ascii="黑体" w:hAnsi="黑体" w:eastAsia="黑体" w:cs="黑体"/>
          <w:spacing w:val="-9"/>
        </w:rPr>
        <w:t>——</w:t>
      </w:r>
      <w:r>
        <w:rPr>
          <w:rFonts w:ascii="FangSong_GB2312" w:hAnsi="FangSong_GB2312" w:eastAsia="FangSong_GB2312" w:cs="FangSong_GB2312"/>
          <w:spacing w:val="-9"/>
        </w:rPr>
        <w:t>以武夷山脉、罗霄山脉、九连山—雩山山脉为主体，加强</w:t>
      </w:r>
      <w:r>
        <w:rPr>
          <w:rFonts w:ascii="FangSong_GB2312" w:hAnsi="FangSong_GB2312" w:eastAsia="FangSong_GB2312" w:cs="FangSong_GB2312"/>
          <w:spacing w:val="-11"/>
        </w:rPr>
        <w:t>山林保育和生态修复，筑牢南方生态屏障。</w:t>
      </w:r>
    </w:p>
    <w:p w14:paraId="1AE96276">
      <w:pPr>
        <w:pStyle w:val="2"/>
        <w:spacing w:line="328" w:lineRule="auto"/>
        <w:ind w:left="11" w:right="251" w:firstLine="625"/>
        <w:rPr>
          <w:rFonts w:ascii="FangSong_GB2312" w:hAnsi="FangSong_GB2312" w:eastAsia="FangSong_GB2312" w:cs="FangSong_GB2312"/>
        </w:rPr>
      </w:pPr>
      <w:r>
        <w:rPr>
          <w:spacing w:val="-11"/>
        </w:rPr>
        <w:t>3.</w:t>
      </w:r>
      <w:r>
        <w:rPr>
          <w:rFonts w:ascii="FangSong_GB2312" w:hAnsi="FangSong_GB2312" w:eastAsia="FangSong_GB2312" w:cs="FangSong_GB2312"/>
          <w:spacing w:val="-11"/>
        </w:rPr>
        <w:t>“三线一单”：生态保护红线、环境质量底线、资源利用</w:t>
      </w:r>
      <w:r>
        <w:rPr>
          <w:rFonts w:ascii="FangSong_GB2312" w:hAnsi="FangSong_GB2312" w:eastAsia="FangSong_GB2312" w:cs="FangSong_GB2312"/>
          <w:spacing w:val="-13"/>
        </w:rPr>
        <w:t>上线和生态环境准入清单。</w:t>
      </w:r>
    </w:p>
    <w:p w14:paraId="4535A1E9">
      <w:pPr>
        <w:pStyle w:val="2"/>
        <w:spacing w:before="11" w:line="331" w:lineRule="auto"/>
        <w:ind w:firstLine="628"/>
        <w:rPr>
          <w:rFonts w:ascii="FangSong_GB2312" w:hAnsi="FangSong_GB2312" w:eastAsia="FangSong_GB2312" w:cs="FangSong_GB2312"/>
        </w:rPr>
      </w:pPr>
      <w:r>
        <w:rPr>
          <w:spacing w:val="-14"/>
        </w:rPr>
        <w:t>4.</w:t>
      </w:r>
      <w:r>
        <w:rPr>
          <w:rFonts w:ascii="FangSong_GB2312" w:hAnsi="FangSong_GB2312" w:eastAsia="FangSong_GB2312" w:cs="FangSong_GB2312"/>
          <w:spacing w:val="-14"/>
        </w:rPr>
        <w:t>“一带四区多群”：一带</w:t>
      </w:r>
      <w:r>
        <w:rPr>
          <w:rFonts w:ascii="黑体" w:hAnsi="黑体" w:eastAsia="黑体" w:cs="黑体"/>
          <w:spacing w:val="-14"/>
        </w:rPr>
        <w:t>——</w:t>
      </w:r>
      <w:r>
        <w:rPr>
          <w:rFonts w:ascii="FangSong_GB2312" w:hAnsi="FangSong_GB2312" w:eastAsia="FangSong_GB2312" w:cs="FangSong_GB2312"/>
          <w:spacing w:val="-14"/>
        </w:rPr>
        <w:t>沿江多功能“</w:t>
      </w:r>
      <w:r>
        <w:rPr>
          <w:spacing w:val="-14"/>
        </w:rPr>
        <w:t>Y</w:t>
      </w:r>
      <w:r>
        <w:rPr>
          <w:rFonts w:ascii="FangSong_GB2312" w:hAnsi="FangSong_GB2312" w:eastAsia="FangSong_GB2312" w:cs="FangSong_GB2312"/>
          <w:spacing w:val="-14"/>
        </w:rPr>
        <w:t>”字型富硒农</w:t>
      </w:r>
      <w:r>
        <w:rPr>
          <w:rFonts w:ascii="FangSong_GB2312" w:hAnsi="FangSong_GB2312" w:eastAsia="FangSong_GB2312" w:cs="FangSong_GB2312"/>
          <w:spacing w:val="-8"/>
        </w:rPr>
        <w:t>业产业聚集带，打响富硒农业品牌；四区</w:t>
      </w:r>
      <w:r>
        <w:rPr>
          <w:rFonts w:ascii="黑体" w:hAnsi="黑体" w:eastAsia="黑体" w:cs="黑体"/>
          <w:spacing w:val="-8"/>
        </w:rPr>
        <w:t>—</w:t>
      </w:r>
      <w:r>
        <w:rPr>
          <w:rFonts w:ascii="黑体" w:hAnsi="黑体" w:eastAsia="黑体" w:cs="黑体"/>
          <w:spacing w:val="-9"/>
        </w:rPr>
        <w:t>—</w:t>
      </w:r>
      <w:r>
        <w:rPr>
          <w:rFonts w:ascii="FangSong_GB2312" w:hAnsi="FangSong_GB2312" w:eastAsia="FangSong_GB2312" w:cs="FangSong_GB2312"/>
          <w:spacing w:val="-9"/>
        </w:rPr>
        <w:t>构建中北部粮油农</w:t>
      </w:r>
      <w:r>
        <w:rPr>
          <w:rFonts w:ascii="FangSong_GB2312" w:hAnsi="FangSong_GB2312" w:eastAsia="FangSong_GB2312" w:cs="FangSong_GB2312"/>
          <w:spacing w:val="-8"/>
        </w:rPr>
        <w:t>业区、东部融合农业区、中西部都市休闲农</w:t>
      </w:r>
      <w:r>
        <w:rPr>
          <w:rFonts w:ascii="FangSong_GB2312" w:hAnsi="FangSong_GB2312" w:eastAsia="FangSong_GB2312" w:cs="FangSong_GB2312"/>
          <w:spacing w:val="-9"/>
        </w:rPr>
        <w:t>业区、南部湾区菜篮子农业区</w:t>
      </w:r>
      <w:r>
        <w:rPr>
          <w:rFonts w:ascii="FangSong_GB2312" w:hAnsi="FangSong_GB2312" w:eastAsia="FangSong_GB2312" w:cs="FangSong_GB2312"/>
          <w:spacing w:val="-69"/>
        </w:rPr>
        <w:t xml:space="preserve"> </w:t>
      </w:r>
      <w:r>
        <w:rPr>
          <w:spacing w:val="-9"/>
        </w:rPr>
        <w:t>4</w:t>
      </w:r>
      <w:r>
        <w:rPr>
          <w:spacing w:val="-72"/>
        </w:rPr>
        <w:t xml:space="preserve"> </w:t>
      </w:r>
      <w:r>
        <w:rPr>
          <w:rFonts w:ascii="FangSong_GB2312" w:hAnsi="FangSong_GB2312" w:eastAsia="FangSong_GB2312" w:cs="FangSong_GB2312"/>
          <w:spacing w:val="-9"/>
        </w:rPr>
        <w:t>个高质量农业发展区，大力发展脐橙、油茶、富硒蔬</w:t>
      </w:r>
      <w:r>
        <w:rPr>
          <w:rFonts w:ascii="FangSong_GB2312" w:hAnsi="FangSong_GB2312" w:eastAsia="FangSong_GB2312" w:cs="FangSong_GB2312"/>
          <w:spacing w:val="-2"/>
        </w:rPr>
        <w:t>菜、预制菜、生猪等农业产业；多群</w:t>
      </w:r>
      <w:r>
        <w:rPr>
          <w:rFonts w:ascii="黑体" w:hAnsi="黑体" w:eastAsia="黑体" w:cs="黑体"/>
          <w:spacing w:val="-2"/>
        </w:rPr>
        <w:t>——</w:t>
      </w:r>
      <w:r>
        <w:rPr>
          <w:rFonts w:ascii="FangSong_GB2312" w:hAnsi="FangSong_GB2312" w:eastAsia="FangSong_GB2312" w:cs="FangSong_GB2312"/>
          <w:spacing w:val="-2"/>
        </w:rPr>
        <w:t>按照“一县一品多元”</w:t>
      </w:r>
      <w:r>
        <w:rPr>
          <w:rFonts w:ascii="FangSong_GB2312" w:hAnsi="FangSong_GB2312" w:eastAsia="FangSong_GB2312" w:cs="FangSong_GB2312"/>
          <w:spacing w:val="-8"/>
        </w:rPr>
        <w:t>产业布局思路，建设四大高质量农业发展区</w:t>
      </w:r>
      <w:r>
        <w:rPr>
          <w:rFonts w:ascii="FangSong_GB2312" w:hAnsi="FangSong_GB2312" w:eastAsia="FangSong_GB2312" w:cs="FangSong_GB2312"/>
          <w:spacing w:val="-9"/>
        </w:rPr>
        <w:t>之外，各县根据自身特色培育壮大特色家禽、水产、果业、烟叶等区域农产品集</w:t>
      </w:r>
      <w:r>
        <w:rPr>
          <w:rFonts w:ascii="FangSong_GB2312" w:hAnsi="FangSong_GB2312" w:eastAsia="FangSong_GB2312" w:cs="FangSong_GB2312"/>
          <w:spacing w:val="-10"/>
        </w:rPr>
        <w:t>群。</w:t>
      </w:r>
    </w:p>
    <w:p w14:paraId="47DB8604">
      <w:pPr>
        <w:pStyle w:val="2"/>
        <w:spacing w:before="1" w:line="330" w:lineRule="auto"/>
        <w:ind w:left="41" w:right="193" w:firstLine="595"/>
        <w:rPr>
          <w:rFonts w:ascii="FangSong_GB2312" w:hAnsi="FangSong_GB2312" w:eastAsia="FangSong_GB2312" w:cs="FangSong_GB2312"/>
        </w:rPr>
      </w:pPr>
      <w:r>
        <w:rPr>
          <w:spacing w:val="-9"/>
        </w:rPr>
        <w:t>5.</w:t>
      </w:r>
      <w:r>
        <w:rPr>
          <w:rFonts w:ascii="FangSong_GB2312" w:hAnsi="FangSong_GB2312" w:eastAsia="FangSong_GB2312" w:cs="FangSong_GB2312"/>
          <w:spacing w:val="-9"/>
        </w:rPr>
        <w:t>“一主两副、两轴三带”：一主两副</w:t>
      </w:r>
      <w:r>
        <w:rPr>
          <w:rFonts w:ascii="黑体" w:hAnsi="黑体" w:eastAsia="黑体" w:cs="黑体"/>
          <w:spacing w:val="-9"/>
        </w:rPr>
        <w:t>——</w:t>
      </w:r>
      <w:r>
        <w:rPr>
          <w:rFonts w:ascii="FangSong_GB2312" w:hAnsi="FangSong_GB2312" w:eastAsia="FangSong_GB2312" w:cs="FangSong_GB2312"/>
          <w:spacing w:val="-9"/>
        </w:rPr>
        <w:t>以中心城区为主</w:t>
      </w:r>
      <w:r>
        <w:rPr>
          <w:rFonts w:ascii="FangSong_GB2312" w:hAnsi="FangSong_GB2312" w:eastAsia="FangSong_GB2312" w:cs="FangSong_GB2312"/>
          <w:spacing w:val="-15"/>
        </w:rPr>
        <w:t>中心，龙南、瑞金为副中心， 推动信丰、于都、上犹、兴国等县</w:t>
      </w:r>
    </w:p>
    <w:p w14:paraId="2F3FB842">
      <w:pPr>
        <w:spacing w:line="330" w:lineRule="auto"/>
        <w:rPr>
          <w:rFonts w:ascii="FangSong_GB2312" w:hAnsi="FangSong_GB2312" w:eastAsia="FangSong_GB2312" w:cs="FangSong_GB2312"/>
        </w:rPr>
        <w:sectPr>
          <w:footerReference r:id="rId45" w:type="default"/>
          <w:pgSz w:w="11905" w:h="16840"/>
          <w:pgMar w:top="1431" w:right="1384" w:bottom="1867" w:left="1596" w:header="0" w:footer="1504" w:gutter="0"/>
          <w:cols w:space="720" w:num="1"/>
        </w:sectPr>
      </w:pPr>
    </w:p>
    <w:p w14:paraId="05B241B8">
      <w:pPr>
        <w:spacing w:line="342" w:lineRule="auto"/>
        <w:rPr>
          <w:rFonts w:ascii="Arial"/>
          <w:sz w:val="21"/>
        </w:rPr>
      </w:pPr>
    </w:p>
    <w:p w14:paraId="577F48E0">
      <w:pPr>
        <w:spacing w:line="343" w:lineRule="auto"/>
        <w:rPr>
          <w:rFonts w:ascii="Arial"/>
          <w:sz w:val="21"/>
        </w:rPr>
      </w:pPr>
    </w:p>
    <w:p w14:paraId="3127CE75">
      <w:pPr>
        <w:spacing w:before="104" w:line="331" w:lineRule="auto"/>
        <w:ind w:left="8" w:right="96" w:firstLine="18"/>
        <w:jc w:val="both"/>
        <w:rPr>
          <w:rFonts w:ascii="FangSong_GB2312" w:hAnsi="FangSong_GB2312" w:eastAsia="FangSong_GB2312" w:cs="FangSong_GB2312"/>
          <w:sz w:val="32"/>
          <w:szCs w:val="32"/>
        </w:rPr>
      </w:pPr>
      <w:r>
        <w:rPr>
          <w:rFonts w:ascii="FangSong_GB2312" w:hAnsi="FangSong_GB2312" w:eastAsia="FangSong_GB2312" w:cs="FangSong_GB2312"/>
          <w:spacing w:val="-9"/>
          <w:sz w:val="32"/>
          <w:szCs w:val="32"/>
        </w:rPr>
        <w:t>融入以中心城区为核心的都市圈城镇体系；两轴三带</w:t>
      </w:r>
      <w:r>
        <w:rPr>
          <w:rFonts w:ascii="黑体" w:hAnsi="黑体" w:eastAsia="黑体" w:cs="黑体"/>
          <w:spacing w:val="-9"/>
          <w:sz w:val="32"/>
          <w:szCs w:val="32"/>
        </w:rPr>
        <w:t>——</w:t>
      </w:r>
      <w:r>
        <w:rPr>
          <w:rFonts w:ascii="FangSong_GB2312" w:hAnsi="FangSong_GB2312" w:eastAsia="FangSong_GB2312" w:cs="FangSong_GB2312"/>
          <w:spacing w:val="-9"/>
          <w:sz w:val="32"/>
          <w:szCs w:val="32"/>
        </w:rPr>
        <w:t>依托京港、厦蓉交通干线形成的主要空间发展轴。依托厦蓉、济广、寻</w:t>
      </w:r>
      <w:r>
        <w:rPr>
          <w:rFonts w:ascii="FangSong_GB2312" w:hAnsi="FangSong_GB2312" w:eastAsia="FangSong_GB2312" w:cs="FangSong_GB2312"/>
          <w:spacing w:val="-11"/>
          <w:sz w:val="32"/>
          <w:szCs w:val="32"/>
        </w:rPr>
        <w:t>全交通干线形成次要空间发展带。</w:t>
      </w:r>
    </w:p>
    <w:p w14:paraId="4636A75C">
      <w:pPr>
        <w:pStyle w:val="2"/>
        <w:spacing w:line="215" w:lineRule="auto"/>
        <w:ind w:left="638"/>
        <w:rPr>
          <w:rFonts w:ascii="FangSong_GB2312" w:hAnsi="FangSong_GB2312" w:eastAsia="FangSong_GB2312" w:cs="FangSong_GB2312"/>
        </w:rPr>
      </w:pPr>
      <w:r>
        <w:rPr>
          <w:spacing w:val="-16"/>
        </w:rPr>
        <w:t>6.</w:t>
      </w:r>
      <w:r>
        <w:rPr>
          <w:rFonts w:ascii="FangSong_GB2312" w:hAnsi="FangSong_GB2312" w:eastAsia="FangSong_GB2312" w:cs="FangSong_GB2312"/>
          <w:spacing w:val="-16"/>
        </w:rPr>
        <w:t>“两高一低”：高能耗、高污染、低水平的行业。</w:t>
      </w:r>
    </w:p>
    <w:p w14:paraId="1956F8A7">
      <w:pPr>
        <w:pStyle w:val="2"/>
        <w:spacing w:before="202" w:line="330" w:lineRule="auto"/>
        <w:ind w:firstLine="644"/>
        <w:rPr>
          <w:rFonts w:ascii="FangSong_GB2312" w:hAnsi="FangSong_GB2312" w:eastAsia="FangSong_GB2312" w:cs="FangSong_GB2312"/>
        </w:rPr>
      </w:pPr>
      <w:r>
        <w:rPr>
          <w:spacing w:val="-18"/>
        </w:rPr>
        <w:t>7.</w:t>
      </w:r>
      <w:r>
        <w:rPr>
          <w:rFonts w:ascii="FangSong_GB2312" w:hAnsi="FangSong_GB2312" w:eastAsia="FangSong_GB2312" w:cs="FangSong_GB2312"/>
          <w:spacing w:val="-18"/>
        </w:rPr>
        <w:t>“</w:t>
      </w:r>
      <w:r>
        <w:rPr>
          <w:spacing w:val="-18"/>
        </w:rPr>
        <w:t>1+5+N</w:t>
      </w:r>
      <w:r>
        <w:rPr>
          <w:rFonts w:ascii="FangSong_GB2312" w:hAnsi="FangSong_GB2312" w:eastAsia="FangSong_GB2312" w:cs="FangSong_GB2312"/>
          <w:spacing w:val="-18"/>
        </w:rPr>
        <w:t>”：培育</w:t>
      </w:r>
      <w:r>
        <w:rPr>
          <w:rFonts w:ascii="FangSong_GB2312" w:hAnsi="FangSong_GB2312" w:eastAsia="FangSong_GB2312" w:cs="FangSong_GB2312"/>
          <w:spacing w:val="-52"/>
        </w:rPr>
        <w:t xml:space="preserve"> </w:t>
      </w:r>
      <w:r>
        <w:rPr>
          <w:spacing w:val="-18"/>
        </w:rPr>
        <w:t>1</w:t>
      </w:r>
      <w:r>
        <w:rPr>
          <w:spacing w:val="-71"/>
        </w:rPr>
        <w:t xml:space="preserve"> </w:t>
      </w:r>
      <w:r>
        <w:rPr>
          <w:rFonts w:ascii="FangSong_GB2312" w:hAnsi="FangSong_GB2312" w:eastAsia="FangSong_GB2312" w:cs="FangSong_GB2312"/>
          <w:spacing w:val="-18"/>
        </w:rPr>
        <w:t>个产值超</w:t>
      </w:r>
      <w:r>
        <w:rPr>
          <w:rFonts w:ascii="FangSong_GB2312" w:hAnsi="FangSong_GB2312" w:eastAsia="FangSong_GB2312" w:cs="FangSong_GB2312"/>
          <w:spacing w:val="-69"/>
        </w:rPr>
        <w:t xml:space="preserve"> </w:t>
      </w:r>
      <w:r>
        <w:rPr>
          <w:spacing w:val="-18"/>
        </w:rPr>
        <w:t>5000</w:t>
      </w:r>
      <w:r>
        <w:rPr>
          <w:spacing w:val="-65"/>
        </w:rPr>
        <w:t xml:space="preserve"> </w:t>
      </w:r>
      <w:r>
        <w:rPr>
          <w:rFonts w:ascii="FangSong_GB2312" w:hAnsi="FangSong_GB2312" w:eastAsia="FangSong_GB2312" w:cs="FangSong_GB2312"/>
          <w:spacing w:val="-19"/>
        </w:rPr>
        <w:t>亿元、</w:t>
      </w:r>
      <w:r>
        <w:rPr>
          <w:spacing w:val="-19"/>
        </w:rPr>
        <w:t>5</w:t>
      </w:r>
      <w:r>
        <w:rPr>
          <w:spacing w:val="-73"/>
        </w:rPr>
        <w:t xml:space="preserve"> </w:t>
      </w:r>
      <w:r>
        <w:rPr>
          <w:rFonts w:ascii="FangSong_GB2312" w:hAnsi="FangSong_GB2312" w:eastAsia="FangSong_GB2312" w:cs="FangSong_GB2312"/>
          <w:spacing w:val="-19"/>
        </w:rPr>
        <w:t>个超</w:t>
      </w:r>
      <w:r>
        <w:rPr>
          <w:rFonts w:ascii="FangSong_GB2312" w:hAnsi="FangSong_GB2312" w:eastAsia="FangSong_GB2312" w:cs="FangSong_GB2312"/>
          <w:spacing w:val="-73"/>
        </w:rPr>
        <w:t xml:space="preserve"> </w:t>
      </w:r>
      <w:r>
        <w:rPr>
          <w:spacing w:val="-19"/>
        </w:rPr>
        <w:t>2000</w:t>
      </w:r>
      <w:r>
        <w:rPr>
          <w:spacing w:val="-65"/>
        </w:rPr>
        <w:t xml:space="preserve"> </w:t>
      </w:r>
      <w:r>
        <w:rPr>
          <w:rFonts w:ascii="FangSong_GB2312" w:hAnsi="FangSong_GB2312" w:eastAsia="FangSong_GB2312" w:cs="FangSong_GB2312"/>
          <w:spacing w:val="-19"/>
        </w:rPr>
        <w:t>亿元、</w:t>
      </w:r>
      <w:r>
        <w:rPr>
          <w:rFonts w:ascii="FangSong_GB2312" w:hAnsi="FangSong_GB2312" w:eastAsia="FangSong_GB2312" w:cs="FangSong_GB2312"/>
        </w:rPr>
        <w:t xml:space="preserve"> </w:t>
      </w:r>
      <w:r>
        <w:rPr>
          <w:spacing w:val="-10"/>
        </w:rPr>
        <w:t>N</w:t>
      </w:r>
      <w:r>
        <w:rPr>
          <w:spacing w:val="-60"/>
        </w:rPr>
        <w:t xml:space="preserve"> </w:t>
      </w:r>
      <w:r>
        <w:rPr>
          <w:rFonts w:ascii="FangSong_GB2312" w:hAnsi="FangSong_GB2312" w:eastAsia="FangSong_GB2312" w:cs="FangSong_GB2312"/>
          <w:spacing w:val="-10"/>
        </w:rPr>
        <w:t>个超</w:t>
      </w:r>
      <w:r>
        <w:rPr>
          <w:rFonts w:ascii="FangSong_GB2312" w:hAnsi="FangSong_GB2312" w:eastAsia="FangSong_GB2312" w:cs="FangSong_GB2312"/>
          <w:spacing w:val="-69"/>
        </w:rPr>
        <w:t xml:space="preserve"> </w:t>
      </w:r>
      <w:r>
        <w:rPr>
          <w:spacing w:val="-10"/>
        </w:rPr>
        <w:t>500</w:t>
      </w:r>
      <w:r>
        <w:rPr>
          <w:spacing w:val="-65"/>
        </w:rPr>
        <w:t xml:space="preserve"> </w:t>
      </w:r>
      <w:r>
        <w:rPr>
          <w:rFonts w:ascii="FangSong_GB2312" w:hAnsi="FangSong_GB2312" w:eastAsia="FangSong_GB2312" w:cs="FangSong_GB2312"/>
          <w:spacing w:val="-10"/>
        </w:rPr>
        <w:t>亿元的“</w:t>
      </w:r>
      <w:r>
        <w:rPr>
          <w:spacing w:val="-10"/>
        </w:rPr>
        <w:t>1+5+N</w:t>
      </w:r>
      <w:r>
        <w:rPr>
          <w:rFonts w:ascii="FangSong_GB2312" w:hAnsi="FangSong_GB2312" w:eastAsia="FangSong_GB2312" w:cs="FangSong_GB2312"/>
          <w:spacing w:val="-10"/>
        </w:rPr>
        <w:t>”产业集群。</w:t>
      </w:r>
    </w:p>
    <w:p w14:paraId="2FF5EAAC">
      <w:pPr>
        <w:pStyle w:val="2"/>
        <w:spacing w:before="3" w:line="331" w:lineRule="auto"/>
        <w:ind w:left="7" w:right="95" w:firstLine="630"/>
        <w:rPr>
          <w:rFonts w:ascii="FangSong_GB2312" w:hAnsi="FangSong_GB2312" w:eastAsia="FangSong_GB2312" w:cs="FangSong_GB2312"/>
        </w:rPr>
      </w:pPr>
      <w:r>
        <w:rPr>
          <w:spacing w:val="-20"/>
        </w:rPr>
        <w:t>8.</w:t>
      </w:r>
      <w:r>
        <w:rPr>
          <w:rFonts w:ascii="FangSong_GB2312" w:hAnsi="FangSong_GB2312" w:eastAsia="FangSong_GB2312" w:cs="FangSong_GB2312"/>
          <w:spacing w:val="-20"/>
        </w:rPr>
        <w:t>“双超双有”：“双超”指产生和排放超过国家污染物排放</w:t>
      </w:r>
      <w:r>
        <w:rPr>
          <w:rFonts w:ascii="FangSong_GB2312" w:hAnsi="FangSong_GB2312" w:eastAsia="FangSong_GB2312" w:cs="FangSong_GB2312"/>
          <w:spacing w:val="3"/>
        </w:rPr>
        <w:t>标准或者污染物排放总量超过国家或地方人民政府核定的控制</w:t>
      </w:r>
      <w:r>
        <w:rPr>
          <w:rFonts w:ascii="FangSong_GB2312" w:hAnsi="FangSong_GB2312" w:eastAsia="FangSong_GB2312" w:cs="FangSong_GB2312"/>
          <w:spacing w:val="-8"/>
        </w:rPr>
        <w:t>指标。“双有”指使用有毒、有害原料进行生</w:t>
      </w:r>
      <w:r>
        <w:rPr>
          <w:rFonts w:ascii="FangSong_GB2312" w:hAnsi="FangSong_GB2312" w:eastAsia="FangSong_GB2312" w:cs="FangSong_GB2312"/>
          <w:spacing w:val="-9"/>
        </w:rPr>
        <w:t>产或者在生产中排</w:t>
      </w:r>
      <w:r>
        <w:rPr>
          <w:rFonts w:ascii="FangSong_GB2312" w:hAnsi="FangSong_GB2312" w:eastAsia="FangSong_GB2312" w:cs="FangSong_GB2312"/>
          <w:spacing w:val="-13"/>
        </w:rPr>
        <w:t>放有毒、有害物质。</w:t>
      </w:r>
    </w:p>
    <w:p w14:paraId="1C909C31">
      <w:pPr>
        <w:pStyle w:val="2"/>
        <w:spacing w:before="1" w:line="215" w:lineRule="auto"/>
        <w:ind w:left="637"/>
        <w:rPr>
          <w:rFonts w:ascii="FangSong_GB2312" w:hAnsi="FangSong_GB2312" w:eastAsia="FangSong_GB2312" w:cs="FangSong_GB2312"/>
        </w:rPr>
      </w:pPr>
      <w:r>
        <w:rPr>
          <w:spacing w:val="-8"/>
        </w:rPr>
        <w:t>9.</w:t>
      </w:r>
      <w:r>
        <w:rPr>
          <w:rFonts w:ascii="FangSong_GB2312" w:hAnsi="FangSong_GB2312" w:eastAsia="FangSong_GB2312" w:cs="FangSong_GB2312"/>
          <w:spacing w:val="-8"/>
        </w:rPr>
        <w:t>“四屏、三区、三源、多廊”：四屏</w:t>
      </w:r>
      <w:r>
        <w:rPr>
          <w:rFonts w:ascii="黑体" w:hAnsi="黑体" w:eastAsia="黑体" w:cs="黑体"/>
          <w:spacing w:val="-8"/>
        </w:rPr>
        <w:t>——</w:t>
      </w:r>
      <w:r>
        <w:rPr>
          <w:rFonts w:ascii="FangSong_GB2312" w:hAnsi="FangSong_GB2312" w:eastAsia="FangSong_GB2312" w:cs="FangSong_GB2312"/>
          <w:spacing w:val="-8"/>
        </w:rPr>
        <w:t>罗霄</w:t>
      </w:r>
      <w:r>
        <w:rPr>
          <w:rFonts w:ascii="FangSong_GB2312" w:hAnsi="FangSong_GB2312" w:eastAsia="FangSong_GB2312" w:cs="FangSong_GB2312"/>
          <w:spacing w:val="-9"/>
        </w:rPr>
        <w:t>山脉、南岭</w:t>
      </w:r>
    </w:p>
    <w:p w14:paraId="337F74E2">
      <w:pPr>
        <w:spacing w:before="202" w:line="331" w:lineRule="auto"/>
        <w:ind w:left="17" w:right="96" w:firstLine="7"/>
        <w:jc w:val="both"/>
        <w:rPr>
          <w:rFonts w:ascii="FangSong_GB2312" w:hAnsi="FangSong_GB2312" w:eastAsia="FangSong_GB2312" w:cs="FangSong_GB2312"/>
          <w:sz w:val="32"/>
          <w:szCs w:val="32"/>
        </w:rPr>
      </w:pPr>
      <w:r>
        <w:rPr>
          <w:rFonts w:ascii="FangSong_GB2312" w:hAnsi="FangSong_GB2312" w:eastAsia="FangSong_GB2312" w:cs="FangSong_GB2312"/>
          <w:spacing w:val="-14"/>
          <w:sz w:val="32"/>
          <w:szCs w:val="32"/>
        </w:rPr>
        <w:t>—九连山脉、武夷山脉、雩山四大山系屏障； 三区</w:t>
      </w:r>
      <w:r>
        <w:rPr>
          <w:rFonts w:ascii="黑体" w:hAnsi="黑体" w:eastAsia="黑体" w:cs="黑体"/>
          <w:spacing w:val="-14"/>
          <w:sz w:val="32"/>
          <w:szCs w:val="32"/>
        </w:rPr>
        <w:t>—</w:t>
      </w:r>
      <w:r>
        <w:rPr>
          <w:rFonts w:ascii="黑体" w:hAnsi="黑体" w:eastAsia="黑体" w:cs="黑体"/>
          <w:spacing w:val="-15"/>
          <w:sz w:val="32"/>
          <w:szCs w:val="32"/>
        </w:rPr>
        <w:t>—</w:t>
      </w:r>
      <w:r>
        <w:rPr>
          <w:rFonts w:ascii="FangSong_GB2312" w:hAnsi="FangSong_GB2312" w:eastAsia="FangSong_GB2312" w:cs="FangSong_GB2312"/>
          <w:spacing w:val="-15"/>
          <w:sz w:val="32"/>
          <w:szCs w:val="32"/>
        </w:rPr>
        <w:t>水源涵养</w:t>
      </w:r>
      <w:r>
        <w:rPr>
          <w:rFonts w:ascii="FangSong_GB2312" w:hAnsi="FangSong_GB2312" w:eastAsia="FangSong_GB2312" w:cs="FangSong_GB2312"/>
          <w:spacing w:val="-9"/>
          <w:sz w:val="32"/>
          <w:szCs w:val="32"/>
        </w:rPr>
        <w:t>生态功能区、水土保持生态功能区、森林和生物多样性生态功能</w:t>
      </w:r>
      <w:r>
        <w:rPr>
          <w:rFonts w:ascii="FangSong_GB2312" w:hAnsi="FangSong_GB2312" w:eastAsia="FangSong_GB2312" w:cs="FangSong_GB2312"/>
          <w:spacing w:val="-14"/>
          <w:sz w:val="32"/>
          <w:szCs w:val="32"/>
        </w:rPr>
        <w:t>区；三源</w:t>
      </w:r>
      <w:r>
        <w:rPr>
          <w:rFonts w:ascii="黑体" w:hAnsi="黑体" w:eastAsia="黑体" w:cs="黑体"/>
          <w:spacing w:val="-14"/>
          <w:sz w:val="32"/>
          <w:szCs w:val="32"/>
        </w:rPr>
        <w:t>——</w:t>
      </w:r>
      <w:r>
        <w:rPr>
          <w:rFonts w:ascii="FangSong_GB2312" w:hAnsi="FangSong_GB2312" w:eastAsia="FangSong_GB2312" w:cs="FangSong_GB2312"/>
          <w:spacing w:val="-14"/>
          <w:sz w:val="32"/>
          <w:szCs w:val="32"/>
        </w:rPr>
        <w:t>赣江发源地、东江发源地和北江发源地； 多廊</w:t>
      </w:r>
      <w:r>
        <w:rPr>
          <w:rFonts w:ascii="黑体" w:hAnsi="黑体" w:eastAsia="黑体" w:cs="黑体"/>
          <w:spacing w:val="-14"/>
          <w:sz w:val="32"/>
          <w:szCs w:val="32"/>
        </w:rPr>
        <w:t>——</w:t>
      </w:r>
      <w:r>
        <w:rPr>
          <w:rFonts w:ascii="FangSong_GB2312" w:hAnsi="FangSong_GB2312" w:eastAsia="FangSong_GB2312" w:cs="FangSong_GB2312"/>
          <w:spacing w:val="-9"/>
          <w:sz w:val="32"/>
          <w:szCs w:val="32"/>
        </w:rPr>
        <w:t>上犹江、章水、梅江、琴江、绵江、湘江、濂江、平江、桃江等</w:t>
      </w:r>
      <w:r>
        <w:rPr>
          <w:rFonts w:ascii="FangSong_GB2312" w:hAnsi="FangSong_GB2312" w:eastAsia="FangSong_GB2312" w:cs="FangSong_GB2312"/>
          <w:spacing w:val="-18"/>
          <w:sz w:val="32"/>
          <w:szCs w:val="32"/>
        </w:rPr>
        <w:t>生态廊道。</w:t>
      </w:r>
    </w:p>
    <w:p w14:paraId="59B53608">
      <w:pPr>
        <w:pStyle w:val="2"/>
        <w:spacing w:before="1" w:line="330" w:lineRule="auto"/>
        <w:ind w:left="19" w:right="96" w:firstLine="640"/>
        <w:rPr>
          <w:rFonts w:ascii="FangSong_GB2312" w:hAnsi="FangSong_GB2312" w:eastAsia="FangSong_GB2312" w:cs="FangSong_GB2312"/>
        </w:rPr>
      </w:pPr>
      <w:r>
        <w:rPr>
          <w:spacing w:val="-15"/>
        </w:rPr>
        <w:t>10.</w:t>
      </w:r>
      <w:r>
        <w:rPr>
          <w:rFonts w:ascii="FangSong_GB2312" w:hAnsi="FangSong_GB2312" w:eastAsia="FangSong_GB2312" w:cs="FangSong_GB2312"/>
          <w:spacing w:val="-15"/>
        </w:rPr>
        <w:t>“两河一湖两江”：两河</w:t>
      </w:r>
      <w:r>
        <w:rPr>
          <w:rFonts w:ascii="黑体" w:hAnsi="黑体" w:eastAsia="黑体" w:cs="黑体"/>
          <w:spacing w:val="-15"/>
        </w:rPr>
        <w:t>——</w:t>
      </w:r>
      <w:r>
        <w:rPr>
          <w:rFonts w:ascii="FangSong_GB2312" w:hAnsi="FangSong_GB2312" w:eastAsia="FangSong_GB2312" w:cs="FangSong_GB2312"/>
          <w:spacing w:val="-15"/>
        </w:rPr>
        <w:t>梅江和桃江，一湖</w:t>
      </w:r>
      <w:r>
        <w:rPr>
          <w:rFonts w:ascii="黑体" w:hAnsi="黑体" w:eastAsia="黑体" w:cs="黑体"/>
          <w:spacing w:val="-15"/>
        </w:rPr>
        <w:t>——</w:t>
      </w:r>
      <w:r>
        <w:rPr>
          <w:rFonts w:ascii="FangSong_GB2312" w:hAnsi="FangSong_GB2312" w:eastAsia="FangSong_GB2312" w:cs="FangSong_GB2312"/>
          <w:spacing w:val="-15"/>
        </w:rPr>
        <w:t>阳明</w:t>
      </w:r>
      <w:r>
        <w:rPr>
          <w:rFonts w:ascii="FangSong_GB2312" w:hAnsi="FangSong_GB2312" w:eastAsia="FangSong_GB2312" w:cs="FangSong_GB2312"/>
          <w:spacing w:val="-13"/>
        </w:rPr>
        <w:t>湖，两江</w:t>
      </w:r>
      <w:r>
        <w:rPr>
          <w:rFonts w:ascii="黑体" w:hAnsi="黑体" w:eastAsia="黑体" w:cs="黑体"/>
          <w:spacing w:val="-13"/>
        </w:rPr>
        <w:t>——</w:t>
      </w:r>
      <w:r>
        <w:rPr>
          <w:rFonts w:ascii="FangSong_GB2312" w:hAnsi="FangSong_GB2312" w:eastAsia="FangSong_GB2312" w:cs="FangSong_GB2312"/>
          <w:spacing w:val="-13"/>
        </w:rPr>
        <w:t>赣江和东江。</w:t>
      </w:r>
    </w:p>
    <w:p w14:paraId="13574757">
      <w:pPr>
        <w:pStyle w:val="2"/>
        <w:spacing w:before="1" w:line="331" w:lineRule="auto"/>
        <w:ind w:left="27" w:right="98" w:firstLine="632"/>
        <w:rPr>
          <w:rFonts w:ascii="FangSong_GB2312" w:hAnsi="FangSong_GB2312" w:eastAsia="FangSong_GB2312" w:cs="FangSong_GB2312"/>
        </w:rPr>
      </w:pPr>
      <w:r>
        <w:rPr>
          <w:spacing w:val="-3"/>
        </w:rPr>
        <w:t>11.</w:t>
      </w:r>
      <w:r>
        <w:rPr>
          <w:rFonts w:ascii="FangSong_GB2312" w:hAnsi="FangSong_GB2312" w:eastAsia="FangSong_GB2312" w:cs="FangSong_GB2312"/>
          <w:spacing w:val="-3"/>
        </w:rPr>
        <w:t>废弃矿山“三同治”模式：山上山下同</w:t>
      </w:r>
      <w:r>
        <w:rPr>
          <w:rFonts w:ascii="FangSong_GB2312" w:hAnsi="FangSong_GB2312" w:eastAsia="FangSong_GB2312" w:cs="FangSong_GB2312"/>
          <w:spacing w:val="-4"/>
        </w:rPr>
        <w:t>治、地上地下同</w:t>
      </w:r>
      <w:r>
        <w:rPr>
          <w:rFonts w:ascii="FangSong_GB2312" w:hAnsi="FangSong_GB2312" w:eastAsia="FangSong_GB2312" w:cs="FangSong_GB2312"/>
          <w:spacing w:val="-15"/>
        </w:rPr>
        <w:t>治、流域上下同治。</w:t>
      </w:r>
    </w:p>
    <w:p w14:paraId="4ED4C085">
      <w:pPr>
        <w:pStyle w:val="2"/>
        <w:spacing w:before="2" w:line="215" w:lineRule="auto"/>
        <w:ind w:left="660"/>
        <w:rPr>
          <w:rFonts w:ascii="FangSong_GB2312" w:hAnsi="FangSong_GB2312" w:eastAsia="FangSong_GB2312" w:cs="FangSong_GB2312"/>
        </w:rPr>
      </w:pPr>
      <w:r>
        <w:rPr>
          <w:spacing w:val="-11"/>
        </w:rPr>
        <w:t>12.</w:t>
      </w:r>
      <w:r>
        <w:rPr>
          <w:rFonts w:ascii="FangSong_GB2312" w:hAnsi="FangSong_GB2312" w:eastAsia="FangSong_GB2312" w:cs="FangSong_GB2312"/>
          <w:spacing w:val="-11"/>
        </w:rPr>
        <w:t>“三水”统筹：水环境、水资源、水生态。</w:t>
      </w:r>
    </w:p>
    <w:p w14:paraId="3D1E2BAE">
      <w:pPr>
        <w:pStyle w:val="2"/>
        <w:spacing w:before="202" w:line="215" w:lineRule="auto"/>
        <w:ind w:left="660"/>
        <w:rPr>
          <w:rFonts w:ascii="FangSong_GB2312" w:hAnsi="FangSong_GB2312" w:eastAsia="FangSong_GB2312" w:cs="FangSong_GB2312"/>
        </w:rPr>
      </w:pPr>
      <w:r>
        <w:rPr>
          <w:spacing w:val="-14"/>
        </w:rPr>
        <w:t>13.</w:t>
      </w:r>
      <w:r>
        <w:rPr>
          <w:rFonts w:ascii="FangSong_GB2312" w:hAnsi="FangSong_GB2312" w:eastAsia="FangSong_GB2312" w:cs="FangSong_GB2312"/>
          <w:spacing w:val="-14"/>
        </w:rPr>
        <w:t>“一核多点、一带五区”：一核</w:t>
      </w:r>
      <w:r>
        <w:rPr>
          <w:rFonts w:ascii="黑体" w:hAnsi="黑体" w:eastAsia="黑体" w:cs="黑体"/>
          <w:spacing w:val="-14"/>
        </w:rPr>
        <w:t>——</w:t>
      </w:r>
      <w:r>
        <w:rPr>
          <w:rFonts w:ascii="FangSong_GB2312" w:hAnsi="FangSong_GB2312" w:eastAsia="FangSong_GB2312" w:cs="FangSong_GB2312"/>
          <w:spacing w:val="-14"/>
        </w:rPr>
        <w:t>赣州</w:t>
      </w:r>
      <w:r>
        <w:rPr>
          <w:rFonts w:ascii="FangSong_GB2312" w:hAnsi="FangSong_GB2312" w:eastAsia="FangSong_GB2312" w:cs="FangSong_GB2312"/>
          <w:spacing w:val="-15"/>
        </w:rPr>
        <w:t>老城历史文化保</w:t>
      </w:r>
    </w:p>
    <w:p w14:paraId="447A160D">
      <w:pPr>
        <w:spacing w:line="215" w:lineRule="auto"/>
        <w:rPr>
          <w:rFonts w:ascii="FangSong_GB2312" w:hAnsi="FangSong_GB2312" w:eastAsia="FangSong_GB2312" w:cs="FangSong_GB2312"/>
        </w:rPr>
        <w:sectPr>
          <w:footerReference r:id="rId46" w:type="default"/>
          <w:pgSz w:w="11905" w:h="16840"/>
          <w:pgMar w:top="1431" w:right="1481" w:bottom="1867" w:left="1590" w:header="0" w:footer="1504" w:gutter="0"/>
          <w:cols w:space="720" w:num="1"/>
        </w:sectPr>
      </w:pPr>
    </w:p>
    <w:p w14:paraId="0EB78DEC">
      <w:pPr>
        <w:spacing w:line="343" w:lineRule="auto"/>
        <w:rPr>
          <w:rFonts w:ascii="Arial"/>
          <w:sz w:val="21"/>
        </w:rPr>
      </w:pPr>
    </w:p>
    <w:p w14:paraId="56BE159E">
      <w:pPr>
        <w:spacing w:line="343" w:lineRule="auto"/>
        <w:rPr>
          <w:rFonts w:ascii="Arial"/>
          <w:sz w:val="21"/>
        </w:rPr>
      </w:pPr>
    </w:p>
    <w:p w14:paraId="4B5AD566">
      <w:pPr>
        <w:pStyle w:val="2"/>
        <w:spacing w:before="104" w:line="331" w:lineRule="auto"/>
        <w:ind w:left="2" w:firstLine="16"/>
        <w:rPr>
          <w:rFonts w:ascii="FangSong_GB2312" w:hAnsi="FangSong_GB2312" w:eastAsia="FangSong_GB2312" w:cs="FangSong_GB2312"/>
        </w:rPr>
      </w:pPr>
      <w:r>
        <w:rPr>
          <w:rFonts w:ascii="FangSong_GB2312" w:hAnsi="FangSong_GB2312" w:eastAsia="FangSong_GB2312" w:cs="FangSong_GB2312"/>
          <w:spacing w:val="-9"/>
        </w:rPr>
        <w:t>护核心；一带</w:t>
      </w:r>
      <w:r>
        <w:rPr>
          <w:rFonts w:ascii="黑体" w:hAnsi="黑体" w:eastAsia="黑体" w:cs="黑体"/>
          <w:spacing w:val="-9"/>
        </w:rPr>
        <w:t>——</w:t>
      </w:r>
      <w:r>
        <w:rPr>
          <w:rFonts w:ascii="FangSong_GB2312" w:hAnsi="FangSong_GB2312" w:eastAsia="FangSong_GB2312" w:cs="FangSong_GB2312"/>
          <w:spacing w:val="-9"/>
        </w:rPr>
        <w:t>由章江、贡江、上犹江、桃江、赣江及其两岸</w:t>
      </w:r>
      <w:r>
        <w:rPr>
          <w:rFonts w:ascii="FangSong_GB2312" w:hAnsi="FangSong_GB2312" w:eastAsia="FangSong_GB2312" w:cs="FangSong_GB2312"/>
          <w:spacing w:val="-8"/>
        </w:rPr>
        <w:t>地段构成的五江十岸文化生态带；五区</w:t>
      </w:r>
      <w:r>
        <w:rPr>
          <w:rFonts w:ascii="黑体" w:hAnsi="黑体" w:eastAsia="黑体" w:cs="黑体"/>
          <w:spacing w:val="-8"/>
        </w:rPr>
        <w:t>——</w:t>
      </w:r>
      <w:r>
        <w:rPr>
          <w:rFonts w:ascii="FangSong_GB2312" w:hAnsi="FangSong_GB2312" w:eastAsia="FangSong_GB2312" w:cs="FangSong_GB2312"/>
          <w:spacing w:val="-9"/>
        </w:rPr>
        <w:t>通天岩风景名胜区、三阳山郊野公园、马祖岩生态公园、峰山国家森林公园、南山森林公园；多点</w:t>
      </w:r>
      <w:r>
        <w:rPr>
          <w:rFonts w:ascii="黑体" w:hAnsi="黑体" w:eastAsia="黑体" w:cs="黑体"/>
          <w:spacing w:val="-9"/>
        </w:rPr>
        <w:t>——</w:t>
      </w:r>
      <w:r>
        <w:rPr>
          <w:rFonts w:ascii="FangSong_GB2312" w:hAnsi="FangSong_GB2312" w:eastAsia="FangSong_GB2312" w:cs="FangSong_GB2312"/>
          <w:spacing w:val="-9"/>
        </w:rPr>
        <w:t>包括</w:t>
      </w:r>
      <w:r>
        <w:rPr>
          <w:rFonts w:ascii="FangSong_GB2312" w:hAnsi="FangSong_GB2312" w:eastAsia="FangSong_GB2312" w:cs="FangSong_GB2312"/>
          <w:spacing w:val="-60"/>
        </w:rPr>
        <w:t xml:space="preserve"> </w:t>
      </w:r>
      <w:r>
        <w:rPr>
          <w:spacing w:val="-9"/>
        </w:rPr>
        <w:t>8</w:t>
      </w:r>
      <w:r>
        <w:rPr>
          <w:spacing w:val="-36"/>
        </w:rPr>
        <w:t xml:space="preserve"> </w:t>
      </w:r>
      <w:r>
        <w:rPr>
          <w:rFonts w:ascii="FangSong_GB2312" w:hAnsi="FangSong_GB2312" w:eastAsia="FangSong_GB2312" w:cs="FangSong_GB2312"/>
          <w:spacing w:val="-9"/>
        </w:rPr>
        <w:t>片历史文化街区、</w:t>
      </w:r>
      <w:r>
        <w:rPr>
          <w:spacing w:val="-9"/>
        </w:rPr>
        <w:t>2</w:t>
      </w:r>
      <w:r>
        <w:rPr>
          <w:spacing w:val="-37"/>
        </w:rPr>
        <w:t xml:space="preserve"> </w:t>
      </w:r>
      <w:r>
        <w:rPr>
          <w:rFonts w:ascii="FangSong_GB2312" w:hAnsi="FangSong_GB2312" w:eastAsia="FangSong_GB2312" w:cs="FangSong_GB2312"/>
          <w:spacing w:val="-10"/>
        </w:rPr>
        <w:t>片传统风貌街区，以及各级文物保护单位</w:t>
      </w:r>
      <w:r>
        <w:rPr>
          <w:rFonts w:ascii="FangSong_GB2312" w:hAnsi="FangSong_GB2312" w:eastAsia="FangSong_GB2312" w:cs="FangSong_GB2312"/>
          <w:spacing w:val="-67"/>
        </w:rPr>
        <w:t xml:space="preserve"> </w:t>
      </w:r>
      <w:r>
        <w:rPr>
          <w:spacing w:val="-10"/>
        </w:rPr>
        <w:t>68</w:t>
      </w:r>
      <w:r>
        <w:rPr>
          <w:spacing w:val="-61"/>
        </w:rPr>
        <w:t xml:space="preserve"> </w:t>
      </w:r>
      <w:r>
        <w:rPr>
          <w:rFonts w:ascii="FangSong_GB2312" w:hAnsi="FangSong_GB2312" w:eastAsia="FangSong_GB2312" w:cs="FangSong_GB2312"/>
          <w:spacing w:val="-10"/>
        </w:rPr>
        <w:t>处、一般不可移动文物</w:t>
      </w:r>
      <w:r>
        <w:rPr>
          <w:rFonts w:ascii="FangSong_GB2312" w:hAnsi="FangSong_GB2312" w:eastAsia="FangSong_GB2312" w:cs="FangSong_GB2312"/>
          <w:spacing w:val="-73"/>
        </w:rPr>
        <w:t xml:space="preserve"> </w:t>
      </w:r>
      <w:r>
        <w:rPr>
          <w:spacing w:val="-10"/>
        </w:rPr>
        <w:t>67</w:t>
      </w:r>
      <w:r>
        <w:rPr>
          <w:spacing w:val="-62"/>
        </w:rPr>
        <w:t xml:space="preserve"> </w:t>
      </w:r>
      <w:r>
        <w:rPr>
          <w:rFonts w:ascii="FangSong_GB2312" w:hAnsi="FangSong_GB2312" w:eastAsia="FangSong_GB2312" w:cs="FangSong_GB2312"/>
          <w:spacing w:val="-10"/>
        </w:rPr>
        <w:t>处、历史建</w:t>
      </w:r>
      <w:r>
        <w:rPr>
          <w:rFonts w:ascii="FangSong_GB2312" w:hAnsi="FangSong_GB2312" w:eastAsia="FangSong_GB2312" w:cs="FangSong_GB2312"/>
          <w:spacing w:val="-12"/>
        </w:rPr>
        <w:t>筑</w:t>
      </w:r>
      <w:r>
        <w:rPr>
          <w:rFonts w:ascii="FangSong_GB2312" w:hAnsi="FangSong_GB2312" w:eastAsia="FangSong_GB2312" w:cs="FangSong_GB2312"/>
          <w:spacing w:val="-69"/>
        </w:rPr>
        <w:t xml:space="preserve"> </w:t>
      </w:r>
      <w:r>
        <w:rPr>
          <w:spacing w:val="-12"/>
        </w:rPr>
        <w:t>301</w:t>
      </w:r>
      <w:r>
        <w:rPr>
          <w:spacing w:val="-61"/>
        </w:rPr>
        <w:t xml:space="preserve"> </w:t>
      </w:r>
      <w:r>
        <w:rPr>
          <w:rFonts w:ascii="FangSong_GB2312" w:hAnsi="FangSong_GB2312" w:eastAsia="FangSong_GB2312" w:cs="FangSong_GB2312"/>
          <w:spacing w:val="-12"/>
        </w:rPr>
        <w:t>处等各类历史文化遗产。</w:t>
      </w:r>
    </w:p>
    <w:p w14:paraId="00B53629">
      <w:pPr>
        <w:pStyle w:val="2"/>
        <w:spacing w:line="331" w:lineRule="auto"/>
        <w:ind w:firstLine="655"/>
        <w:jc w:val="both"/>
        <w:rPr>
          <w:rFonts w:ascii="FangSong_GB2312" w:hAnsi="FangSong_GB2312" w:eastAsia="FangSong_GB2312" w:cs="FangSong_GB2312"/>
        </w:rPr>
      </w:pPr>
      <w:r>
        <w:rPr>
          <w:spacing w:val="-15"/>
        </w:rPr>
        <w:t>14.</w:t>
      </w:r>
      <w:r>
        <w:rPr>
          <w:rFonts w:ascii="FangSong_GB2312" w:hAnsi="FangSong_GB2312" w:eastAsia="FangSong_GB2312" w:cs="FangSong_GB2312"/>
          <w:spacing w:val="-15"/>
        </w:rPr>
        <w:t>“一镇两村两类三线”：示范乡镇、传统村落和历史文化</w:t>
      </w:r>
      <w:r>
        <w:rPr>
          <w:rFonts w:ascii="FangSong_GB2312" w:hAnsi="FangSong_GB2312" w:eastAsia="FangSong_GB2312" w:cs="FangSong_GB2312"/>
          <w:spacing w:val="-8"/>
        </w:rPr>
        <w:t>名村、试点示范村、文化旅游类项目、公共设施类</w:t>
      </w:r>
      <w:r>
        <w:rPr>
          <w:rFonts w:ascii="FangSong_GB2312" w:hAnsi="FangSong_GB2312" w:eastAsia="FangSong_GB2312" w:cs="FangSong_GB2312"/>
          <w:spacing w:val="-9"/>
        </w:rPr>
        <w:t>项目、铁路沿</w:t>
      </w:r>
      <w:r>
        <w:rPr>
          <w:rFonts w:ascii="FangSong_GB2312" w:hAnsi="FangSong_GB2312" w:eastAsia="FangSong_GB2312" w:cs="FangSong_GB2312"/>
          <w:spacing w:val="-10"/>
        </w:rPr>
        <w:t>线、城区出入口沿线、景区出入口沿线。</w:t>
      </w:r>
    </w:p>
    <w:p w14:paraId="1E250743">
      <w:pPr>
        <w:spacing w:line="331" w:lineRule="auto"/>
        <w:rPr>
          <w:rFonts w:ascii="FangSong_GB2312" w:hAnsi="FangSong_GB2312" w:eastAsia="FangSong_GB2312" w:cs="FangSong_GB2312"/>
        </w:rPr>
        <w:sectPr>
          <w:footerReference r:id="rId47" w:type="default"/>
          <w:pgSz w:w="11905" w:h="16840"/>
          <w:pgMar w:top="1431" w:right="1578" w:bottom="1867" w:left="1595" w:header="0" w:footer="1506" w:gutter="0"/>
          <w:cols w:space="720" w:num="1"/>
        </w:sectPr>
      </w:pPr>
    </w:p>
    <w:p w14:paraId="15DFA2A7">
      <w:pPr>
        <w:spacing w:before="5"/>
      </w:pPr>
    </w:p>
    <w:p w14:paraId="4EF982AA">
      <w:pPr>
        <w:spacing w:before="5"/>
      </w:pPr>
    </w:p>
    <w:p w14:paraId="2EA471FF">
      <w:pPr>
        <w:spacing w:before="5"/>
      </w:pPr>
    </w:p>
    <w:p w14:paraId="52F3399B">
      <w:pPr>
        <w:spacing w:before="5"/>
      </w:pPr>
    </w:p>
    <w:p w14:paraId="49C62847">
      <w:pPr>
        <w:spacing w:before="5"/>
      </w:pPr>
    </w:p>
    <w:p w14:paraId="2C65F276">
      <w:pPr>
        <w:spacing w:before="5"/>
      </w:pPr>
    </w:p>
    <w:p w14:paraId="143B6FB6">
      <w:pPr>
        <w:spacing w:before="5"/>
      </w:pPr>
    </w:p>
    <w:p w14:paraId="70D5231B">
      <w:pPr>
        <w:spacing w:before="5"/>
      </w:pPr>
    </w:p>
    <w:p w14:paraId="1213BD0C">
      <w:pPr>
        <w:spacing w:before="5"/>
      </w:pPr>
    </w:p>
    <w:p w14:paraId="590E117C">
      <w:pPr>
        <w:spacing w:before="5"/>
      </w:pPr>
    </w:p>
    <w:p w14:paraId="063F8ED8">
      <w:pPr>
        <w:spacing w:before="5"/>
      </w:pPr>
    </w:p>
    <w:p w14:paraId="4D950D87">
      <w:pPr>
        <w:spacing w:before="5"/>
      </w:pPr>
    </w:p>
    <w:p w14:paraId="766F2D39">
      <w:pPr>
        <w:spacing w:before="5"/>
      </w:pPr>
    </w:p>
    <w:p w14:paraId="31F330FA">
      <w:pPr>
        <w:spacing w:before="5"/>
      </w:pPr>
    </w:p>
    <w:p w14:paraId="22B4047E">
      <w:pPr>
        <w:spacing w:before="5"/>
      </w:pPr>
    </w:p>
    <w:p w14:paraId="2F594B70">
      <w:pPr>
        <w:spacing w:before="5"/>
      </w:pPr>
    </w:p>
    <w:p w14:paraId="240C9A70">
      <w:pPr>
        <w:spacing w:before="5"/>
      </w:pPr>
    </w:p>
    <w:p w14:paraId="35D0926A">
      <w:pPr>
        <w:spacing w:before="5"/>
      </w:pPr>
    </w:p>
    <w:p w14:paraId="573973B3">
      <w:pPr>
        <w:spacing w:before="5"/>
      </w:pPr>
    </w:p>
    <w:p w14:paraId="5BC542A6">
      <w:pPr>
        <w:spacing w:before="5"/>
      </w:pPr>
    </w:p>
    <w:p w14:paraId="17DE7C2D">
      <w:pPr>
        <w:spacing w:before="5"/>
      </w:pPr>
    </w:p>
    <w:p w14:paraId="53C33EBA">
      <w:pPr>
        <w:spacing w:before="5"/>
      </w:pPr>
    </w:p>
    <w:p w14:paraId="5FB4DD8A">
      <w:pPr>
        <w:spacing w:before="5"/>
      </w:pPr>
    </w:p>
    <w:p w14:paraId="3F59579C">
      <w:pPr>
        <w:spacing w:before="5"/>
      </w:pPr>
    </w:p>
    <w:p w14:paraId="75E6DA22">
      <w:pPr>
        <w:spacing w:before="5"/>
      </w:pPr>
    </w:p>
    <w:p w14:paraId="62AAF4EE">
      <w:pPr>
        <w:spacing w:before="5"/>
      </w:pPr>
    </w:p>
    <w:p w14:paraId="0F72CEAD">
      <w:pPr>
        <w:spacing w:before="4"/>
      </w:pPr>
    </w:p>
    <w:p w14:paraId="24FDF40C">
      <w:pPr>
        <w:spacing w:before="4"/>
      </w:pPr>
    </w:p>
    <w:p w14:paraId="67C50183">
      <w:pPr>
        <w:spacing w:before="4"/>
      </w:pPr>
    </w:p>
    <w:p w14:paraId="70F3337B">
      <w:pPr>
        <w:spacing w:before="4"/>
      </w:pPr>
    </w:p>
    <w:p w14:paraId="0BDA2829">
      <w:pPr>
        <w:spacing w:before="4"/>
      </w:pPr>
    </w:p>
    <w:p w14:paraId="2E877B97">
      <w:pPr>
        <w:spacing w:before="4"/>
      </w:pPr>
    </w:p>
    <w:p w14:paraId="1C582BDE">
      <w:pPr>
        <w:spacing w:before="4"/>
      </w:pPr>
    </w:p>
    <w:p w14:paraId="441B7433">
      <w:pPr>
        <w:spacing w:before="4"/>
      </w:pPr>
    </w:p>
    <w:p w14:paraId="529461BE">
      <w:pPr>
        <w:spacing w:before="4"/>
      </w:pPr>
    </w:p>
    <w:p w14:paraId="787B2F80">
      <w:pPr>
        <w:spacing w:before="4"/>
      </w:pPr>
    </w:p>
    <w:p w14:paraId="3A41986F">
      <w:pPr>
        <w:spacing w:before="4"/>
      </w:pPr>
    </w:p>
    <w:p w14:paraId="64B97B0B">
      <w:pPr>
        <w:spacing w:before="4"/>
      </w:pPr>
    </w:p>
    <w:p w14:paraId="069E06B6">
      <w:pPr>
        <w:spacing w:before="4"/>
      </w:pPr>
    </w:p>
    <w:p w14:paraId="71CEF513">
      <w:pPr>
        <w:spacing w:before="4"/>
      </w:pPr>
    </w:p>
    <w:p w14:paraId="2479102D">
      <w:pPr>
        <w:spacing w:before="4"/>
      </w:pPr>
    </w:p>
    <w:p w14:paraId="5480299E">
      <w:pPr>
        <w:spacing w:before="4"/>
      </w:pPr>
    </w:p>
    <w:p w14:paraId="31C6A24E">
      <w:pPr>
        <w:spacing w:before="4"/>
      </w:pPr>
    </w:p>
    <w:p w14:paraId="3B62B9B9">
      <w:pPr>
        <w:spacing w:before="4"/>
      </w:pPr>
    </w:p>
    <w:p w14:paraId="0B1603D4">
      <w:pPr>
        <w:spacing w:before="4"/>
      </w:pPr>
    </w:p>
    <w:p w14:paraId="55F8436B">
      <w:pPr>
        <w:spacing w:before="4"/>
      </w:pPr>
    </w:p>
    <w:p w14:paraId="5357256F">
      <w:pPr>
        <w:spacing w:before="4"/>
      </w:pPr>
    </w:p>
    <w:p w14:paraId="055142FF">
      <w:pPr>
        <w:spacing w:before="4"/>
      </w:pPr>
    </w:p>
    <w:p w14:paraId="2ED350CF">
      <w:pPr>
        <w:spacing w:before="4"/>
      </w:pPr>
    </w:p>
    <w:p w14:paraId="36B5CBA7">
      <w:pPr>
        <w:spacing w:before="4"/>
      </w:pPr>
    </w:p>
    <w:p w14:paraId="2E85F5C3">
      <w:pPr>
        <w:spacing w:before="4"/>
      </w:pPr>
    </w:p>
    <w:tbl>
      <w:tblPr>
        <w:tblStyle w:val="5"/>
        <w:tblW w:w="89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86"/>
        <w:gridCol w:w="4174"/>
      </w:tblGrid>
      <w:tr w14:paraId="28DFBE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4" w:hRule="atLeast"/>
        </w:trPr>
        <w:tc>
          <w:tcPr>
            <w:tcW w:w="4786" w:type="dxa"/>
            <w:tcBorders>
              <w:top w:val="single" w:color="000000" w:sz="12" w:space="0"/>
              <w:bottom w:val="single" w:color="000000" w:sz="12" w:space="0"/>
            </w:tcBorders>
            <w:vAlign w:val="top"/>
          </w:tcPr>
          <w:p w14:paraId="0A3B0DCD">
            <w:pPr>
              <w:spacing w:before="148" w:line="220" w:lineRule="auto"/>
              <w:ind w:left="432"/>
              <w:rPr>
                <w:rFonts w:ascii="FangSong_GB2312" w:hAnsi="FangSong_GB2312" w:eastAsia="FangSong_GB2312" w:cs="FangSong_GB2312"/>
                <w:sz w:val="27"/>
                <w:szCs w:val="27"/>
              </w:rPr>
            </w:pPr>
            <w:r>
              <w:rPr>
                <w:rFonts w:ascii="FangSong_GB2312" w:hAnsi="FangSong_GB2312" w:eastAsia="FangSong_GB2312" w:cs="FangSong_GB2312"/>
                <w:spacing w:val="-1"/>
                <w:sz w:val="27"/>
                <w:szCs w:val="27"/>
              </w:rPr>
              <w:t>中共赣州市委办公室秘书科</w:t>
            </w:r>
          </w:p>
        </w:tc>
        <w:tc>
          <w:tcPr>
            <w:tcW w:w="4174" w:type="dxa"/>
            <w:tcBorders>
              <w:top w:val="single" w:color="000000" w:sz="12" w:space="0"/>
              <w:bottom w:val="single" w:color="000000" w:sz="12" w:space="0"/>
            </w:tcBorders>
            <w:vAlign w:val="top"/>
          </w:tcPr>
          <w:p w14:paraId="1074F324">
            <w:pPr>
              <w:pStyle w:val="6"/>
              <w:spacing w:before="146" w:line="223" w:lineRule="auto"/>
              <w:ind w:left="1214"/>
              <w:rPr>
                <w:rFonts w:ascii="FangSong_GB2312" w:hAnsi="FangSong_GB2312" w:eastAsia="FangSong_GB2312" w:cs="FangSong_GB2312"/>
                <w:sz w:val="27"/>
                <w:szCs w:val="27"/>
              </w:rPr>
            </w:pPr>
            <w:r>
              <w:rPr>
                <w:spacing w:val="-2"/>
                <w:sz w:val="27"/>
                <w:szCs w:val="27"/>
              </w:rPr>
              <w:t>2023</w:t>
            </w:r>
            <w:r>
              <w:rPr>
                <w:spacing w:val="-68"/>
                <w:sz w:val="27"/>
                <w:szCs w:val="27"/>
              </w:rPr>
              <w:t xml:space="preserve"> </w:t>
            </w:r>
            <w:r>
              <w:rPr>
                <w:rFonts w:ascii="FangSong_GB2312" w:hAnsi="FangSong_GB2312" w:eastAsia="FangSong_GB2312" w:cs="FangSong_GB2312"/>
                <w:spacing w:val="-2"/>
                <w:sz w:val="27"/>
                <w:szCs w:val="27"/>
              </w:rPr>
              <w:t>年</w:t>
            </w:r>
            <w:r>
              <w:rPr>
                <w:rFonts w:ascii="FangSong_GB2312" w:hAnsi="FangSong_GB2312" w:eastAsia="FangSong_GB2312" w:cs="FangSong_GB2312"/>
                <w:spacing w:val="-73"/>
                <w:sz w:val="27"/>
                <w:szCs w:val="27"/>
              </w:rPr>
              <w:t xml:space="preserve"> </w:t>
            </w:r>
            <w:r>
              <w:rPr>
                <w:spacing w:val="-2"/>
                <w:sz w:val="27"/>
                <w:szCs w:val="27"/>
              </w:rPr>
              <w:t>9</w:t>
            </w:r>
            <w:r>
              <w:rPr>
                <w:spacing w:val="-56"/>
                <w:sz w:val="27"/>
                <w:szCs w:val="27"/>
              </w:rPr>
              <w:t xml:space="preserve"> </w:t>
            </w:r>
            <w:r>
              <w:rPr>
                <w:rFonts w:ascii="FangSong_GB2312" w:hAnsi="FangSong_GB2312" w:eastAsia="FangSong_GB2312" w:cs="FangSong_GB2312"/>
                <w:spacing w:val="-2"/>
                <w:sz w:val="27"/>
                <w:szCs w:val="27"/>
              </w:rPr>
              <w:t>月</w:t>
            </w:r>
            <w:r>
              <w:rPr>
                <w:spacing w:val="-2"/>
                <w:sz w:val="27"/>
                <w:szCs w:val="27"/>
              </w:rPr>
              <w:t xml:space="preserve">29 </w:t>
            </w:r>
            <w:r>
              <w:rPr>
                <w:rFonts w:ascii="FangSong_GB2312" w:hAnsi="FangSong_GB2312" w:eastAsia="FangSong_GB2312" w:cs="FangSong_GB2312"/>
                <w:spacing w:val="-2"/>
                <w:sz w:val="27"/>
                <w:szCs w:val="27"/>
              </w:rPr>
              <w:t>日印发</w:t>
            </w:r>
          </w:p>
        </w:tc>
      </w:tr>
    </w:tbl>
    <w:p w14:paraId="41BA076A">
      <w:pPr>
        <w:rPr>
          <w:rFonts w:ascii="Arial"/>
          <w:sz w:val="21"/>
        </w:rPr>
      </w:pPr>
    </w:p>
    <w:sectPr>
      <w:footerReference r:id="rId48" w:type="default"/>
      <w:pgSz w:w="11905" w:h="16840"/>
      <w:pgMar w:top="1431" w:right="1478" w:bottom="1867" w:left="1465" w:header="0" w:footer="15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0000600000000000000"/>
    <w:charset w:val="86"/>
    <w:family w:val="auto"/>
    <w:pitch w:val="default"/>
    <w:sig w:usb0="800002BF" w:usb1="184F6CF8" w:usb2="00000012" w:usb3="00000000" w:csb0="00160001" w:csb1="12030000"/>
  </w:font>
  <w:font w:name="FangSong_GB2312">
    <w:altName w:val="仿宋_GB2312"/>
    <w:panose1 w:val="02010609030101010101"/>
    <w:charset w:val="86"/>
    <w:family w:val="auto"/>
    <w:pitch w:val="default"/>
    <w:sig w:usb0="00000000" w:usb1="00000000" w:usb2="00000000" w:usb3="00000000" w:csb0="00040000" w:csb1="00000000"/>
  </w:font>
  <w:font w:name="KaiTi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150FA">
    <w:pPr>
      <w:pStyle w:val="2"/>
      <w:spacing w:line="241" w:lineRule="auto"/>
      <w:ind w:left="7219"/>
      <w:rPr>
        <w:sz w:val="27"/>
        <w:szCs w:val="27"/>
      </w:rPr>
    </w:pPr>
    <w:r>
      <w:rPr>
        <w:spacing w:val="-9"/>
        <w:sz w:val="27"/>
        <w:szCs w:val="27"/>
      </w:rPr>
      <w:t>—</w:t>
    </w:r>
    <w:r>
      <w:rPr>
        <w:spacing w:val="21"/>
        <w:sz w:val="27"/>
        <w:szCs w:val="27"/>
      </w:rPr>
      <w:t xml:space="preserve">  </w:t>
    </w:r>
    <w:r>
      <w:rPr>
        <w:spacing w:val="-9"/>
        <w:sz w:val="27"/>
        <w:szCs w:val="27"/>
      </w:rPr>
      <w:t>1</w:t>
    </w:r>
    <w:r>
      <w:rPr>
        <w:spacing w:val="9"/>
        <w:sz w:val="27"/>
        <w:szCs w:val="27"/>
      </w:rPr>
      <w:t xml:space="preserve">  </w:t>
    </w:r>
    <w:r>
      <w:rPr>
        <w:spacing w:val="-9"/>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F975">
    <w:pPr>
      <w:pStyle w:val="2"/>
      <w:ind w:left="285"/>
      <w:rPr>
        <w:sz w:val="27"/>
        <w:szCs w:val="27"/>
      </w:rPr>
    </w:pPr>
    <w:r>
      <w:rPr>
        <w:spacing w:val="-5"/>
        <w:sz w:val="27"/>
        <w:szCs w:val="27"/>
      </w:rPr>
      <w:t>—</w:t>
    </w:r>
    <w:r>
      <w:rPr>
        <w:spacing w:val="20"/>
        <w:sz w:val="27"/>
        <w:szCs w:val="27"/>
      </w:rPr>
      <w:t xml:space="preserve">  </w:t>
    </w:r>
    <w:r>
      <w:rPr>
        <w:spacing w:val="-5"/>
        <w:sz w:val="27"/>
        <w:szCs w:val="27"/>
      </w:rPr>
      <w:t>10</w:t>
    </w:r>
    <w:r>
      <w:rPr>
        <w:spacing w:val="9"/>
        <w:sz w:val="27"/>
        <w:szCs w:val="27"/>
      </w:rPr>
      <w:t xml:space="preserve">  </w:t>
    </w:r>
    <w:r>
      <w:rPr>
        <w:spacing w:val="-5"/>
        <w:sz w:val="27"/>
        <w:szCs w:val="27"/>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5CE9">
    <w:pPr>
      <w:pStyle w:val="2"/>
      <w:spacing w:line="241" w:lineRule="auto"/>
      <w:ind w:left="7055"/>
      <w:rPr>
        <w:sz w:val="27"/>
        <w:szCs w:val="27"/>
      </w:rPr>
    </w:pPr>
    <w:r>
      <w:rPr>
        <w:spacing w:val="-5"/>
        <w:sz w:val="27"/>
        <w:szCs w:val="27"/>
      </w:rPr>
      <w:t>—</w:t>
    </w:r>
    <w:r>
      <w:rPr>
        <w:spacing w:val="20"/>
        <w:sz w:val="27"/>
        <w:szCs w:val="27"/>
      </w:rPr>
      <w:t xml:space="preserve">  </w:t>
    </w:r>
    <w:r>
      <w:rPr>
        <w:spacing w:val="-5"/>
        <w:sz w:val="27"/>
        <w:szCs w:val="27"/>
      </w:rPr>
      <w:t>11</w:t>
    </w:r>
    <w:r>
      <w:rPr>
        <w:spacing w:val="9"/>
        <w:sz w:val="27"/>
        <w:szCs w:val="27"/>
      </w:rPr>
      <w:t xml:space="preserve">  </w:t>
    </w:r>
    <w:r>
      <w:rPr>
        <w:spacing w:val="-5"/>
        <w:sz w:val="27"/>
        <w:szCs w:val="27"/>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51BC">
    <w:pPr>
      <w:pStyle w:val="2"/>
      <w:spacing w:line="241" w:lineRule="auto"/>
      <w:ind w:left="278"/>
      <w:rPr>
        <w:sz w:val="27"/>
        <w:szCs w:val="27"/>
      </w:rPr>
    </w:pPr>
    <w:r>
      <w:rPr>
        <w:spacing w:val="-5"/>
        <w:sz w:val="27"/>
        <w:szCs w:val="27"/>
      </w:rPr>
      <w:t>—</w:t>
    </w:r>
    <w:r>
      <w:rPr>
        <w:spacing w:val="20"/>
        <w:sz w:val="27"/>
        <w:szCs w:val="27"/>
      </w:rPr>
      <w:t xml:space="preserve">  </w:t>
    </w:r>
    <w:r>
      <w:rPr>
        <w:spacing w:val="-5"/>
        <w:sz w:val="27"/>
        <w:szCs w:val="27"/>
      </w:rPr>
      <w:t>12</w:t>
    </w:r>
    <w:r>
      <w:rPr>
        <w:spacing w:val="9"/>
        <w:sz w:val="27"/>
        <w:szCs w:val="27"/>
      </w:rPr>
      <w:t xml:space="preserve">  </w:t>
    </w:r>
    <w:r>
      <w:rPr>
        <w:spacing w:val="-5"/>
        <w:sz w:val="27"/>
        <w:szCs w:val="27"/>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00031">
    <w:pPr>
      <w:pStyle w:val="2"/>
      <w:ind w:left="7055"/>
      <w:rPr>
        <w:sz w:val="27"/>
        <w:szCs w:val="27"/>
      </w:rPr>
    </w:pPr>
    <w:r>
      <w:rPr>
        <w:spacing w:val="-5"/>
        <w:sz w:val="27"/>
        <w:szCs w:val="27"/>
      </w:rPr>
      <w:t>—</w:t>
    </w:r>
    <w:r>
      <w:rPr>
        <w:spacing w:val="20"/>
        <w:sz w:val="27"/>
        <w:szCs w:val="27"/>
      </w:rPr>
      <w:t xml:space="preserve">  </w:t>
    </w:r>
    <w:r>
      <w:rPr>
        <w:spacing w:val="-5"/>
        <w:sz w:val="27"/>
        <w:szCs w:val="27"/>
      </w:rPr>
      <w:t>13</w:t>
    </w:r>
    <w:r>
      <w:rPr>
        <w:spacing w:val="9"/>
        <w:sz w:val="27"/>
        <w:szCs w:val="27"/>
      </w:rPr>
      <w:t xml:space="preserve">  </w:t>
    </w:r>
    <w:r>
      <w:rPr>
        <w:spacing w:val="-5"/>
        <w:sz w:val="27"/>
        <w:szCs w:val="27"/>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021F0">
    <w:pPr>
      <w:pStyle w:val="2"/>
      <w:spacing w:line="241" w:lineRule="auto"/>
      <w:ind w:left="280"/>
      <w:rPr>
        <w:sz w:val="27"/>
        <w:szCs w:val="27"/>
      </w:rPr>
    </w:pPr>
    <w:r>
      <w:rPr>
        <w:spacing w:val="-5"/>
        <w:sz w:val="27"/>
        <w:szCs w:val="27"/>
      </w:rPr>
      <w:t>—</w:t>
    </w:r>
    <w:r>
      <w:rPr>
        <w:spacing w:val="20"/>
        <w:sz w:val="27"/>
        <w:szCs w:val="27"/>
      </w:rPr>
      <w:t xml:space="preserve">  </w:t>
    </w:r>
    <w:r>
      <w:rPr>
        <w:spacing w:val="-5"/>
        <w:sz w:val="27"/>
        <w:szCs w:val="27"/>
      </w:rPr>
      <w:t>14</w:t>
    </w:r>
    <w:r>
      <w:rPr>
        <w:spacing w:val="9"/>
        <w:sz w:val="27"/>
        <w:szCs w:val="27"/>
      </w:rPr>
      <w:t xml:space="preserve">  </w:t>
    </w:r>
    <w:r>
      <w:rPr>
        <w:spacing w:val="-5"/>
        <w:sz w:val="27"/>
        <w:szCs w:val="27"/>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7EB48">
    <w:pPr>
      <w:pStyle w:val="2"/>
      <w:ind w:left="7054"/>
      <w:rPr>
        <w:sz w:val="27"/>
        <w:szCs w:val="27"/>
      </w:rPr>
    </w:pPr>
    <w:r>
      <w:rPr>
        <w:spacing w:val="-5"/>
        <w:sz w:val="27"/>
        <w:szCs w:val="27"/>
      </w:rPr>
      <w:t>—</w:t>
    </w:r>
    <w:r>
      <w:rPr>
        <w:spacing w:val="20"/>
        <w:sz w:val="27"/>
        <w:szCs w:val="27"/>
      </w:rPr>
      <w:t xml:space="preserve">  </w:t>
    </w:r>
    <w:r>
      <w:rPr>
        <w:spacing w:val="-5"/>
        <w:sz w:val="27"/>
        <w:szCs w:val="27"/>
      </w:rPr>
      <w:t>15</w:t>
    </w:r>
    <w:r>
      <w:rPr>
        <w:spacing w:val="9"/>
        <w:sz w:val="27"/>
        <w:szCs w:val="27"/>
      </w:rPr>
      <w:t xml:space="preserve">  </w:t>
    </w:r>
    <w:r>
      <w:rPr>
        <w:spacing w:val="-5"/>
        <w:sz w:val="27"/>
        <w:szCs w:val="27"/>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2E0DA">
    <w:pPr>
      <w:pStyle w:val="2"/>
      <w:ind w:left="282"/>
      <w:rPr>
        <w:sz w:val="27"/>
        <w:szCs w:val="27"/>
      </w:rPr>
    </w:pPr>
    <w:r>
      <w:rPr>
        <w:spacing w:val="-5"/>
        <w:sz w:val="27"/>
        <w:szCs w:val="27"/>
      </w:rPr>
      <w:t>—</w:t>
    </w:r>
    <w:r>
      <w:rPr>
        <w:spacing w:val="20"/>
        <w:sz w:val="27"/>
        <w:szCs w:val="27"/>
      </w:rPr>
      <w:t xml:space="preserve">  </w:t>
    </w:r>
    <w:r>
      <w:rPr>
        <w:spacing w:val="-5"/>
        <w:sz w:val="27"/>
        <w:szCs w:val="27"/>
      </w:rPr>
      <w:t>16</w:t>
    </w:r>
    <w:r>
      <w:rPr>
        <w:spacing w:val="9"/>
        <w:sz w:val="27"/>
        <w:szCs w:val="27"/>
      </w:rPr>
      <w:t xml:space="preserve">  </w:t>
    </w:r>
    <w:r>
      <w:rPr>
        <w:spacing w:val="-5"/>
        <w:sz w:val="27"/>
        <w:szCs w:val="27"/>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0DCF0">
    <w:pPr>
      <w:pStyle w:val="2"/>
      <w:ind w:left="7058"/>
      <w:rPr>
        <w:sz w:val="27"/>
        <w:szCs w:val="27"/>
      </w:rPr>
    </w:pPr>
    <w:r>
      <w:rPr>
        <w:spacing w:val="-5"/>
        <w:sz w:val="27"/>
        <w:szCs w:val="27"/>
      </w:rPr>
      <w:t>—</w:t>
    </w:r>
    <w:r>
      <w:rPr>
        <w:spacing w:val="20"/>
        <w:sz w:val="27"/>
        <w:szCs w:val="27"/>
      </w:rPr>
      <w:t xml:space="preserve">  </w:t>
    </w:r>
    <w:r>
      <w:rPr>
        <w:spacing w:val="-5"/>
        <w:sz w:val="27"/>
        <w:szCs w:val="27"/>
      </w:rPr>
      <w:t>17</w:t>
    </w:r>
    <w:r>
      <w:rPr>
        <w:spacing w:val="9"/>
        <w:sz w:val="27"/>
        <w:szCs w:val="27"/>
      </w:rPr>
      <w:t xml:space="preserve">  </w:t>
    </w:r>
    <w:r>
      <w:rPr>
        <w:spacing w:val="-5"/>
        <w:sz w:val="27"/>
        <w:szCs w:val="27"/>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BA47">
    <w:pPr>
      <w:pStyle w:val="2"/>
      <w:ind w:left="282"/>
      <w:rPr>
        <w:sz w:val="27"/>
        <w:szCs w:val="27"/>
      </w:rPr>
    </w:pPr>
    <w:r>
      <w:rPr>
        <w:spacing w:val="-5"/>
        <w:sz w:val="27"/>
        <w:szCs w:val="27"/>
      </w:rPr>
      <w:t>—</w:t>
    </w:r>
    <w:r>
      <w:rPr>
        <w:spacing w:val="20"/>
        <w:sz w:val="27"/>
        <w:szCs w:val="27"/>
      </w:rPr>
      <w:t xml:space="preserve">  </w:t>
    </w:r>
    <w:r>
      <w:rPr>
        <w:spacing w:val="-5"/>
        <w:sz w:val="27"/>
        <w:szCs w:val="27"/>
      </w:rPr>
      <w:t>18</w:t>
    </w:r>
    <w:r>
      <w:rPr>
        <w:spacing w:val="9"/>
        <w:sz w:val="27"/>
        <w:szCs w:val="27"/>
      </w:rPr>
      <w:t xml:space="preserve">  </w:t>
    </w:r>
    <w:r>
      <w:rPr>
        <w:spacing w:val="-5"/>
        <w:sz w:val="27"/>
        <w:szCs w:val="27"/>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4706">
    <w:pPr>
      <w:pStyle w:val="2"/>
      <w:ind w:left="7058"/>
      <w:rPr>
        <w:sz w:val="27"/>
        <w:szCs w:val="27"/>
      </w:rPr>
    </w:pPr>
    <w:r>
      <w:rPr>
        <w:spacing w:val="-5"/>
        <w:sz w:val="27"/>
        <w:szCs w:val="27"/>
      </w:rPr>
      <w:t>—</w:t>
    </w:r>
    <w:r>
      <w:rPr>
        <w:spacing w:val="20"/>
        <w:sz w:val="27"/>
        <w:szCs w:val="27"/>
      </w:rPr>
      <w:t xml:space="preserve">  </w:t>
    </w:r>
    <w:r>
      <w:rPr>
        <w:spacing w:val="-5"/>
        <w:sz w:val="27"/>
        <w:szCs w:val="27"/>
      </w:rPr>
      <w:t>19</w:t>
    </w:r>
    <w:r>
      <w:rPr>
        <w:spacing w:val="9"/>
        <w:sz w:val="27"/>
        <w:szCs w:val="27"/>
      </w:rPr>
      <w:t xml:space="preserve">  </w:t>
    </w:r>
    <w:r>
      <w:rPr>
        <w:spacing w:val="-5"/>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7B36">
    <w:pPr>
      <w:pStyle w:val="2"/>
      <w:spacing w:line="241" w:lineRule="auto"/>
      <w:ind w:left="285"/>
      <w:rPr>
        <w:sz w:val="27"/>
        <w:szCs w:val="27"/>
      </w:rPr>
    </w:pPr>
    <w:r>
      <w:rPr>
        <w:spacing w:val="-3"/>
        <w:sz w:val="27"/>
        <w:szCs w:val="27"/>
      </w:rPr>
      <w:t>—</w:t>
    </w:r>
    <w:r>
      <w:rPr>
        <w:spacing w:val="12"/>
        <w:sz w:val="27"/>
        <w:szCs w:val="27"/>
      </w:rPr>
      <w:t xml:space="preserve">  </w:t>
    </w:r>
    <w:r>
      <w:rPr>
        <w:spacing w:val="-3"/>
        <w:sz w:val="27"/>
        <w:szCs w:val="27"/>
      </w:rPr>
      <w:t>2</w:t>
    </w:r>
    <w:r>
      <w:rPr>
        <w:spacing w:val="9"/>
        <w:sz w:val="27"/>
        <w:szCs w:val="27"/>
      </w:rPr>
      <w:t xml:space="preserve">  </w:t>
    </w:r>
    <w:r>
      <w:rPr>
        <w:spacing w:val="-3"/>
        <w:sz w:val="27"/>
        <w:szCs w:val="27"/>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319AC">
    <w:pPr>
      <w:pStyle w:val="2"/>
      <w:ind w:left="278"/>
      <w:rPr>
        <w:sz w:val="27"/>
        <w:szCs w:val="27"/>
      </w:rPr>
    </w:pPr>
    <w:r>
      <w:rPr>
        <w:spacing w:val="-1"/>
        <w:sz w:val="27"/>
        <w:szCs w:val="27"/>
      </w:rPr>
      <w:t>—</w:t>
    </w:r>
    <w:r>
      <w:rPr>
        <w:spacing w:val="12"/>
        <w:sz w:val="27"/>
        <w:szCs w:val="27"/>
      </w:rPr>
      <w:t xml:space="preserve">  </w:t>
    </w:r>
    <w:r>
      <w:rPr>
        <w:spacing w:val="-1"/>
        <w:sz w:val="27"/>
        <w:szCs w:val="27"/>
      </w:rPr>
      <w:t>20</w:t>
    </w:r>
    <w:r>
      <w:rPr>
        <w:spacing w:val="9"/>
        <w:sz w:val="27"/>
        <w:szCs w:val="27"/>
      </w:rPr>
      <w:t xml:space="preserve">  </w:t>
    </w:r>
    <w:r>
      <w:rPr>
        <w:spacing w:val="-1"/>
        <w:sz w:val="27"/>
        <w:szCs w:val="27"/>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5A0CD">
    <w:pPr>
      <w:pStyle w:val="2"/>
      <w:spacing w:line="241" w:lineRule="auto"/>
      <w:ind w:left="7052"/>
      <w:rPr>
        <w:sz w:val="27"/>
        <w:szCs w:val="27"/>
      </w:rPr>
    </w:pPr>
    <w:r>
      <w:rPr>
        <w:spacing w:val="-1"/>
        <w:sz w:val="27"/>
        <w:szCs w:val="27"/>
      </w:rPr>
      <w:t>—</w:t>
    </w:r>
    <w:r>
      <w:rPr>
        <w:spacing w:val="12"/>
        <w:sz w:val="27"/>
        <w:szCs w:val="27"/>
      </w:rPr>
      <w:t xml:space="preserve">  </w:t>
    </w:r>
    <w:r>
      <w:rPr>
        <w:spacing w:val="-1"/>
        <w:sz w:val="27"/>
        <w:szCs w:val="27"/>
      </w:rPr>
      <w:t>21</w:t>
    </w:r>
    <w:r>
      <w:rPr>
        <w:spacing w:val="9"/>
        <w:sz w:val="27"/>
        <w:szCs w:val="27"/>
      </w:rPr>
      <w:t xml:space="preserve">  </w:t>
    </w:r>
    <w:r>
      <w:rPr>
        <w:spacing w:val="-1"/>
        <w:sz w:val="27"/>
        <w:szCs w:val="27"/>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33FDE">
    <w:pPr>
      <w:pStyle w:val="2"/>
      <w:spacing w:line="241" w:lineRule="auto"/>
      <w:ind w:left="281"/>
      <w:rPr>
        <w:sz w:val="27"/>
        <w:szCs w:val="27"/>
      </w:rPr>
    </w:pPr>
    <w:r>
      <w:rPr>
        <w:spacing w:val="-1"/>
        <w:sz w:val="27"/>
        <w:szCs w:val="27"/>
      </w:rPr>
      <w:t>—</w:t>
    </w:r>
    <w:r>
      <w:rPr>
        <w:spacing w:val="12"/>
        <w:sz w:val="27"/>
        <w:szCs w:val="27"/>
      </w:rPr>
      <w:t xml:space="preserve">  </w:t>
    </w:r>
    <w:r>
      <w:rPr>
        <w:spacing w:val="-1"/>
        <w:sz w:val="27"/>
        <w:szCs w:val="27"/>
      </w:rPr>
      <w:t>22</w:t>
    </w:r>
    <w:r>
      <w:rPr>
        <w:spacing w:val="9"/>
        <w:sz w:val="27"/>
        <w:szCs w:val="27"/>
      </w:rPr>
      <w:t xml:space="preserve">  </w:t>
    </w:r>
    <w:r>
      <w:rPr>
        <w:spacing w:val="-1"/>
        <w:sz w:val="27"/>
        <w:szCs w:val="27"/>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4F8E7">
    <w:pPr>
      <w:pStyle w:val="2"/>
      <w:ind w:left="7053"/>
      <w:rPr>
        <w:sz w:val="27"/>
        <w:szCs w:val="27"/>
      </w:rPr>
    </w:pPr>
    <w:r>
      <w:rPr>
        <w:spacing w:val="-1"/>
        <w:sz w:val="27"/>
        <w:szCs w:val="27"/>
      </w:rPr>
      <w:t>—</w:t>
    </w:r>
    <w:r>
      <w:rPr>
        <w:spacing w:val="12"/>
        <w:sz w:val="27"/>
        <w:szCs w:val="27"/>
      </w:rPr>
      <w:t xml:space="preserve">  </w:t>
    </w:r>
    <w:r>
      <w:rPr>
        <w:spacing w:val="-1"/>
        <w:sz w:val="27"/>
        <w:szCs w:val="27"/>
      </w:rPr>
      <w:t>23</w:t>
    </w:r>
    <w:r>
      <w:rPr>
        <w:spacing w:val="9"/>
        <w:sz w:val="27"/>
        <w:szCs w:val="27"/>
      </w:rPr>
      <w:t xml:space="preserve">  </w:t>
    </w:r>
    <w:r>
      <w:rPr>
        <w:spacing w:val="-1"/>
        <w:sz w:val="27"/>
        <w:szCs w:val="27"/>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D1A0">
    <w:pPr>
      <w:pStyle w:val="2"/>
      <w:spacing w:line="241" w:lineRule="auto"/>
      <w:ind w:left="284"/>
      <w:rPr>
        <w:sz w:val="27"/>
        <w:szCs w:val="27"/>
      </w:rPr>
    </w:pPr>
    <w:r>
      <w:rPr>
        <w:spacing w:val="-1"/>
        <w:sz w:val="27"/>
        <w:szCs w:val="27"/>
      </w:rPr>
      <w:t>—</w:t>
    </w:r>
    <w:r>
      <w:rPr>
        <w:spacing w:val="12"/>
        <w:sz w:val="27"/>
        <w:szCs w:val="27"/>
      </w:rPr>
      <w:t xml:space="preserve">  </w:t>
    </w:r>
    <w:r>
      <w:rPr>
        <w:spacing w:val="-1"/>
        <w:sz w:val="27"/>
        <w:szCs w:val="27"/>
      </w:rPr>
      <w:t>24</w:t>
    </w:r>
    <w:r>
      <w:rPr>
        <w:spacing w:val="9"/>
        <w:sz w:val="27"/>
        <w:szCs w:val="27"/>
      </w:rPr>
      <w:t xml:space="preserve">  </w:t>
    </w:r>
    <w:r>
      <w:rPr>
        <w:spacing w:val="-1"/>
        <w:sz w:val="27"/>
        <w:szCs w:val="27"/>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DA143">
    <w:pPr>
      <w:pStyle w:val="2"/>
      <w:ind w:left="7053"/>
      <w:rPr>
        <w:sz w:val="27"/>
        <w:szCs w:val="27"/>
      </w:rPr>
    </w:pPr>
    <w:r>
      <w:rPr>
        <w:spacing w:val="-1"/>
        <w:sz w:val="27"/>
        <w:szCs w:val="27"/>
      </w:rPr>
      <w:t>—</w:t>
    </w:r>
    <w:r>
      <w:rPr>
        <w:spacing w:val="12"/>
        <w:sz w:val="27"/>
        <w:szCs w:val="27"/>
      </w:rPr>
      <w:t xml:space="preserve">  </w:t>
    </w:r>
    <w:r>
      <w:rPr>
        <w:spacing w:val="-1"/>
        <w:sz w:val="27"/>
        <w:szCs w:val="27"/>
      </w:rPr>
      <w:t>25</w:t>
    </w:r>
    <w:r>
      <w:rPr>
        <w:spacing w:val="9"/>
        <w:sz w:val="27"/>
        <w:szCs w:val="27"/>
      </w:rPr>
      <w:t xml:space="preserve">  </w:t>
    </w:r>
    <w:r>
      <w:rPr>
        <w:spacing w:val="-1"/>
        <w:sz w:val="27"/>
        <w:szCs w:val="27"/>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F86A3">
    <w:pPr>
      <w:pStyle w:val="2"/>
      <w:ind w:left="282"/>
      <w:rPr>
        <w:sz w:val="27"/>
        <w:szCs w:val="27"/>
      </w:rPr>
    </w:pPr>
    <w:r>
      <w:rPr>
        <w:spacing w:val="-1"/>
        <w:sz w:val="27"/>
        <w:szCs w:val="27"/>
      </w:rPr>
      <w:t>—</w:t>
    </w:r>
    <w:r>
      <w:rPr>
        <w:spacing w:val="12"/>
        <w:sz w:val="27"/>
        <w:szCs w:val="27"/>
      </w:rPr>
      <w:t xml:space="preserve">  </w:t>
    </w:r>
    <w:r>
      <w:rPr>
        <w:spacing w:val="-1"/>
        <w:sz w:val="27"/>
        <w:szCs w:val="27"/>
      </w:rPr>
      <w:t>26</w:t>
    </w:r>
    <w:r>
      <w:rPr>
        <w:spacing w:val="9"/>
        <w:sz w:val="27"/>
        <w:szCs w:val="27"/>
      </w:rPr>
      <w:t xml:space="preserve">  </w:t>
    </w:r>
    <w:r>
      <w:rPr>
        <w:spacing w:val="-1"/>
        <w:sz w:val="27"/>
        <w:szCs w:val="27"/>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B0AB6">
    <w:pPr>
      <w:pStyle w:val="2"/>
      <w:ind w:left="7051"/>
      <w:rPr>
        <w:sz w:val="27"/>
        <w:szCs w:val="27"/>
      </w:rPr>
    </w:pPr>
    <w:r>
      <w:rPr>
        <w:spacing w:val="-1"/>
        <w:sz w:val="27"/>
        <w:szCs w:val="27"/>
      </w:rPr>
      <w:t>—</w:t>
    </w:r>
    <w:r>
      <w:rPr>
        <w:spacing w:val="12"/>
        <w:sz w:val="27"/>
        <w:szCs w:val="27"/>
      </w:rPr>
      <w:t xml:space="preserve">  </w:t>
    </w:r>
    <w:r>
      <w:rPr>
        <w:spacing w:val="-1"/>
        <w:sz w:val="27"/>
        <w:szCs w:val="27"/>
      </w:rPr>
      <w:t>27</w:t>
    </w:r>
    <w:r>
      <w:rPr>
        <w:spacing w:val="9"/>
        <w:sz w:val="27"/>
        <w:szCs w:val="27"/>
      </w:rPr>
      <w:t xml:space="preserve">  </w:t>
    </w:r>
    <w:r>
      <w:rPr>
        <w:spacing w:val="-1"/>
        <w:sz w:val="27"/>
        <w:szCs w:val="27"/>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46342">
    <w:pPr>
      <w:pStyle w:val="2"/>
      <w:ind w:left="282"/>
      <w:rPr>
        <w:sz w:val="27"/>
        <w:szCs w:val="27"/>
      </w:rPr>
    </w:pPr>
    <w:r>
      <w:rPr>
        <w:spacing w:val="-1"/>
        <w:sz w:val="27"/>
        <w:szCs w:val="27"/>
      </w:rPr>
      <w:t>—</w:t>
    </w:r>
    <w:r>
      <w:rPr>
        <w:spacing w:val="12"/>
        <w:sz w:val="27"/>
        <w:szCs w:val="27"/>
      </w:rPr>
      <w:t xml:space="preserve">  </w:t>
    </w:r>
    <w:r>
      <w:rPr>
        <w:spacing w:val="-1"/>
        <w:sz w:val="27"/>
        <w:szCs w:val="27"/>
      </w:rPr>
      <w:t>28</w:t>
    </w:r>
    <w:r>
      <w:rPr>
        <w:spacing w:val="9"/>
        <w:sz w:val="27"/>
        <w:szCs w:val="27"/>
      </w:rPr>
      <w:t xml:space="preserve">  </w:t>
    </w:r>
    <w:r>
      <w:rPr>
        <w:spacing w:val="-1"/>
        <w:sz w:val="27"/>
        <w:szCs w:val="27"/>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B6F50">
    <w:pPr>
      <w:pStyle w:val="2"/>
      <w:ind w:left="7053"/>
      <w:rPr>
        <w:sz w:val="27"/>
        <w:szCs w:val="27"/>
      </w:rPr>
    </w:pPr>
    <w:r>
      <w:rPr>
        <w:spacing w:val="-1"/>
        <w:sz w:val="27"/>
        <w:szCs w:val="27"/>
      </w:rPr>
      <w:t>—</w:t>
    </w:r>
    <w:r>
      <w:rPr>
        <w:spacing w:val="12"/>
        <w:sz w:val="27"/>
        <w:szCs w:val="27"/>
      </w:rPr>
      <w:t xml:space="preserve">  </w:t>
    </w:r>
    <w:r>
      <w:rPr>
        <w:spacing w:val="-1"/>
        <w:sz w:val="27"/>
        <w:szCs w:val="27"/>
      </w:rPr>
      <w:t>29</w:t>
    </w:r>
    <w:r>
      <w:rPr>
        <w:spacing w:val="9"/>
        <w:sz w:val="27"/>
        <w:szCs w:val="27"/>
      </w:rPr>
      <w:t xml:space="preserve">  </w:t>
    </w:r>
    <w:r>
      <w:rPr>
        <w:spacing w:val="-1"/>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C8DB2">
    <w:pPr>
      <w:pStyle w:val="2"/>
      <w:ind w:left="7194"/>
      <w:rPr>
        <w:sz w:val="27"/>
        <w:szCs w:val="27"/>
      </w:rPr>
    </w:pPr>
    <w:r>
      <w:rPr>
        <w:spacing w:val="-4"/>
        <w:sz w:val="27"/>
        <w:szCs w:val="27"/>
      </w:rPr>
      <w:t>—</w:t>
    </w:r>
    <w:r>
      <w:rPr>
        <w:spacing w:val="13"/>
        <w:sz w:val="27"/>
        <w:szCs w:val="27"/>
      </w:rPr>
      <w:t xml:space="preserve">  </w:t>
    </w:r>
    <w:r>
      <w:rPr>
        <w:spacing w:val="-4"/>
        <w:sz w:val="27"/>
        <w:szCs w:val="27"/>
      </w:rPr>
      <w:t>3</w:t>
    </w:r>
    <w:r>
      <w:rPr>
        <w:spacing w:val="10"/>
        <w:sz w:val="27"/>
        <w:szCs w:val="27"/>
      </w:rPr>
      <w:t xml:space="preserve">  </w:t>
    </w:r>
    <w:r>
      <w:rPr>
        <w:spacing w:val="-4"/>
        <w:sz w:val="27"/>
        <w:szCs w:val="27"/>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C222D">
    <w:pPr>
      <w:pStyle w:val="2"/>
      <w:ind w:left="285"/>
      <w:rPr>
        <w:sz w:val="27"/>
        <w:szCs w:val="27"/>
      </w:rPr>
    </w:pPr>
    <w:r>
      <w:rPr>
        <w:spacing w:val="-2"/>
        <w:sz w:val="27"/>
        <w:szCs w:val="27"/>
      </w:rPr>
      <w:t>—</w:t>
    </w:r>
    <w:r>
      <w:rPr>
        <w:spacing w:val="14"/>
        <w:sz w:val="27"/>
        <w:szCs w:val="27"/>
      </w:rPr>
      <w:t xml:space="preserve">  </w:t>
    </w:r>
    <w:r>
      <w:rPr>
        <w:spacing w:val="-2"/>
        <w:sz w:val="27"/>
        <w:szCs w:val="27"/>
      </w:rPr>
      <w:t>30</w:t>
    </w:r>
    <w:r>
      <w:rPr>
        <w:spacing w:val="9"/>
        <w:sz w:val="27"/>
        <w:szCs w:val="27"/>
      </w:rPr>
      <w:t xml:space="preserve">  </w:t>
    </w:r>
    <w:r>
      <w:rPr>
        <w:spacing w:val="-2"/>
        <w:sz w:val="27"/>
        <w:szCs w:val="27"/>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CBEB3">
    <w:pPr>
      <w:pStyle w:val="2"/>
      <w:ind w:left="7052"/>
      <w:rPr>
        <w:sz w:val="27"/>
        <w:szCs w:val="27"/>
      </w:rPr>
    </w:pPr>
    <w:r>
      <w:rPr>
        <w:spacing w:val="-2"/>
        <w:sz w:val="27"/>
        <w:szCs w:val="27"/>
      </w:rPr>
      <w:t>—</w:t>
    </w:r>
    <w:r>
      <w:rPr>
        <w:spacing w:val="14"/>
        <w:sz w:val="27"/>
        <w:szCs w:val="27"/>
      </w:rPr>
      <w:t xml:space="preserve">  </w:t>
    </w:r>
    <w:r>
      <w:rPr>
        <w:spacing w:val="-2"/>
        <w:sz w:val="27"/>
        <w:szCs w:val="27"/>
      </w:rPr>
      <w:t>31</w:t>
    </w:r>
    <w:r>
      <w:rPr>
        <w:spacing w:val="9"/>
        <w:sz w:val="27"/>
        <w:szCs w:val="27"/>
      </w:rPr>
      <w:t xml:space="preserve">  </w:t>
    </w:r>
    <w:r>
      <w:rPr>
        <w:spacing w:val="-2"/>
        <w:sz w:val="27"/>
        <w:szCs w:val="27"/>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2F32">
    <w:pPr>
      <w:pStyle w:val="2"/>
      <w:ind w:left="285"/>
      <w:rPr>
        <w:sz w:val="27"/>
        <w:szCs w:val="27"/>
      </w:rPr>
    </w:pPr>
    <w:r>
      <w:rPr>
        <w:spacing w:val="-2"/>
        <w:sz w:val="27"/>
        <w:szCs w:val="27"/>
      </w:rPr>
      <w:t>—</w:t>
    </w:r>
    <w:r>
      <w:rPr>
        <w:spacing w:val="14"/>
        <w:sz w:val="27"/>
        <w:szCs w:val="27"/>
      </w:rPr>
      <w:t xml:space="preserve">  </w:t>
    </w:r>
    <w:r>
      <w:rPr>
        <w:spacing w:val="-2"/>
        <w:sz w:val="27"/>
        <w:szCs w:val="27"/>
      </w:rPr>
      <w:t>32</w:t>
    </w:r>
    <w:r>
      <w:rPr>
        <w:spacing w:val="9"/>
        <w:sz w:val="27"/>
        <w:szCs w:val="27"/>
      </w:rPr>
      <w:t xml:space="preserve">  </w:t>
    </w:r>
    <w:r>
      <w:rPr>
        <w:spacing w:val="-2"/>
        <w:sz w:val="27"/>
        <w:szCs w:val="27"/>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2EE14">
    <w:pPr>
      <w:pStyle w:val="2"/>
      <w:ind w:left="7048"/>
      <w:rPr>
        <w:sz w:val="27"/>
        <w:szCs w:val="27"/>
      </w:rPr>
    </w:pPr>
    <w:r>
      <w:rPr>
        <w:spacing w:val="-2"/>
        <w:sz w:val="27"/>
        <w:szCs w:val="27"/>
      </w:rPr>
      <w:t>—</w:t>
    </w:r>
    <w:r>
      <w:rPr>
        <w:spacing w:val="14"/>
        <w:sz w:val="27"/>
        <w:szCs w:val="27"/>
      </w:rPr>
      <w:t xml:space="preserve">  </w:t>
    </w:r>
    <w:r>
      <w:rPr>
        <w:spacing w:val="-2"/>
        <w:sz w:val="27"/>
        <w:szCs w:val="27"/>
      </w:rPr>
      <w:t>33</w:t>
    </w:r>
    <w:r>
      <w:rPr>
        <w:spacing w:val="9"/>
        <w:sz w:val="27"/>
        <w:szCs w:val="27"/>
      </w:rPr>
      <w:t xml:space="preserve">  </w:t>
    </w:r>
    <w:r>
      <w:rPr>
        <w:spacing w:val="-2"/>
        <w:sz w:val="27"/>
        <w:szCs w:val="27"/>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6FDE7">
    <w:pPr>
      <w:pStyle w:val="2"/>
      <w:ind w:left="286"/>
      <w:rPr>
        <w:sz w:val="27"/>
        <w:szCs w:val="27"/>
      </w:rPr>
    </w:pPr>
    <w:r>
      <w:rPr>
        <w:spacing w:val="-2"/>
        <w:sz w:val="27"/>
        <w:szCs w:val="27"/>
      </w:rPr>
      <w:t>—</w:t>
    </w:r>
    <w:r>
      <w:rPr>
        <w:spacing w:val="14"/>
        <w:sz w:val="27"/>
        <w:szCs w:val="27"/>
      </w:rPr>
      <w:t xml:space="preserve">  </w:t>
    </w:r>
    <w:r>
      <w:rPr>
        <w:spacing w:val="-2"/>
        <w:sz w:val="27"/>
        <w:szCs w:val="27"/>
      </w:rPr>
      <w:t>34</w:t>
    </w:r>
    <w:r>
      <w:rPr>
        <w:spacing w:val="9"/>
        <w:sz w:val="27"/>
        <w:szCs w:val="27"/>
      </w:rPr>
      <w:t xml:space="preserve">  </w:t>
    </w:r>
    <w:r>
      <w:rPr>
        <w:spacing w:val="-2"/>
        <w:sz w:val="27"/>
        <w:szCs w:val="27"/>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368D9">
    <w:pPr>
      <w:pStyle w:val="2"/>
      <w:ind w:left="7055"/>
      <w:rPr>
        <w:sz w:val="27"/>
        <w:szCs w:val="27"/>
      </w:rPr>
    </w:pPr>
    <w:r>
      <w:rPr>
        <w:spacing w:val="-2"/>
        <w:sz w:val="27"/>
        <w:szCs w:val="27"/>
      </w:rPr>
      <w:t>—</w:t>
    </w:r>
    <w:r>
      <w:rPr>
        <w:spacing w:val="14"/>
        <w:sz w:val="27"/>
        <w:szCs w:val="27"/>
      </w:rPr>
      <w:t xml:space="preserve">  </w:t>
    </w:r>
    <w:r>
      <w:rPr>
        <w:spacing w:val="-2"/>
        <w:sz w:val="27"/>
        <w:szCs w:val="27"/>
      </w:rPr>
      <w:t>35</w:t>
    </w:r>
    <w:r>
      <w:rPr>
        <w:spacing w:val="9"/>
        <w:sz w:val="27"/>
        <w:szCs w:val="27"/>
      </w:rPr>
      <w:t xml:space="preserve">  </w:t>
    </w:r>
    <w:r>
      <w:rPr>
        <w:spacing w:val="-2"/>
        <w:sz w:val="27"/>
        <w:szCs w:val="27"/>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96EF7">
    <w:pPr>
      <w:pStyle w:val="2"/>
      <w:ind w:left="280"/>
      <w:rPr>
        <w:sz w:val="27"/>
        <w:szCs w:val="27"/>
      </w:rPr>
    </w:pPr>
    <w:r>
      <w:rPr>
        <w:spacing w:val="-2"/>
        <w:sz w:val="27"/>
        <w:szCs w:val="27"/>
      </w:rPr>
      <w:t>—</w:t>
    </w:r>
    <w:r>
      <w:rPr>
        <w:spacing w:val="14"/>
        <w:sz w:val="27"/>
        <w:szCs w:val="27"/>
      </w:rPr>
      <w:t xml:space="preserve">  </w:t>
    </w:r>
    <w:r>
      <w:rPr>
        <w:spacing w:val="-2"/>
        <w:sz w:val="27"/>
        <w:szCs w:val="27"/>
      </w:rPr>
      <w:t>36</w:t>
    </w:r>
    <w:r>
      <w:rPr>
        <w:spacing w:val="9"/>
        <w:sz w:val="27"/>
        <w:szCs w:val="27"/>
      </w:rPr>
      <w:t xml:space="preserve">  </w:t>
    </w:r>
    <w:r>
      <w:rPr>
        <w:spacing w:val="-2"/>
        <w:sz w:val="27"/>
        <w:szCs w:val="27"/>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D8802">
    <w:pPr>
      <w:pStyle w:val="2"/>
      <w:ind w:left="7051"/>
      <w:rPr>
        <w:sz w:val="27"/>
        <w:szCs w:val="27"/>
      </w:rPr>
    </w:pPr>
    <w:r>
      <w:rPr>
        <w:spacing w:val="-2"/>
        <w:sz w:val="27"/>
        <w:szCs w:val="27"/>
      </w:rPr>
      <w:t>—</w:t>
    </w:r>
    <w:r>
      <w:rPr>
        <w:spacing w:val="14"/>
        <w:sz w:val="27"/>
        <w:szCs w:val="27"/>
      </w:rPr>
      <w:t xml:space="preserve">  </w:t>
    </w:r>
    <w:r>
      <w:rPr>
        <w:spacing w:val="-2"/>
        <w:sz w:val="27"/>
        <w:szCs w:val="27"/>
      </w:rPr>
      <w:t>37</w:t>
    </w:r>
    <w:r>
      <w:rPr>
        <w:spacing w:val="9"/>
        <w:sz w:val="27"/>
        <w:szCs w:val="27"/>
      </w:rPr>
      <w:t xml:space="preserve">  </w:t>
    </w:r>
    <w:r>
      <w:rPr>
        <w:spacing w:val="-2"/>
        <w:sz w:val="27"/>
        <w:szCs w:val="27"/>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C9240">
    <w:pPr>
      <w:pStyle w:val="2"/>
      <w:ind w:left="280"/>
      <w:rPr>
        <w:sz w:val="27"/>
        <w:szCs w:val="27"/>
      </w:rPr>
    </w:pPr>
    <w:r>
      <w:rPr>
        <w:spacing w:val="-2"/>
        <w:sz w:val="27"/>
        <w:szCs w:val="27"/>
      </w:rPr>
      <w:t>—</w:t>
    </w:r>
    <w:r>
      <w:rPr>
        <w:spacing w:val="14"/>
        <w:sz w:val="27"/>
        <w:szCs w:val="27"/>
      </w:rPr>
      <w:t xml:space="preserve">  </w:t>
    </w:r>
    <w:r>
      <w:rPr>
        <w:spacing w:val="-2"/>
        <w:sz w:val="27"/>
        <w:szCs w:val="27"/>
      </w:rPr>
      <w:t>38</w:t>
    </w:r>
    <w:r>
      <w:rPr>
        <w:spacing w:val="9"/>
        <w:sz w:val="27"/>
        <w:szCs w:val="27"/>
      </w:rPr>
      <w:t xml:space="preserve">  </w:t>
    </w:r>
    <w:r>
      <w:rPr>
        <w:spacing w:val="-2"/>
        <w:sz w:val="27"/>
        <w:szCs w:val="27"/>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67338">
    <w:pPr>
      <w:pStyle w:val="2"/>
      <w:ind w:left="11029"/>
      <w:rPr>
        <w:sz w:val="27"/>
        <w:szCs w:val="27"/>
      </w:rPr>
    </w:pPr>
    <w:r>
      <w:rPr>
        <w:spacing w:val="-2"/>
        <w:sz w:val="27"/>
        <w:szCs w:val="27"/>
      </w:rPr>
      <w:t>—</w:t>
    </w:r>
    <w:r>
      <w:rPr>
        <w:spacing w:val="14"/>
        <w:sz w:val="27"/>
        <w:szCs w:val="27"/>
      </w:rPr>
      <w:t xml:space="preserve">  </w:t>
    </w:r>
    <w:r>
      <w:rPr>
        <w:spacing w:val="-2"/>
        <w:sz w:val="27"/>
        <w:szCs w:val="27"/>
      </w:rPr>
      <w:t>39</w:t>
    </w:r>
    <w:r>
      <w:rPr>
        <w:spacing w:val="9"/>
        <w:sz w:val="27"/>
        <w:szCs w:val="27"/>
      </w:rPr>
      <w:t xml:space="preserve">  </w:t>
    </w:r>
    <w:r>
      <w:rPr>
        <w:spacing w:val="-2"/>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E033">
    <w:pPr>
      <w:pStyle w:val="2"/>
      <w:spacing w:line="241" w:lineRule="auto"/>
      <w:ind w:left="281"/>
      <w:rPr>
        <w:sz w:val="27"/>
        <w:szCs w:val="27"/>
      </w:rPr>
    </w:pPr>
    <w:r>
      <w:rPr>
        <w:spacing w:val="-2"/>
        <w:sz w:val="27"/>
        <w:szCs w:val="27"/>
      </w:rPr>
      <w:t>—</w:t>
    </w:r>
    <w:r>
      <w:rPr>
        <w:spacing w:val="10"/>
        <w:sz w:val="27"/>
        <w:szCs w:val="27"/>
      </w:rPr>
      <w:t xml:space="preserve">  </w:t>
    </w:r>
    <w:r>
      <w:rPr>
        <w:spacing w:val="-2"/>
        <w:sz w:val="27"/>
        <w:szCs w:val="27"/>
      </w:rPr>
      <w:t>4</w:t>
    </w:r>
    <w:r>
      <w:rPr>
        <w:spacing w:val="10"/>
        <w:sz w:val="27"/>
        <w:szCs w:val="27"/>
      </w:rPr>
      <w:t xml:space="preserve">  </w:t>
    </w:r>
    <w:r>
      <w:rPr>
        <w:spacing w:val="-2"/>
        <w:sz w:val="27"/>
        <w:szCs w:val="27"/>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A1C68">
    <w:pPr>
      <w:pStyle w:val="2"/>
      <w:ind w:left="347"/>
      <w:rPr>
        <w:sz w:val="27"/>
        <w:szCs w:val="27"/>
      </w:rPr>
    </w:pPr>
    <w:r>
      <w:rPr>
        <w:sz w:val="27"/>
        <w:szCs w:val="27"/>
      </w:rPr>
      <w:t>—</w:t>
    </w:r>
    <w:r>
      <w:rPr>
        <w:spacing w:val="10"/>
        <w:sz w:val="27"/>
        <w:szCs w:val="27"/>
      </w:rPr>
      <w:t xml:space="preserve">  </w:t>
    </w:r>
    <w:r>
      <w:rPr>
        <w:sz w:val="27"/>
        <w:szCs w:val="27"/>
      </w:rPr>
      <w:t>40</w:t>
    </w:r>
    <w:r>
      <w:rPr>
        <w:spacing w:val="9"/>
        <w:sz w:val="27"/>
        <w:szCs w:val="27"/>
      </w:rPr>
      <w:t xml:space="preserve">  </w:t>
    </w:r>
    <w:r>
      <w:rPr>
        <w:sz w:val="27"/>
        <w:szCs w:val="27"/>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5A09">
    <w:pPr>
      <w:pStyle w:val="2"/>
      <w:spacing w:line="241" w:lineRule="auto"/>
      <w:ind w:left="7052"/>
      <w:rPr>
        <w:sz w:val="27"/>
        <w:szCs w:val="27"/>
      </w:rPr>
    </w:pPr>
    <w:r>
      <w:rPr>
        <w:sz w:val="27"/>
        <w:szCs w:val="27"/>
      </w:rPr>
      <w:t>—</w:t>
    </w:r>
    <w:r>
      <w:rPr>
        <w:spacing w:val="10"/>
        <w:sz w:val="27"/>
        <w:szCs w:val="27"/>
      </w:rPr>
      <w:t xml:space="preserve">  </w:t>
    </w:r>
    <w:r>
      <w:rPr>
        <w:sz w:val="27"/>
        <w:szCs w:val="27"/>
      </w:rPr>
      <w:t>41</w:t>
    </w:r>
    <w:r>
      <w:rPr>
        <w:spacing w:val="9"/>
        <w:sz w:val="27"/>
        <w:szCs w:val="27"/>
      </w:rPr>
      <w:t xml:space="preserve">  </w:t>
    </w:r>
    <w:r>
      <w:rPr>
        <w:sz w:val="27"/>
        <w:szCs w:val="27"/>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2EA09">
    <w:pPr>
      <w:pStyle w:val="2"/>
      <w:spacing w:line="241" w:lineRule="auto"/>
      <w:ind w:left="288"/>
      <w:rPr>
        <w:sz w:val="27"/>
        <w:szCs w:val="27"/>
      </w:rPr>
    </w:pPr>
    <w:r>
      <w:rPr>
        <w:sz w:val="27"/>
        <w:szCs w:val="27"/>
      </w:rPr>
      <w:t>—</w:t>
    </w:r>
    <w:r>
      <w:rPr>
        <w:spacing w:val="10"/>
        <w:sz w:val="27"/>
        <w:szCs w:val="27"/>
      </w:rPr>
      <w:t xml:space="preserve">  </w:t>
    </w:r>
    <w:r>
      <w:rPr>
        <w:sz w:val="27"/>
        <w:szCs w:val="27"/>
      </w:rPr>
      <w:t>42</w:t>
    </w:r>
    <w:r>
      <w:rPr>
        <w:spacing w:val="9"/>
        <w:sz w:val="27"/>
        <w:szCs w:val="27"/>
      </w:rPr>
      <w:t xml:space="preserve">  </w:t>
    </w:r>
    <w:r>
      <w:rPr>
        <w:sz w:val="27"/>
        <w:szCs w:val="27"/>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763EE">
    <w:pPr>
      <w:pStyle w:val="2"/>
      <w:ind w:left="7053"/>
      <w:rPr>
        <w:sz w:val="27"/>
        <w:szCs w:val="27"/>
      </w:rPr>
    </w:pPr>
    <w:r>
      <w:rPr>
        <w:sz w:val="27"/>
        <w:szCs w:val="27"/>
      </w:rPr>
      <w:t>—</w:t>
    </w:r>
    <w:r>
      <w:rPr>
        <w:spacing w:val="10"/>
        <w:sz w:val="27"/>
        <w:szCs w:val="27"/>
      </w:rPr>
      <w:t xml:space="preserve">  </w:t>
    </w:r>
    <w:r>
      <w:rPr>
        <w:sz w:val="27"/>
        <w:szCs w:val="27"/>
      </w:rPr>
      <w:t>43</w:t>
    </w:r>
    <w:r>
      <w:rPr>
        <w:spacing w:val="9"/>
        <w:sz w:val="27"/>
        <w:szCs w:val="27"/>
      </w:rPr>
      <w:t xml:space="preserve">  </w:t>
    </w:r>
    <w:r>
      <w:rPr>
        <w:sz w:val="27"/>
        <w:szCs w:val="27"/>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6CE85">
    <w:pPr>
      <w:pStyle w:val="2"/>
      <w:spacing w:line="241" w:lineRule="auto"/>
      <w:ind w:left="413"/>
      <w:rPr>
        <w:sz w:val="27"/>
        <w:szCs w:val="27"/>
      </w:rPr>
    </w:pPr>
    <w:r>
      <w:rPr>
        <w:sz w:val="27"/>
        <w:szCs w:val="27"/>
      </w:rPr>
      <w:t>—</w:t>
    </w:r>
    <w:r>
      <w:rPr>
        <w:spacing w:val="10"/>
        <w:sz w:val="27"/>
        <w:szCs w:val="27"/>
      </w:rPr>
      <w:t xml:space="preserve">  </w:t>
    </w:r>
    <w:r>
      <w:rPr>
        <w:sz w:val="27"/>
        <w:szCs w:val="27"/>
      </w:rPr>
      <w:t>44</w:t>
    </w:r>
    <w:r>
      <w:rPr>
        <w:spacing w:val="9"/>
        <w:sz w:val="27"/>
        <w:szCs w:val="27"/>
      </w:rPr>
      <w:t xml:space="preserve">  </w:t>
    </w:r>
    <w:r>
      <w:rPr>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B4484">
    <w:pPr>
      <w:pStyle w:val="2"/>
      <w:ind w:left="7195"/>
      <w:rPr>
        <w:sz w:val="27"/>
        <w:szCs w:val="27"/>
      </w:rPr>
    </w:pPr>
    <w:r>
      <w:rPr>
        <w:spacing w:val="-4"/>
        <w:sz w:val="27"/>
        <w:szCs w:val="27"/>
      </w:rPr>
      <w:t>—</w:t>
    </w:r>
    <w:r>
      <w:rPr>
        <w:spacing w:val="13"/>
        <w:sz w:val="27"/>
        <w:szCs w:val="27"/>
      </w:rPr>
      <w:t xml:space="preserve">  </w:t>
    </w:r>
    <w:r>
      <w:rPr>
        <w:spacing w:val="-4"/>
        <w:sz w:val="27"/>
        <w:szCs w:val="27"/>
      </w:rPr>
      <w:t>5</w:t>
    </w:r>
    <w:r>
      <w:rPr>
        <w:spacing w:val="10"/>
        <w:sz w:val="27"/>
        <w:szCs w:val="27"/>
      </w:rPr>
      <w:t xml:space="preserve">  </w:t>
    </w:r>
    <w:r>
      <w:rPr>
        <w:spacing w:val="-4"/>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0CF0">
    <w:pPr>
      <w:pStyle w:val="2"/>
      <w:ind w:left="286"/>
      <w:rPr>
        <w:sz w:val="27"/>
        <w:szCs w:val="27"/>
      </w:rPr>
    </w:pPr>
    <w:r>
      <w:rPr>
        <w:spacing w:val="-3"/>
        <w:sz w:val="27"/>
        <w:szCs w:val="27"/>
      </w:rPr>
      <w:t>—</w:t>
    </w:r>
    <w:r>
      <w:rPr>
        <w:spacing w:val="12"/>
        <w:sz w:val="27"/>
        <w:szCs w:val="27"/>
      </w:rPr>
      <w:t xml:space="preserve">  </w:t>
    </w:r>
    <w:r>
      <w:rPr>
        <w:spacing w:val="-3"/>
        <w:sz w:val="27"/>
        <w:szCs w:val="27"/>
      </w:rPr>
      <w:t>6</w:t>
    </w:r>
    <w:r>
      <w:rPr>
        <w:spacing w:val="9"/>
        <w:sz w:val="27"/>
        <w:szCs w:val="27"/>
      </w:rPr>
      <w:t xml:space="preserve">  </w:t>
    </w:r>
    <w:r>
      <w:rPr>
        <w:spacing w:val="-3"/>
        <w:sz w:val="27"/>
        <w:szCs w:val="2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A242">
    <w:pPr>
      <w:pStyle w:val="2"/>
      <w:ind w:left="7195"/>
      <w:rPr>
        <w:sz w:val="27"/>
        <w:szCs w:val="27"/>
      </w:rPr>
    </w:pPr>
    <w:r>
      <w:rPr>
        <w:spacing w:val="-4"/>
        <w:sz w:val="27"/>
        <w:szCs w:val="27"/>
      </w:rPr>
      <w:t>—</w:t>
    </w:r>
    <w:r>
      <w:rPr>
        <w:spacing w:val="13"/>
        <w:sz w:val="27"/>
        <w:szCs w:val="27"/>
      </w:rPr>
      <w:t xml:space="preserve">  </w:t>
    </w:r>
    <w:r>
      <w:rPr>
        <w:spacing w:val="-4"/>
        <w:sz w:val="27"/>
        <w:szCs w:val="27"/>
      </w:rPr>
      <w:t>7</w:t>
    </w:r>
    <w:r>
      <w:rPr>
        <w:spacing w:val="10"/>
        <w:sz w:val="27"/>
        <w:szCs w:val="27"/>
      </w:rPr>
      <w:t xml:space="preserve">  </w:t>
    </w:r>
    <w:r>
      <w:rPr>
        <w:spacing w:val="-4"/>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02AEC">
    <w:pPr>
      <w:pStyle w:val="2"/>
      <w:ind w:left="282"/>
      <w:rPr>
        <w:sz w:val="27"/>
        <w:szCs w:val="27"/>
      </w:rPr>
    </w:pPr>
    <w:r>
      <w:rPr>
        <w:spacing w:val="-2"/>
        <w:sz w:val="27"/>
        <w:szCs w:val="27"/>
      </w:rPr>
      <w:t>—</w:t>
    </w:r>
    <w:r>
      <w:rPr>
        <w:spacing w:val="10"/>
        <w:sz w:val="27"/>
        <w:szCs w:val="27"/>
      </w:rPr>
      <w:t xml:space="preserve">  </w:t>
    </w:r>
    <w:r>
      <w:rPr>
        <w:spacing w:val="-2"/>
        <w:sz w:val="27"/>
        <w:szCs w:val="27"/>
      </w:rPr>
      <w:t>8</w:t>
    </w:r>
    <w:r>
      <w:rPr>
        <w:spacing w:val="10"/>
        <w:sz w:val="27"/>
        <w:szCs w:val="27"/>
      </w:rPr>
      <w:t xml:space="preserve">  </w:t>
    </w:r>
    <w:r>
      <w:rPr>
        <w:spacing w:val="-2"/>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997D2">
    <w:pPr>
      <w:pStyle w:val="2"/>
      <w:ind w:left="7191"/>
      <w:rPr>
        <w:sz w:val="27"/>
        <w:szCs w:val="27"/>
      </w:rPr>
    </w:pPr>
    <w:r>
      <w:rPr>
        <w:spacing w:val="-2"/>
        <w:sz w:val="27"/>
        <w:szCs w:val="27"/>
      </w:rPr>
      <w:t>—</w:t>
    </w:r>
    <w:r>
      <w:rPr>
        <w:spacing w:val="10"/>
        <w:sz w:val="27"/>
        <w:szCs w:val="27"/>
      </w:rPr>
      <w:t xml:space="preserve">  </w:t>
    </w:r>
    <w:r>
      <w:rPr>
        <w:spacing w:val="-2"/>
        <w:sz w:val="27"/>
        <w:szCs w:val="27"/>
      </w:rPr>
      <w:t>9</w:t>
    </w:r>
    <w:r>
      <w:rPr>
        <w:spacing w:val="10"/>
        <w:sz w:val="27"/>
        <w:szCs w:val="27"/>
      </w:rPr>
      <w:t xml:space="preserve">  </w:t>
    </w:r>
    <w:r>
      <w:rPr>
        <w:spacing w:val="-2"/>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A112D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Pages>
  <Words>22276</Words>
  <Characters>22658</Characters>
  <TotalTime>0</TotalTime>
  <ScaleCrop>false</ScaleCrop>
  <LinksUpToDate>false</LinksUpToDate>
  <CharactersWithSpaces>22883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2023-10-07T10:37:00Z</dcterms:created>
  <dc:creator>Administrator</dc:creator>
  <cp:lastModifiedBy>付宇</cp:lastModifiedBy>
  <dcterms:modified xsi:type="dcterms:W3CDTF">2026-05-11T09:58:50Z</dcterms:modified>
  <dc:title>Microsoft Word - 赣市发〔2023〕6号.DOC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2026-05-11T17:58:03Z</vt:filetime>
  </property>
  <property fmtid="{D5CDD505-2E9C-101B-9397-08002B2CF9AE}" pid="4" name="KSOTemplateDocerSaveRecord">
    <vt:lpwstr>eyJoZGlkIjoiMjY0ZjZiYjEzMmFmNGZmMjY3YTgzZmE5NTFmYTk5OWUiLCJ1c2VySWQiOiIxMzY4NTY3NjMzIn0=</vt:lpwstr>
  </property>
  <property fmtid="{D5CDD505-2E9C-101B-9397-08002B2CF9AE}" pid="5" name="KSOProductBuildVer">
    <vt:lpwstr>2052-12.1.0.25865</vt:lpwstr>
  </property>
  <property fmtid="{D5CDD505-2E9C-101B-9397-08002B2CF9AE}" pid="6" name="ICV">
    <vt:lpwstr>1F6D17E16E5A4CE1BFA7CB0426C94902_12</vt:lpwstr>
  </property>
</Properties>
</file>