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黑体" w:hAnsi="黑体" w:eastAsia="黑体" w:cs="黑体"/>
          <w:b/>
          <w:color w:val="auto"/>
          <w:sz w:val="52"/>
          <w:szCs w:val="52"/>
        </w:rPr>
      </w:pPr>
    </w:p>
    <w:p>
      <w:pPr>
        <w:spacing w:before="50" w:beforeLines="0" w:after="50" w:afterLines="0" w:line="360" w:lineRule="auto"/>
        <w:ind w:firstLine="0" w:firstLineChars="0"/>
        <w:jc w:val="center"/>
        <w:outlineLvl w:val="0"/>
        <w:rPr>
          <w:rFonts w:hint="eastAsia" w:ascii="华文中宋" w:hAnsi="华文中宋" w:eastAsia="华文中宋" w:cs="华文中宋"/>
          <w:b/>
          <w:color w:val="000000"/>
          <w:sz w:val="52"/>
          <w:szCs w:val="52"/>
        </w:rPr>
      </w:pPr>
      <w:bookmarkStart w:id="96" w:name="_GoBack"/>
      <w:bookmarkStart w:id="0" w:name="_Toc25361"/>
      <w:bookmarkStart w:id="1" w:name="_Toc13958"/>
      <w:bookmarkStart w:id="2" w:name="_Toc25998"/>
      <w:bookmarkStart w:id="3" w:name="_Toc6763"/>
      <w:bookmarkStart w:id="4" w:name="_Toc11806"/>
      <w:bookmarkStart w:id="5" w:name="_Toc5173"/>
      <w:bookmarkStart w:id="6" w:name="_Toc12443"/>
      <w:r>
        <w:rPr>
          <w:rFonts w:hint="eastAsia" w:ascii="华文中宋" w:hAnsi="华文中宋" w:eastAsia="华文中宋" w:cs="华文中宋"/>
          <w:b/>
          <w:color w:val="000000"/>
          <w:sz w:val="52"/>
          <w:szCs w:val="52"/>
          <w:lang w:eastAsia="zh-CN"/>
        </w:rPr>
        <w:t>上犹县平富乡</w:t>
      </w:r>
      <w:r>
        <w:rPr>
          <w:rFonts w:hint="eastAsia" w:ascii="华文中宋" w:hAnsi="华文中宋" w:eastAsia="华文中宋" w:cs="华文中宋"/>
          <w:b/>
          <w:color w:val="000000"/>
          <w:sz w:val="52"/>
          <w:szCs w:val="52"/>
        </w:rPr>
        <w:t>国土空间总体规划</w:t>
      </w:r>
      <w:bookmarkEnd w:id="0"/>
      <w:bookmarkEnd w:id="1"/>
      <w:bookmarkEnd w:id="2"/>
      <w:bookmarkEnd w:id="3"/>
      <w:bookmarkEnd w:id="4"/>
      <w:bookmarkEnd w:id="5"/>
      <w:bookmarkEnd w:id="6"/>
    </w:p>
    <w:p>
      <w:pPr>
        <w:spacing w:before="50" w:beforeLines="0" w:after="50" w:afterLines="0" w:line="360" w:lineRule="auto"/>
        <w:ind w:firstLine="0" w:firstLineChars="0"/>
        <w:jc w:val="center"/>
        <w:outlineLvl w:val="0"/>
        <w:rPr>
          <w:rFonts w:hint="eastAsia" w:ascii="华文中宋" w:hAnsi="华文中宋" w:eastAsia="华文中宋" w:cs="华文中宋"/>
          <w:b/>
          <w:color w:val="000000"/>
          <w:sz w:val="52"/>
          <w:szCs w:val="52"/>
          <w:lang w:val="en-US" w:eastAsia="zh-CN"/>
        </w:rPr>
      </w:pPr>
      <w:bookmarkStart w:id="7" w:name="_Toc13631"/>
      <w:bookmarkStart w:id="8" w:name="_Toc12173"/>
      <w:bookmarkStart w:id="9" w:name="_Toc27720"/>
      <w:r>
        <w:rPr>
          <w:rFonts w:hint="eastAsia" w:ascii="华文中宋" w:hAnsi="华文中宋" w:eastAsia="华文中宋" w:cs="华文中宋"/>
          <w:b/>
          <w:color w:val="000000"/>
          <w:sz w:val="52"/>
          <w:szCs w:val="52"/>
        </w:rPr>
        <w:t>（</w:t>
      </w:r>
      <w:r>
        <w:rPr>
          <w:rFonts w:hint="eastAsia" w:ascii="Times New Roman" w:hAnsi="Times New Roman" w:eastAsia="华文中宋" w:cs="Times New Roman"/>
          <w:b/>
          <w:color w:val="auto"/>
          <w:sz w:val="52"/>
          <w:szCs w:val="52"/>
          <w:lang w:val="en-US" w:eastAsia="zh-CN"/>
        </w:rPr>
        <w:t>2021—2035</w:t>
      </w:r>
      <w:r>
        <w:rPr>
          <w:rFonts w:hint="eastAsia" w:ascii="华文中宋" w:hAnsi="华文中宋" w:eastAsia="华文中宋" w:cs="华文中宋"/>
          <w:b/>
          <w:color w:val="000000"/>
          <w:sz w:val="52"/>
          <w:szCs w:val="52"/>
        </w:rPr>
        <w:t>年）</w:t>
      </w:r>
      <w:r>
        <w:rPr>
          <w:rFonts w:hint="eastAsia" w:ascii="华文中宋" w:hAnsi="华文中宋" w:eastAsia="华文中宋" w:cs="华文中宋"/>
          <w:b/>
          <w:color w:val="000000"/>
          <w:sz w:val="52"/>
          <w:szCs w:val="52"/>
          <w:lang w:eastAsia="zh-CN"/>
        </w:rPr>
        <w:t>说明</w:t>
      </w:r>
      <w:bookmarkEnd w:id="7"/>
      <w:bookmarkEnd w:id="8"/>
      <w:bookmarkEnd w:id="9"/>
      <w:bookmarkEnd w:id="96"/>
    </w:p>
    <w:p>
      <w:pPr>
        <w:ind w:firstLine="0" w:firstLineChars="0"/>
        <w:jc w:val="center"/>
        <w:rPr>
          <w:rFonts w:ascii="黑体" w:hAnsi="黑体" w:eastAsia="黑体" w:cs="黑体"/>
          <w:b/>
          <w:color w:val="auto"/>
          <w:sz w:val="44"/>
          <w:szCs w:val="44"/>
        </w:rPr>
      </w:pPr>
    </w:p>
    <w:p>
      <w:pPr>
        <w:ind w:firstLine="0" w:firstLineChars="0"/>
        <w:jc w:val="center"/>
        <w:rPr>
          <w:rFonts w:ascii="黑体" w:hAnsi="黑体" w:eastAsia="黑体" w:cs="黑体"/>
          <w:b/>
          <w:color w:val="auto"/>
          <w:sz w:val="52"/>
          <w:szCs w:val="52"/>
        </w:rPr>
      </w:pPr>
    </w:p>
    <w:p>
      <w:pPr>
        <w:ind w:firstLine="0" w:firstLineChars="0"/>
        <w:jc w:val="center"/>
        <w:rPr>
          <w:rFonts w:ascii="黑体" w:hAnsi="黑体" w:eastAsia="黑体" w:cs="黑体"/>
          <w:b/>
          <w:color w:val="auto"/>
          <w:sz w:val="52"/>
          <w:szCs w:val="52"/>
        </w:rPr>
      </w:pPr>
    </w:p>
    <w:p>
      <w:pPr>
        <w:ind w:firstLine="0" w:firstLineChars="0"/>
        <w:jc w:val="center"/>
        <w:rPr>
          <w:rFonts w:ascii="黑体" w:hAnsi="黑体" w:eastAsia="黑体" w:cs="黑体"/>
          <w:b/>
          <w:color w:val="auto"/>
          <w:sz w:val="52"/>
          <w:szCs w:val="52"/>
        </w:rPr>
      </w:pPr>
    </w:p>
    <w:p>
      <w:pPr>
        <w:ind w:firstLine="1044"/>
        <w:rPr>
          <w:rFonts w:ascii="黑体" w:hAnsi="黑体" w:eastAsia="黑体" w:cs="黑体"/>
          <w:b/>
          <w:color w:val="auto"/>
          <w:sz w:val="52"/>
          <w:szCs w:val="52"/>
        </w:rPr>
      </w:pPr>
    </w:p>
    <w:p>
      <w:pPr>
        <w:pStyle w:val="18"/>
        <w:rPr>
          <w:rFonts w:ascii="黑体" w:hAnsi="黑体" w:eastAsia="黑体" w:cs="黑体"/>
          <w:b/>
          <w:color w:val="auto"/>
          <w:sz w:val="52"/>
          <w:szCs w:val="52"/>
        </w:rPr>
      </w:pPr>
    </w:p>
    <w:p>
      <w:pPr>
        <w:pStyle w:val="9"/>
      </w:pPr>
    </w:p>
    <w:p>
      <w:pPr>
        <w:pStyle w:val="17"/>
        <w:rPr>
          <w:rFonts w:ascii="黑体" w:hAnsi="黑体" w:eastAsia="黑体" w:cs="黑体"/>
          <w:b/>
          <w:color w:val="auto"/>
          <w:sz w:val="52"/>
          <w:szCs w:val="52"/>
        </w:rPr>
      </w:pPr>
    </w:p>
    <w:p>
      <w:pPr>
        <w:pStyle w:val="17"/>
        <w:rPr>
          <w:rFonts w:ascii="黑体" w:hAnsi="黑体" w:eastAsia="黑体" w:cs="黑体"/>
          <w:b/>
          <w:color w:val="auto"/>
          <w:sz w:val="52"/>
          <w:szCs w:val="52"/>
        </w:rPr>
      </w:pPr>
    </w:p>
    <w:p>
      <w:pPr>
        <w:pStyle w:val="17"/>
        <w:rPr>
          <w:rFonts w:ascii="黑体" w:hAnsi="黑体" w:eastAsia="黑体" w:cs="黑体"/>
          <w:b/>
          <w:color w:val="auto"/>
          <w:sz w:val="52"/>
          <w:szCs w:val="52"/>
        </w:rPr>
      </w:pPr>
    </w:p>
    <w:p>
      <w:pPr>
        <w:ind w:firstLine="420"/>
        <w:rPr>
          <w:color w:val="auto"/>
        </w:rPr>
      </w:pPr>
    </w:p>
    <w:p>
      <w:pPr>
        <w:spacing w:before="50" w:beforeLines="0" w:after="50" w:afterLines="0" w:line="560" w:lineRule="exact"/>
        <w:ind w:firstLine="0" w:firstLineChars="0"/>
        <w:jc w:val="center"/>
        <w:rPr>
          <w:rFonts w:hint="eastAsia" w:ascii="Times New Roman" w:hAnsi="Times New Roman" w:eastAsia="楷体" w:cs="Times New Roman"/>
          <w:color w:val="auto"/>
          <w:sz w:val="32"/>
          <w:szCs w:val="32"/>
          <w:lang w:val="en-US" w:eastAsia="zh-CN"/>
        </w:rPr>
      </w:pPr>
      <w:bookmarkStart w:id="10" w:name="_Toc22271"/>
      <w:bookmarkStart w:id="11" w:name="_Toc22704"/>
      <w:bookmarkStart w:id="12" w:name="_Toc1257"/>
      <w:r>
        <w:rPr>
          <w:rFonts w:hint="eastAsia" w:ascii="Times New Roman" w:hAnsi="Times New Roman" w:eastAsia="楷体" w:cs="Times New Roman"/>
          <w:color w:val="auto"/>
          <w:sz w:val="32"/>
          <w:szCs w:val="32"/>
          <w:lang w:val="en-US" w:eastAsia="zh-CN"/>
        </w:rPr>
        <w:t>上犹县平富乡人民政府</w:t>
      </w:r>
      <w:bookmarkEnd w:id="10"/>
      <w:bookmarkEnd w:id="11"/>
      <w:bookmarkEnd w:id="12"/>
    </w:p>
    <w:p>
      <w:pPr>
        <w:spacing w:before="50" w:beforeLines="0" w:after="50" w:afterLines="0" w:line="560" w:lineRule="exact"/>
        <w:ind w:firstLine="0" w:firstLineChars="0"/>
        <w:jc w:val="center"/>
        <w:rPr>
          <w:rFonts w:ascii="Times New Roman" w:hAnsi="Times New Roman" w:eastAsia="楷体"/>
          <w:color w:val="auto"/>
          <w:sz w:val="32"/>
          <w:szCs w:val="32"/>
        </w:rPr>
      </w:pPr>
      <w:r>
        <w:rPr>
          <w:rFonts w:hint="eastAsia" w:ascii="Times New Roman" w:hAnsi="Times New Roman" w:eastAsia="楷体"/>
          <w:color w:val="auto"/>
          <w:sz w:val="32"/>
          <w:szCs w:val="32"/>
          <w:lang w:val="en-US" w:eastAsia="zh-CN"/>
        </w:rPr>
        <w:t>2025</w:t>
      </w:r>
      <w:r>
        <w:rPr>
          <w:rFonts w:hint="eastAsia" w:ascii="Times New Roman" w:hAnsi="Times New Roman" w:eastAsia="楷体"/>
          <w:color w:val="auto"/>
          <w:sz w:val="32"/>
          <w:szCs w:val="32"/>
        </w:rPr>
        <w:t>年</w:t>
      </w:r>
      <w:r>
        <w:rPr>
          <w:rFonts w:hint="eastAsia" w:ascii="Times New Roman" w:hAnsi="Times New Roman" w:eastAsia="楷体"/>
          <w:color w:val="auto"/>
          <w:sz w:val="32"/>
          <w:szCs w:val="32"/>
          <w:lang w:val="en-US" w:eastAsia="zh-CN"/>
        </w:rPr>
        <w:t>8</w:t>
      </w:r>
      <w:r>
        <w:rPr>
          <w:rFonts w:hint="eastAsia" w:ascii="Times New Roman" w:hAnsi="Times New Roman" w:eastAsia="楷体"/>
          <w:color w:val="auto"/>
          <w:sz w:val="32"/>
          <w:szCs w:val="32"/>
        </w:rPr>
        <w:t>月</w:t>
      </w:r>
    </w:p>
    <w:p>
      <w:pPr>
        <w:ind w:firstLine="0" w:firstLineChars="0"/>
        <w:jc w:val="center"/>
        <w:rPr>
          <w:rFonts w:ascii="宋体" w:hAnsi="宋体"/>
          <w:color w:val="auto"/>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1134" w:gutter="0"/>
          <w:pgBorders>
            <w:top w:val="none" w:sz="0" w:space="0"/>
            <w:left w:val="none" w:sz="0" w:space="0"/>
            <w:bottom w:val="none" w:sz="0" w:space="0"/>
            <w:right w:val="none" w:sz="0" w:space="0"/>
          </w:pgBorders>
          <w:pgNumType w:fmt="upperRoman" w:start="1"/>
          <w:cols w:space="425" w:num="1"/>
          <w:titlePg/>
          <w:docGrid w:type="lines" w:linePitch="300" w:charSpace="0"/>
        </w:sectPr>
      </w:pPr>
    </w:p>
    <w:sdt>
      <w:sdtPr>
        <w:rPr>
          <w:rFonts w:hint="eastAsia" w:ascii="华文中宋" w:hAnsi="华文中宋" w:eastAsia="华文中宋" w:cs="华文中宋"/>
          <w:b/>
          <w:bCs/>
          <w:color w:val="auto"/>
          <w:kern w:val="2"/>
          <w:sz w:val="32"/>
          <w:szCs w:val="32"/>
          <w:lang w:val="en-US" w:eastAsia="zh-CN" w:bidi="ar-SA"/>
        </w:rPr>
        <w:id w:val="147453697"/>
        <w15:color w:val="DBDBDB"/>
        <w:docPartObj>
          <w:docPartGallery w:val="Table of Contents"/>
          <w:docPartUnique/>
        </w:docPartObj>
      </w:sdtPr>
      <w:sdtEndPr>
        <w:rPr>
          <w:rFonts w:hint="eastAsia" w:ascii="宋体" w:hAnsi="宋体" w:eastAsia="宋体" w:cs="Times New Roman"/>
          <w:b/>
          <w:bCs/>
          <w:color w:val="auto"/>
          <w:kern w:val="2"/>
          <w:sz w:val="21"/>
          <w:szCs w:val="22"/>
          <w:lang w:val="en-US" w:eastAsia="zh-CN" w:bidi="ar-SA"/>
        </w:rPr>
      </w:sdtEndPr>
      <w:sdtContent>
        <w:p>
          <w:pPr>
            <w:spacing w:before="0" w:beforeLines="0" w:after="0" w:afterLines="0" w:line="240" w:lineRule="auto"/>
            <w:ind w:left="0" w:leftChars="0" w:right="0" w:rightChars="0" w:firstLine="0" w:firstLineChars="0"/>
            <w:jc w:val="center"/>
            <w:rPr>
              <w:rFonts w:hint="eastAsia" w:ascii="华文中宋" w:hAnsi="华文中宋" w:eastAsia="华文中宋" w:cs="华文中宋"/>
              <w:b/>
              <w:bCs/>
              <w:color w:val="auto"/>
            </w:rPr>
          </w:pPr>
          <w:r>
            <w:rPr>
              <w:rFonts w:hint="eastAsia" w:ascii="华文中宋" w:hAnsi="华文中宋" w:eastAsia="华文中宋" w:cs="华文中宋"/>
              <w:b/>
              <w:bCs/>
              <w:color w:val="auto"/>
              <w:sz w:val="21"/>
            </w:rPr>
            <w:t>目录</w:t>
          </w:r>
        </w:p>
        <w:p>
          <w:pPr>
            <w:pStyle w:val="14"/>
            <w:tabs>
              <w:tab w:val="right" w:leader="dot" w:pos="8306"/>
            </w:tabs>
          </w:pPr>
          <w:r>
            <w:rPr>
              <w:color w:val="auto"/>
            </w:rPr>
            <w:fldChar w:fldCharType="begin"/>
          </w:r>
          <w:r>
            <w:rPr>
              <w:color w:val="auto"/>
            </w:rPr>
            <w:instrText xml:space="preserve">TOC \o "1-2" \h \u </w:instrText>
          </w:r>
          <w:r>
            <w:rPr>
              <w:color w:val="auto"/>
            </w:rPr>
            <w:fldChar w:fldCharType="separate"/>
          </w:r>
          <w:r>
            <w:rPr>
              <w:color w:val="auto"/>
            </w:rPr>
            <w:fldChar w:fldCharType="begin"/>
          </w:r>
          <w:r>
            <w:instrText xml:space="preserve"> HYPERLINK \l _Toc19548 </w:instrText>
          </w:r>
          <w:r>
            <w:fldChar w:fldCharType="separate"/>
          </w:r>
          <w:r>
            <w:rPr>
              <w:rFonts w:hint="eastAsia" w:ascii="Times New Roman" w:hAnsi="Times New Roman" w:eastAsia="Arial Unicode MS" w:cs="Times New Roman"/>
              <w:lang w:val="en-US" w:eastAsia="zh-CN"/>
            </w:rPr>
            <w:t>第 一章 总则</w:t>
          </w:r>
          <w:r>
            <w:tab/>
          </w:r>
          <w:r>
            <w:fldChar w:fldCharType="begin"/>
          </w:r>
          <w:r>
            <w:instrText xml:space="preserve"> PAGEREF _Toc19548 \h </w:instrText>
          </w:r>
          <w:r>
            <w:fldChar w:fldCharType="separate"/>
          </w:r>
          <w:r>
            <w:t>1</w:t>
          </w:r>
          <w:r>
            <w:fldChar w:fldCharType="end"/>
          </w:r>
          <w:r>
            <w:rPr>
              <w:color w:val="auto"/>
            </w:rPr>
            <w:fldChar w:fldCharType="end"/>
          </w:r>
        </w:p>
        <w:p>
          <w:pPr>
            <w:pStyle w:val="15"/>
            <w:tabs>
              <w:tab w:val="right" w:leader="dot" w:pos="8306"/>
            </w:tabs>
          </w:pPr>
          <w:r>
            <w:rPr>
              <w:color w:val="auto"/>
            </w:rPr>
            <w:fldChar w:fldCharType="begin"/>
          </w:r>
          <w:r>
            <w:instrText xml:space="preserve"> HYPERLINK \l _Toc16471 </w:instrText>
          </w:r>
          <w:r>
            <w:fldChar w:fldCharType="separate"/>
          </w:r>
          <w:r>
            <w:rPr>
              <w:rFonts w:hint="eastAsia" w:ascii="Times New Roman" w:hAnsi="Times New Roman"/>
              <w:kern w:val="2"/>
              <w:szCs w:val="32"/>
              <w:lang w:val="en-US" w:eastAsia="zh-CN"/>
            </w:rPr>
            <w:t>第一节 规划背景</w:t>
          </w:r>
          <w:r>
            <w:tab/>
          </w:r>
          <w:r>
            <w:fldChar w:fldCharType="begin"/>
          </w:r>
          <w:r>
            <w:instrText xml:space="preserve"> PAGEREF _Toc16471 \h </w:instrText>
          </w:r>
          <w:r>
            <w:fldChar w:fldCharType="separate"/>
          </w:r>
          <w:r>
            <w:t>1</w:t>
          </w:r>
          <w:r>
            <w:fldChar w:fldCharType="end"/>
          </w:r>
          <w:r>
            <w:rPr>
              <w:color w:val="auto"/>
            </w:rPr>
            <w:fldChar w:fldCharType="end"/>
          </w:r>
        </w:p>
        <w:p>
          <w:pPr>
            <w:pStyle w:val="15"/>
            <w:tabs>
              <w:tab w:val="right" w:leader="dot" w:pos="8306"/>
            </w:tabs>
          </w:pPr>
          <w:r>
            <w:rPr>
              <w:color w:val="auto"/>
            </w:rPr>
            <w:fldChar w:fldCharType="begin"/>
          </w:r>
          <w:r>
            <w:instrText xml:space="preserve"> HYPERLINK \l _Toc20895 </w:instrText>
          </w:r>
          <w:r>
            <w:fldChar w:fldCharType="separate"/>
          </w:r>
          <w:r>
            <w:rPr>
              <w:rFonts w:hint="eastAsia" w:ascii="Times New Roman" w:hAnsi="Times New Roman" w:cs="Times New Roman"/>
              <w:bCs w:val="0"/>
              <w:kern w:val="2"/>
              <w:szCs w:val="32"/>
            </w:rPr>
            <w:t>第二节 编制目的</w:t>
          </w:r>
          <w:r>
            <w:tab/>
          </w:r>
          <w:r>
            <w:fldChar w:fldCharType="begin"/>
          </w:r>
          <w:r>
            <w:instrText xml:space="preserve"> PAGEREF _Toc20895 \h </w:instrText>
          </w:r>
          <w:r>
            <w:fldChar w:fldCharType="separate"/>
          </w:r>
          <w:r>
            <w:t>1</w:t>
          </w:r>
          <w:r>
            <w:fldChar w:fldCharType="end"/>
          </w:r>
          <w:r>
            <w:rPr>
              <w:color w:val="auto"/>
            </w:rPr>
            <w:fldChar w:fldCharType="end"/>
          </w:r>
        </w:p>
        <w:p>
          <w:pPr>
            <w:pStyle w:val="15"/>
            <w:tabs>
              <w:tab w:val="right" w:leader="dot" w:pos="8306"/>
            </w:tabs>
          </w:pPr>
          <w:r>
            <w:rPr>
              <w:color w:val="auto"/>
            </w:rPr>
            <w:fldChar w:fldCharType="begin"/>
          </w:r>
          <w:r>
            <w:instrText xml:space="preserve"> HYPERLINK \l _Toc12497 </w:instrText>
          </w:r>
          <w:r>
            <w:fldChar w:fldCharType="separate"/>
          </w:r>
          <w:r>
            <w:rPr>
              <w:rFonts w:hint="eastAsia" w:ascii="Times New Roman" w:hAnsi="Times New Roman" w:cs="Times New Roman"/>
              <w:bCs w:val="0"/>
              <w:kern w:val="2"/>
              <w:szCs w:val="32"/>
            </w:rPr>
            <w:t>第三节 指导思想</w:t>
          </w:r>
          <w:r>
            <w:tab/>
          </w:r>
          <w:r>
            <w:fldChar w:fldCharType="begin"/>
          </w:r>
          <w:r>
            <w:instrText xml:space="preserve"> PAGEREF _Toc12497 \h </w:instrText>
          </w:r>
          <w:r>
            <w:fldChar w:fldCharType="separate"/>
          </w:r>
          <w:r>
            <w:t>2</w:t>
          </w:r>
          <w:r>
            <w:fldChar w:fldCharType="end"/>
          </w:r>
          <w:r>
            <w:rPr>
              <w:color w:val="auto"/>
            </w:rPr>
            <w:fldChar w:fldCharType="end"/>
          </w:r>
        </w:p>
        <w:p>
          <w:pPr>
            <w:pStyle w:val="15"/>
            <w:tabs>
              <w:tab w:val="right" w:leader="dot" w:pos="8306"/>
            </w:tabs>
          </w:pPr>
          <w:r>
            <w:rPr>
              <w:color w:val="auto"/>
            </w:rPr>
            <w:fldChar w:fldCharType="begin"/>
          </w:r>
          <w:r>
            <w:instrText xml:space="preserve"> HYPERLINK \l _Toc2570 </w:instrText>
          </w:r>
          <w:r>
            <w:fldChar w:fldCharType="separate"/>
          </w:r>
          <w:r>
            <w:rPr>
              <w:rFonts w:hint="eastAsia" w:ascii="Times New Roman" w:hAnsi="Times New Roman" w:cs="Times New Roman"/>
              <w:bCs w:val="0"/>
              <w:kern w:val="2"/>
              <w:szCs w:val="32"/>
            </w:rPr>
            <w:t>第四节 规划原则</w:t>
          </w:r>
          <w:r>
            <w:tab/>
          </w:r>
          <w:r>
            <w:fldChar w:fldCharType="begin"/>
          </w:r>
          <w:r>
            <w:instrText xml:space="preserve"> PAGEREF _Toc2570 \h </w:instrText>
          </w:r>
          <w:r>
            <w:fldChar w:fldCharType="separate"/>
          </w:r>
          <w:r>
            <w:t>2</w:t>
          </w:r>
          <w:r>
            <w:fldChar w:fldCharType="end"/>
          </w:r>
          <w:r>
            <w:rPr>
              <w:color w:val="auto"/>
            </w:rPr>
            <w:fldChar w:fldCharType="end"/>
          </w:r>
        </w:p>
        <w:p>
          <w:pPr>
            <w:pStyle w:val="15"/>
            <w:tabs>
              <w:tab w:val="right" w:leader="dot" w:pos="8306"/>
            </w:tabs>
          </w:pPr>
          <w:r>
            <w:rPr>
              <w:color w:val="auto"/>
            </w:rPr>
            <w:fldChar w:fldCharType="begin"/>
          </w:r>
          <w:r>
            <w:instrText xml:space="preserve"> HYPERLINK \l _Toc18981 </w:instrText>
          </w:r>
          <w:r>
            <w:fldChar w:fldCharType="separate"/>
          </w:r>
          <w:r>
            <w:rPr>
              <w:rFonts w:hint="eastAsia" w:ascii="Times New Roman" w:hAnsi="Times New Roman" w:cs="Times New Roman"/>
              <w:bCs w:val="0"/>
              <w:kern w:val="2"/>
              <w:szCs w:val="32"/>
            </w:rPr>
            <w:t>第五节 规划依据</w:t>
          </w:r>
          <w:r>
            <w:tab/>
          </w:r>
          <w:r>
            <w:fldChar w:fldCharType="begin"/>
          </w:r>
          <w:r>
            <w:instrText xml:space="preserve"> PAGEREF _Toc18981 \h </w:instrText>
          </w:r>
          <w:r>
            <w:fldChar w:fldCharType="separate"/>
          </w:r>
          <w:r>
            <w:t>3</w:t>
          </w:r>
          <w:r>
            <w:fldChar w:fldCharType="end"/>
          </w:r>
          <w:r>
            <w:rPr>
              <w:color w:val="auto"/>
            </w:rPr>
            <w:fldChar w:fldCharType="end"/>
          </w:r>
        </w:p>
        <w:p>
          <w:pPr>
            <w:pStyle w:val="15"/>
            <w:tabs>
              <w:tab w:val="right" w:leader="dot" w:pos="8306"/>
            </w:tabs>
          </w:pPr>
          <w:r>
            <w:rPr>
              <w:color w:val="auto"/>
            </w:rPr>
            <w:fldChar w:fldCharType="begin"/>
          </w:r>
          <w:r>
            <w:instrText xml:space="preserve"> HYPERLINK \l _Toc22004 </w:instrText>
          </w:r>
          <w:r>
            <w:fldChar w:fldCharType="separate"/>
          </w:r>
          <w:r>
            <w:rPr>
              <w:rFonts w:hint="eastAsia" w:ascii="Times New Roman" w:hAnsi="Times New Roman" w:cs="Times New Roman"/>
              <w:bCs w:val="0"/>
              <w:kern w:val="2"/>
              <w:szCs w:val="32"/>
            </w:rPr>
            <w:t>第六节 规划范围</w:t>
          </w:r>
          <w:r>
            <w:tab/>
          </w:r>
          <w:r>
            <w:fldChar w:fldCharType="begin"/>
          </w:r>
          <w:r>
            <w:instrText xml:space="preserve"> PAGEREF _Toc22004 \h </w:instrText>
          </w:r>
          <w:r>
            <w:fldChar w:fldCharType="separate"/>
          </w:r>
          <w:r>
            <w:t>6</w:t>
          </w:r>
          <w:r>
            <w:fldChar w:fldCharType="end"/>
          </w:r>
          <w:r>
            <w:rPr>
              <w:color w:val="auto"/>
            </w:rPr>
            <w:fldChar w:fldCharType="end"/>
          </w:r>
        </w:p>
        <w:p>
          <w:pPr>
            <w:pStyle w:val="15"/>
            <w:tabs>
              <w:tab w:val="right" w:leader="dot" w:pos="8306"/>
            </w:tabs>
          </w:pPr>
          <w:r>
            <w:rPr>
              <w:color w:val="auto"/>
            </w:rPr>
            <w:fldChar w:fldCharType="begin"/>
          </w:r>
          <w:r>
            <w:instrText xml:space="preserve"> HYPERLINK \l _Toc32726 </w:instrText>
          </w:r>
          <w:r>
            <w:fldChar w:fldCharType="separate"/>
          </w:r>
          <w:r>
            <w:rPr>
              <w:rFonts w:hint="eastAsia" w:ascii="Times New Roman" w:hAnsi="Times New Roman" w:cs="Times New Roman"/>
              <w:bCs w:val="0"/>
              <w:kern w:val="2"/>
              <w:szCs w:val="32"/>
            </w:rPr>
            <w:t>第七节 规划期限</w:t>
          </w:r>
          <w:r>
            <w:tab/>
          </w:r>
          <w:r>
            <w:fldChar w:fldCharType="begin"/>
          </w:r>
          <w:r>
            <w:instrText xml:space="preserve"> PAGEREF _Toc32726 \h </w:instrText>
          </w:r>
          <w:r>
            <w:fldChar w:fldCharType="separate"/>
          </w:r>
          <w:r>
            <w:t>6</w:t>
          </w:r>
          <w:r>
            <w:fldChar w:fldCharType="end"/>
          </w:r>
          <w:r>
            <w:rPr>
              <w:color w:val="auto"/>
            </w:rPr>
            <w:fldChar w:fldCharType="end"/>
          </w:r>
        </w:p>
        <w:p>
          <w:pPr>
            <w:pStyle w:val="14"/>
            <w:tabs>
              <w:tab w:val="right" w:leader="dot" w:pos="8306"/>
            </w:tabs>
          </w:pPr>
          <w:r>
            <w:rPr>
              <w:color w:val="auto"/>
            </w:rPr>
            <w:fldChar w:fldCharType="begin"/>
          </w:r>
          <w:r>
            <w:instrText xml:space="preserve"> HYPERLINK \l _Toc17717 </w:instrText>
          </w:r>
          <w:r>
            <w:fldChar w:fldCharType="separate"/>
          </w:r>
          <w:r>
            <w:rPr>
              <w:rFonts w:hint="eastAsia" w:ascii="Times New Roman" w:hAnsi="Times New Roman" w:eastAsia="Arial Unicode MS" w:cs="Times New Roman"/>
              <w:lang w:val="en-US" w:eastAsia="zh-CN"/>
            </w:rPr>
            <w:t>第二章 发展基础与机遇挑战</w:t>
          </w:r>
          <w:r>
            <w:tab/>
          </w:r>
          <w:r>
            <w:fldChar w:fldCharType="begin"/>
          </w:r>
          <w:r>
            <w:instrText xml:space="preserve"> PAGEREF _Toc17717 \h </w:instrText>
          </w:r>
          <w:r>
            <w:fldChar w:fldCharType="separate"/>
          </w:r>
          <w:r>
            <w:t>7</w:t>
          </w:r>
          <w:r>
            <w:fldChar w:fldCharType="end"/>
          </w:r>
          <w:r>
            <w:rPr>
              <w:color w:val="auto"/>
            </w:rPr>
            <w:fldChar w:fldCharType="end"/>
          </w:r>
        </w:p>
        <w:p>
          <w:pPr>
            <w:pStyle w:val="15"/>
            <w:tabs>
              <w:tab w:val="right" w:leader="dot" w:pos="8306"/>
            </w:tabs>
          </w:pPr>
          <w:r>
            <w:rPr>
              <w:color w:val="auto"/>
            </w:rPr>
            <w:fldChar w:fldCharType="begin"/>
          </w:r>
          <w:r>
            <w:instrText xml:space="preserve"> HYPERLINK \l _Toc27444 </w:instrText>
          </w:r>
          <w:r>
            <w:fldChar w:fldCharType="separate"/>
          </w:r>
          <w:r>
            <w:rPr>
              <w:rFonts w:hint="eastAsia" w:ascii="Times New Roman" w:hAnsi="Times New Roman" w:cs="Times New Roman"/>
              <w:bCs w:val="0"/>
              <w:kern w:val="2"/>
              <w:szCs w:val="32"/>
              <w:lang w:val="en-US" w:eastAsia="zh-CN"/>
            </w:rPr>
            <w:t>第一节 现状基础</w:t>
          </w:r>
          <w:r>
            <w:tab/>
          </w:r>
          <w:r>
            <w:fldChar w:fldCharType="begin"/>
          </w:r>
          <w:r>
            <w:instrText xml:space="preserve"> PAGEREF _Toc27444 \h </w:instrText>
          </w:r>
          <w:r>
            <w:fldChar w:fldCharType="separate"/>
          </w:r>
          <w:r>
            <w:t>7</w:t>
          </w:r>
          <w:r>
            <w:fldChar w:fldCharType="end"/>
          </w:r>
          <w:r>
            <w:rPr>
              <w:color w:val="auto"/>
            </w:rPr>
            <w:fldChar w:fldCharType="end"/>
          </w:r>
        </w:p>
        <w:p>
          <w:pPr>
            <w:pStyle w:val="15"/>
            <w:tabs>
              <w:tab w:val="right" w:leader="dot" w:pos="8306"/>
            </w:tabs>
          </w:pPr>
          <w:r>
            <w:rPr>
              <w:color w:val="auto"/>
            </w:rPr>
            <w:fldChar w:fldCharType="begin"/>
          </w:r>
          <w:r>
            <w:instrText xml:space="preserve"> HYPERLINK \l _Toc6479 </w:instrText>
          </w:r>
          <w:r>
            <w:fldChar w:fldCharType="separate"/>
          </w:r>
          <w:r>
            <w:rPr>
              <w:rFonts w:hint="eastAsia" w:ascii="Times New Roman" w:hAnsi="Times New Roman" w:cs="Times New Roman"/>
              <w:bCs w:val="0"/>
              <w:kern w:val="2"/>
              <w:szCs w:val="32"/>
              <w:lang w:val="en-US" w:eastAsia="zh-CN"/>
            </w:rPr>
            <w:t>第二节 问题与风险</w:t>
          </w:r>
          <w:r>
            <w:tab/>
          </w:r>
          <w:r>
            <w:fldChar w:fldCharType="begin"/>
          </w:r>
          <w:r>
            <w:instrText xml:space="preserve"> PAGEREF _Toc6479 \h </w:instrText>
          </w:r>
          <w:r>
            <w:fldChar w:fldCharType="separate"/>
          </w:r>
          <w:r>
            <w:t>10</w:t>
          </w:r>
          <w:r>
            <w:fldChar w:fldCharType="end"/>
          </w:r>
          <w:r>
            <w:rPr>
              <w:color w:val="auto"/>
            </w:rPr>
            <w:fldChar w:fldCharType="end"/>
          </w:r>
        </w:p>
        <w:p>
          <w:pPr>
            <w:pStyle w:val="15"/>
            <w:tabs>
              <w:tab w:val="right" w:leader="dot" w:pos="8306"/>
            </w:tabs>
          </w:pPr>
          <w:r>
            <w:rPr>
              <w:color w:val="auto"/>
            </w:rPr>
            <w:fldChar w:fldCharType="begin"/>
          </w:r>
          <w:r>
            <w:instrText xml:space="preserve"> HYPERLINK \l _Toc26474 </w:instrText>
          </w:r>
          <w:r>
            <w:fldChar w:fldCharType="separate"/>
          </w:r>
          <w:r>
            <w:rPr>
              <w:rFonts w:hint="eastAsia" w:ascii="Times New Roman" w:hAnsi="Times New Roman" w:cs="Times New Roman"/>
              <w:bCs w:val="0"/>
              <w:kern w:val="2"/>
              <w:szCs w:val="32"/>
              <w:lang w:val="en-US" w:eastAsia="zh-CN"/>
            </w:rPr>
            <w:t>第三节 机遇与挑战</w:t>
          </w:r>
          <w:r>
            <w:tab/>
          </w:r>
          <w:r>
            <w:fldChar w:fldCharType="begin"/>
          </w:r>
          <w:r>
            <w:instrText xml:space="preserve"> PAGEREF _Toc26474 \h </w:instrText>
          </w:r>
          <w:r>
            <w:fldChar w:fldCharType="separate"/>
          </w:r>
          <w:r>
            <w:t>13</w:t>
          </w:r>
          <w:r>
            <w:fldChar w:fldCharType="end"/>
          </w:r>
          <w:r>
            <w:rPr>
              <w:color w:val="auto"/>
            </w:rPr>
            <w:fldChar w:fldCharType="end"/>
          </w:r>
        </w:p>
        <w:p>
          <w:pPr>
            <w:pStyle w:val="14"/>
            <w:tabs>
              <w:tab w:val="right" w:leader="dot" w:pos="8306"/>
            </w:tabs>
          </w:pPr>
          <w:r>
            <w:rPr>
              <w:color w:val="auto"/>
            </w:rPr>
            <w:fldChar w:fldCharType="begin"/>
          </w:r>
          <w:r>
            <w:instrText xml:space="preserve"> HYPERLINK \l _Toc2500 </w:instrText>
          </w:r>
          <w:r>
            <w:fldChar w:fldCharType="separate"/>
          </w:r>
          <w:r>
            <w:rPr>
              <w:rFonts w:hint="eastAsia" w:ascii="Times New Roman" w:hAnsi="Times New Roman" w:eastAsia="Arial Unicode MS" w:cs="Times New Roman"/>
              <w:lang w:val="en-US" w:eastAsia="zh-CN"/>
            </w:rPr>
            <w:t>第三章 目标战略与区域协同</w:t>
          </w:r>
          <w:r>
            <w:tab/>
          </w:r>
          <w:r>
            <w:fldChar w:fldCharType="begin"/>
          </w:r>
          <w:r>
            <w:instrText xml:space="preserve"> PAGEREF _Toc2500 \h </w:instrText>
          </w:r>
          <w:r>
            <w:fldChar w:fldCharType="separate"/>
          </w:r>
          <w:r>
            <w:t>14</w:t>
          </w:r>
          <w:r>
            <w:fldChar w:fldCharType="end"/>
          </w:r>
          <w:r>
            <w:rPr>
              <w:color w:val="auto"/>
            </w:rPr>
            <w:fldChar w:fldCharType="end"/>
          </w:r>
        </w:p>
        <w:p>
          <w:pPr>
            <w:pStyle w:val="15"/>
            <w:tabs>
              <w:tab w:val="right" w:leader="dot" w:pos="8306"/>
            </w:tabs>
          </w:pPr>
          <w:r>
            <w:rPr>
              <w:color w:val="auto"/>
            </w:rPr>
            <w:fldChar w:fldCharType="begin"/>
          </w:r>
          <w:r>
            <w:instrText xml:space="preserve"> HYPERLINK \l _Toc31465 </w:instrText>
          </w:r>
          <w:r>
            <w:fldChar w:fldCharType="separate"/>
          </w:r>
          <w:r>
            <w:rPr>
              <w:rFonts w:hint="eastAsia" w:ascii="Times New Roman" w:hAnsi="Times New Roman"/>
              <w:kern w:val="2"/>
              <w:szCs w:val="32"/>
              <w:lang w:val="en-US" w:eastAsia="zh-CN"/>
            </w:rPr>
            <w:t>第一节 发展定位与目标</w:t>
          </w:r>
          <w:r>
            <w:tab/>
          </w:r>
          <w:r>
            <w:fldChar w:fldCharType="begin"/>
          </w:r>
          <w:r>
            <w:instrText xml:space="preserve"> PAGEREF _Toc31465 \h </w:instrText>
          </w:r>
          <w:r>
            <w:fldChar w:fldCharType="separate"/>
          </w:r>
          <w:r>
            <w:t>15</w:t>
          </w:r>
          <w:r>
            <w:fldChar w:fldCharType="end"/>
          </w:r>
          <w:r>
            <w:rPr>
              <w:color w:val="auto"/>
            </w:rPr>
            <w:fldChar w:fldCharType="end"/>
          </w:r>
        </w:p>
        <w:p>
          <w:pPr>
            <w:pStyle w:val="15"/>
            <w:tabs>
              <w:tab w:val="right" w:leader="dot" w:pos="8306"/>
            </w:tabs>
          </w:pPr>
          <w:r>
            <w:rPr>
              <w:color w:val="auto"/>
            </w:rPr>
            <w:fldChar w:fldCharType="begin"/>
          </w:r>
          <w:r>
            <w:instrText xml:space="preserve"> HYPERLINK \l _Toc25682 </w:instrText>
          </w:r>
          <w:r>
            <w:fldChar w:fldCharType="separate"/>
          </w:r>
          <w:r>
            <w:rPr>
              <w:rFonts w:hint="eastAsia" w:ascii="Times New Roman" w:hAnsi="Times New Roman" w:cs="Times New Roman"/>
              <w:bCs w:val="0"/>
              <w:kern w:val="2"/>
              <w:szCs w:val="32"/>
              <w:lang w:val="en-US" w:eastAsia="zh-CN"/>
            </w:rPr>
            <w:t>第二节 国土空间开发保护指标体系</w:t>
          </w:r>
          <w:r>
            <w:tab/>
          </w:r>
          <w:r>
            <w:fldChar w:fldCharType="begin"/>
          </w:r>
          <w:r>
            <w:instrText xml:space="preserve"> PAGEREF _Toc25682 \h </w:instrText>
          </w:r>
          <w:r>
            <w:fldChar w:fldCharType="separate"/>
          </w:r>
          <w:r>
            <w:t>16</w:t>
          </w:r>
          <w:r>
            <w:fldChar w:fldCharType="end"/>
          </w:r>
          <w:r>
            <w:rPr>
              <w:color w:val="auto"/>
            </w:rPr>
            <w:fldChar w:fldCharType="end"/>
          </w:r>
        </w:p>
        <w:p>
          <w:pPr>
            <w:pStyle w:val="15"/>
            <w:tabs>
              <w:tab w:val="right" w:leader="dot" w:pos="8306"/>
            </w:tabs>
          </w:pPr>
          <w:r>
            <w:rPr>
              <w:color w:val="auto"/>
            </w:rPr>
            <w:fldChar w:fldCharType="begin"/>
          </w:r>
          <w:r>
            <w:instrText xml:space="preserve"> HYPERLINK \l _Toc24895 </w:instrText>
          </w:r>
          <w:r>
            <w:fldChar w:fldCharType="separate"/>
          </w:r>
          <w:r>
            <w:rPr>
              <w:rFonts w:hint="eastAsia" w:ascii="Times New Roman" w:hAnsi="Times New Roman" w:cs="Times New Roman"/>
              <w:bCs w:val="0"/>
              <w:kern w:val="2"/>
              <w:szCs w:val="32"/>
              <w:lang w:val="en-US" w:eastAsia="zh-CN"/>
            </w:rPr>
            <w:t>第三节 国土空间开发保护战略</w:t>
          </w:r>
          <w:r>
            <w:tab/>
          </w:r>
          <w:r>
            <w:fldChar w:fldCharType="begin"/>
          </w:r>
          <w:r>
            <w:instrText xml:space="preserve"> PAGEREF _Toc24895 \h </w:instrText>
          </w:r>
          <w:r>
            <w:fldChar w:fldCharType="separate"/>
          </w:r>
          <w:r>
            <w:t>19</w:t>
          </w:r>
          <w:r>
            <w:fldChar w:fldCharType="end"/>
          </w:r>
          <w:r>
            <w:rPr>
              <w:color w:val="auto"/>
            </w:rPr>
            <w:fldChar w:fldCharType="end"/>
          </w:r>
        </w:p>
        <w:p>
          <w:pPr>
            <w:pStyle w:val="15"/>
            <w:tabs>
              <w:tab w:val="right" w:leader="dot" w:pos="8306"/>
            </w:tabs>
          </w:pPr>
          <w:r>
            <w:rPr>
              <w:color w:val="auto"/>
            </w:rPr>
            <w:fldChar w:fldCharType="begin"/>
          </w:r>
          <w:r>
            <w:instrText xml:space="preserve"> HYPERLINK \l _Toc12273 </w:instrText>
          </w:r>
          <w:r>
            <w:fldChar w:fldCharType="separate"/>
          </w:r>
          <w:r>
            <w:rPr>
              <w:rFonts w:hint="eastAsia" w:ascii="Times New Roman" w:hAnsi="Times New Roman" w:cs="Times New Roman"/>
              <w:bCs w:val="0"/>
              <w:kern w:val="2"/>
              <w:szCs w:val="32"/>
              <w:lang w:val="en-US" w:eastAsia="zh-CN"/>
            </w:rPr>
            <w:t>第四节 区域协同发展战略</w:t>
          </w:r>
          <w:r>
            <w:tab/>
          </w:r>
          <w:r>
            <w:fldChar w:fldCharType="begin"/>
          </w:r>
          <w:r>
            <w:instrText xml:space="preserve"> PAGEREF _Toc12273 \h </w:instrText>
          </w:r>
          <w:r>
            <w:fldChar w:fldCharType="separate"/>
          </w:r>
          <w:r>
            <w:t>21</w:t>
          </w:r>
          <w:r>
            <w:fldChar w:fldCharType="end"/>
          </w:r>
          <w:r>
            <w:rPr>
              <w:color w:val="auto"/>
            </w:rPr>
            <w:fldChar w:fldCharType="end"/>
          </w:r>
        </w:p>
        <w:p>
          <w:pPr>
            <w:pStyle w:val="14"/>
            <w:tabs>
              <w:tab w:val="right" w:leader="dot" w:pos="8306"/>
            </w:tabs>
          </w:pPr>
          <w:r>
            <w:rPr>
              <w:color w:val="auto"/>
            </w:rPr>
            <w:fldChar w:fldCharType="begin"/>
          </w:r>
          <w:r>
            <w:instrText xml:space="preserve"> HYPERLINK \l _Toc24734 </w:instrText>
          </w:r>
          <w:r>
            <w:fldChar w:fldCharType="separate"/>
          </w:r>
          <w:r>
            <w:rPr>
              <w:rFonts w:hint="eastAsia" w:ascii="Times New Roman" w:hAnsi="Times New Roman" w:eastAsia="Arial Unicode MS"/>
              <w:lang w:val="en-US" w:eastAsia="zh-CN"/>
            </w:rPr>
            <w:t>第四章 乡域国土空间开发保护格局</w:t>
          </w:r>
          <w:r>
            <w:tab/>
          </w:r>
          <w:r>
            <w:fldChar w:fldCharType="begin"/>
          </w:r>
          <w:r>
            <w:instrText xml:space="preserve"> PAGEREF _Toc24734 \h </w:instrText>
          </w:r>
          <w:r>
            <w:fldChar w:fldCharType="separate"/>
          </w:r>
          <w:r>
            <w:t>22</w:t>
          </w:r>
          <w:r>
            <w:fldChar w:fldCharType="end"/>
          </w:r>
          <w:r>
            <w:rPr>
              <w:color w:val="auto"/>
            </w:rPr>
            <w:fldChar w:fldCharType="end"/>
          </w:r>
        </w:p>
        <w:p>
          <w:pPr>
            <w:pStyle w:val="15"/>
            <w:tabs>
              <w:tab w:val="right" w:leader="dot" w:pos="8306"/>
            </w:tabs>
          </w:pPr>
          <w:r>
            <w:rPr>
              <w:color w:val="auto"/>
            </w:rPr>
            <w:fldChar w:fldCharType="begin"/>
          </w:r>
          <w:r>
            <w:instrText xml:space="preserve"> HYPERLINK \l _Toc28862 </w:instrText>
          </w:r>
          <w:r>
            <w:fldChar w:fldCharType="separate"/>
          </w:r>
          <w:r>
            <w:rPr>
              <w:rFonts w:hint="eastAsia" w:ascii="Times New Roman" w:hAnsi="Times New Roman" w:cs="Times New Roman"/>
              <w:kern w:val="2"/>
              <w:szCs w:val="32"/>
              <w:lang w:val="en-US" w:eastAsia="zh-CN"/>
            </w:rPr>
            <w:t>第一节 落实主体功能区</w:t>
          </w:r>
          <w:r>
            <w:tab/>
          </w:r>
          <w:r>
            <w:fldChar w:fldCharType="begin"/>
          </w:r>
          <w:r>
            <w:instrText xml:space="preserve"> PAGEREF _Toc28862 \h </w:instrText>
          </w:r>
          <w:r>
            <w:fldChar w:fldCharType="separate"/>
          </w:r>
          <w:r>
            <w:t>22</w:t>
          </w:r>
          <w:r>
            <w:fldChar w:fldCharType="end"/>
          </w:r>
          <w:r>
            <w:rPr>
              <w:color w:val="auto"/>
            </w:rPr>
            <w:fldChar w:fldCharType="end"/>
          </w:r>
        </w:p>
        <w:p>
          <w:pPr>
            <w:pStyle w:val="15"/>
            <w:tabs>
              <w:tab w:val="right" w:leader="dot" w:pos="8306"/>
            </w:tabs>
          </w:pPr>
          <w:r>
            <w:rPr>
              <w:color w:val="auto"/>
            </w:rPr>
            <w:fldChar w:fldCharType="begin"/>
          </w:r>
          <w:r>
            <w:instrText xml:space="preserve"> HYPERLINK \l _Toc23607 </w:instrText>
          </w:r>
          <w:r>
            <w:fldChar w:fldCharType="separate"/>
          </w:r>
          <w:r>
            <w:rPr>
              <w:rFonts w:hint="eastAsia" w:ascii="Times New Roman" w:hAnsi="Times New Roman"/>
              <w:kern w:val="2"/>
              <w:szCs w:val="32"/>
              <w:lang w:val="en-US" w:eastAsia="zh-CN"/>
            </w:rPr>
            <w:t>第二节 落实“三条控制线”</w:t>
          </w:r>
          <w:r>
            <w:tab/>
          </w:r>
          <w:r>
            <w:fldChar w:fldCharType="begin"/>
          </w:r>
          <w:r>
            <w:instrText xml:space="preserve"> PAGEREF _Toc23607 \h </w:instrText>
          </w:r>
          <w:r>
            <w:fldChar w:fldCharType="separate"/>
          </w:r>
          <w:r>
            <w:t>22</w:t>
          </w:r>
          <w:r>
            <w:fldChar w:fldCharType="end"/>
          </w:r>
          <w:r>
            <w:rPr>
              <w:color w:val="auto"/>
            </w:rPr>
            <w:fldChar w:fldCharType="end"/>
          </w:r>
        </w:p>
        <w:p>
          <w:pPr>
            <w:pStyle w:val="15"/>
            <w:tabs>
              <w:tab w:val="right" w:leader="dot" w:pos="8306"/>
            </w:tabs>
          </w:pPr>
          <w:r>
            <w:rPr>
              <w:color w:val="auto"/>
            </w:rPr>
            <w:fldChar w:fldCharType="begin"/>
          </w:r>
          <w:r>
            <w:instrText xml:space="preserve"> HYPERLINK \l _Toc9204 </w:instrText>
          </w:r>
          <w:r>
            <w:fldChar w:fldCharType="separate"/>
          </w:r>
          <w:r>
            <w:rPr>
              <w:rFonts w:hint="eastAsia" w:ascii="Times New Roman" w:hAnsi="Times New Roman" w:cs="Times New Roman"/>
              <w:bCs w:val="0"/>
              <w:kern w:val="2"/>
              <w:szCs w:val="32"/>
              <w:lang w:val="en-US" w:eastAsia="zh-CN"/>
            </w:rPr>
            <w:t>第二节 国土空间开发保护总体格局</w:t>
          </w:r>
          <w:r>
            <w:tab/>
          </w:r>
          <w:r>
            <w:fldChar w:fldCharType="begin"/>
          </w:r>
          <w:r>
            <w:instrText xml:space="preserve"> PAGEREF _Toc9204 \h </w:instrText>
          </w:r>
          <w:r>
            <w:fldChar w:fldCharType="separate"/>
          </w:r>
          <w:r>
            <w:t>24</w:t>
          </w:r>
          <w:r>
            <w:fldChar w:fldCharType="end"/>
          </w:r>
          <w:r>
            <w:rPr>
              <w:color w:val="auto"/>
            </w:rPr>
            <w:fldChar w:fldCharType="end"/>
          </w:r>
        </w:p>
        <w:p>
          <w:pPr>
            <w:pStyle w:val="15"/>
            <w:tabs>
              <w:tab w:val="right" w:leader="dot" w:pos="8306"/>
            </w:tabs>
          </w:pPr>
          <w:r>
            <w:rPr>
              <w:color w:val="auto"/>
            </w:rPr>
            <w:fldChar w:fldCharType="begin"/>
          </w:r>
          <w:r>
            <w:instrText xml:space="preserve"> HYPERLINK \l _Toc2174 </w:instrText>
          </w:r>
          <w:r>
            <w:fldChar w:fldCharType="separate"/>
          </w:r>
          <w:r>
            <w:rPr>
              <w:rFonts w:hint="eastAsia" w:ascii="Times New Roman" w:hAnsi="Times New Roman" w:cs="Times New Roman"/>
              <w:bCs w:val="0"/>
              <w:kern w:val="2"/>
              <w:szCs w:val="32"/>
              <w:lang w:val="en-US" w:eastAsia="zh-CN"/>
            </w:rPr>
            <w:t>第三节 国土空间规划分区</w:t>
          </w:r>
          <w:r>
            <w:tab/>
          </w:r>
          <w:r>
            <w:fldChar w:fldCharType="begin"/>
          </w:r>
          <w:r>
            <w:instrText xml:space="preserve"> PAGEREF _Toc2174 \h </w:instrText>
          </w:r>
          <w:r>
            <w:fldChar w:fldCharType="separate"/>
          </w:r>
          <w:r>
            <w:t>24</w:t>
          </w:r>
          <w:r>
            <w:fldChar w:fldCharType="end"/>
          </w:r>
          <w:r>
            <w:rPr>
              <w:color w:val="auto"/>
            </w:rPr>
            <w:fldChar w:fldCharType="end"/>
          </w:r>
        </w:p>
        <w:p>
          <w:pPr>
            <w:pStyle w:val="14"/>
            <w:tabs>
              <w:tab w:val="right" w:leader="dot" w:pos="8306"/>
            </w:tabs>
          </w:pPr>
          <w:r>
            <w:rPr>
              <w:color w:val="auto"/>
            </w:rPr>
            <w:fldChar w:fldCharType="begin"/>
          </w:r>
          <w:r>
            <w:instrText xml:space="preserve"> HYPERLINK \l _Toc5458 </w:instrText>
          </w:r>
          <w:r>
            <w:fldChar w:fldCharType="separate"/>
          </w:r>
          <w:r>
            <w:rPr>
              <w:rFonts w:hint="eastAsia" w:ascii="Times New Roman" w:hAnsi="Times New Roman" w:eastAsia="Arial Unicode MS" w:cs="Times New Roman"/>
              <w:lang w:val="en-US" w:eastAsia="zh-CN"/>
            </w:rPr>
            <w:t>第五章 保障绿色高效的农业空间</w:t>
          </w:r>
          <w:r>
            <w:tab/>
          </w:r>
          <w:r>
            <w:fldChar w:fldCharType="begin"/>
          </w:r>
          <w:r>
            <w:instrText xml:space="preserve"> PAGEREF _Toc5458 \h </w:instrText>
          </w:r>
          <w:r>
            <w:fldChar w:fldCharType="separate"/>
          </w:r>
          <w:r>
            <w:t>29</w:t>
          </w:r>
          <w:r>
            <w:fldChar w:fldCharType="end"/>
          </w:r>
          <w:r>
            <w:rPr>
              <w:color w:val="auto"/>
            </w:rPr>
            <w:fldChar w:fldCharType="end"/>
          </w:r>
        </w:p>
        <w:p>
          <w:pPr>
            <w:pStyle w:val="15"/>
            <w:tabs>
              <w:tab w:val="right" w:leader="dot" w:pos="8306"/>
            </w:tabs>
          </w:pPr>
          <w:r>
            <w:rPr>
              <w:color w:val="auto"/>
            </w:rPr>
            <w:fldChar w:fldCharType="begin"/>
          </w:r>
          <w:r>
            <w:instrText xml:space="preserve"> HYPERLINK \l _Toc13938 </w:instrText>
          </w:r>
          <w:r>
            <w:fldChar w:fldCharType="separate"/>
          </w:r>
          <w:r>
            <w:rPr>
              <w:rFonts w:hint="eastAsia" w:ascii="Times New Roman" w:hAnsi="Times New Roman" w:cs="Times New Roman"/>
              <w:bCs w:val="0"/>
              <w:kern w:val="2"/>
              <w:szCs w:val="32"/>
              <w:lang w:val="en-US" w:eastAsia="zh-CN"/>
            </w:rPr>
            <w:t>第一节 乡域农业空间格局</w:t>
          </w:r>
          <w:r>
            <w:tab/>
          </w:r>
          <w:r>
            <w:fldChar w:fldCharType="begin"/>
          </w:r>
          <w:r>
            <w:instrText xml:space="preserve"> PAGEREF _Toc13938 \h </w:instrText>
          </w:r>
          <w:r>
            <w:fldChar w:fldCharType="separate"/>
          </w:r>
          <w:r>
            <w:t>29</w:t>
          </w:r>
          <w:r>
            <w:fldChar w:fldCharType="end"/>
          </w:r>
          <w:r>
            <w:rPr>
              <w:color w:val="auto"/>
            </w:rPr>
            <w:fldChar w:fldCharType="end"/>
          </w:r>
        </w:p>
        <w:p>
          <w:pPr>
            <w:pStyle w:val="15"/>
            <w:tabs>
              <w:tab w:val="right" w:leader="dot" w:pos="8306"/>
            </w:tabs>
          </w:pPr>
          <w:r>
            <w:rPr>
              <w:color w:val="auto"/>
            </w:rPr>
            <w:fldChar w:fldCharType="begin"/>
          </w:r>
          <w:r>
            <w:instrText xml:space="preserve"> HYPERLINK \l _Toc22378 </w:instrText>
          </w:r>
          <w:r>
            <w:fldChar w:fldCharType="separate"/>
          </w:r>
          <w:r>
            <w:rPr>
              <w:rFonts w:hint="eastAsia" w:ascii="Times New Roman" w:hAnsi="Times New Roman" w:cs="Times New Roman"/>
              <w:bCs w:val="0"/>
              <w:kern w:val="2"/>
              <w:szCs w:val="32"/>
              <w:lang w:val="en-US" w:eastAsia="zh-CN"/>
            </w:rPr>
            <w:t>第二节 落实最严格耕地保护</w:t>
          </w:r>
          <w:r>
            <w:tab/>
          </w:r>
          <w:r>
            <w:fldChar w:fldCharType="begin"/>
          </w:r>
          <w:r>
            <w:instrText xml:space="preserve"> PAGEREF _Toc22378 \h </w:instrText>
          </w:r>
          <w:r>
            <w:fldChar w:fldCharType="separate"/>
          </w:r>
          <w:r>
            <w:t>29</w:t>
          </w:r>
          <w:r>
            <w:fldChar w:fldCharType="end"/>
          </w:r>
          <w:r>
            <w:rPr>
              <w:color w:val="auto"/>
            </w:rPr>
            <w:fldChar w:fldCharType="end"/>
          </w:r>
        </w:p>
        <w:p>
          <w:pPr>
            <w:pStyle w:val="15"/>
            <w:tabs>
              <w:tab w:val="right" w:leader="dot" w:pos="8306"/>
            </w:tabs>
          </w:pPr>
          <w:r>
            <w:rPr>
              <w:color w:val="auto"/>
            </w:rPr>
            <w:fldChar w:fldCharType="begin"/>
          </w:r>
          <w:r>
            <w:instrText xml:space="preserve"> HYPERLINK \l _Toc5607 </w:instrText>
          </w:r>
          <w:r>
            <w:fldChar w:fldCharType="separate"/>
          </w:r>
          <w:r>
            <w:rPr>
              <w:rFonts w:hint="eastAsia" w:ascii="Times New Roman" w:hAnsi="Times New Roman" w:cs="Times New Roman"/>
              <w:bCs w:val="0"/>
              <w:kern w:val="2"/>
              <w:szCs w:val="32"/>
              <w:lang w:val="en-US" w:eastAsia="zh-CN"/>
            </w:rPr>
            <w:t>第三节 支撑乡村振兴与乡村布局优化</w:t>
          </w:r>
          <w:r>
            <w:tab/>
          </w:r>
          <w:r>
            <w:fldChar w:fldCharType="begin"/>
          </w:r>
          <w:r>
            <w:instrText xml:space="preserve"> PAGEREF _Toc5607 \h </w:instrText>
          </w:r>
          <w:r>
            <w:fldChar w:fldCharType="separate"/>
          </w:r>
          <w:r>
            <w:t>30</w:t>
          </w:r>
          <w:r>
            <w:fldChar w:fldCharType="end"/>
          </w:r>
          <w:r>
            <w:rPr>
              <w:color w:val="auto"/>
            </w:rPr>
            <w:fldChar w:fldCharType="end"/>
          </w:r>
        </w:p>
        <w:p>
          <w:pPr>
            <w:pStyle w:val="14"/>
            <w:tabs>
              <w:tab w:val="right" w:leader="dot" w:pos="8306"/>
            </w:tabs>
          </w:pPr>
          <w:r>
            <w:rPr>
              <w:color w:val="auto"/>
            </w:rPr>
            <w:fldChar w:fldCharType="begin"/>
          </w:r>
          <w:r>
            <w:instrText xml:space="preserve"> HYPERLINK \l _Toc10994 </w:instrText>
          </w:r>
          <w:r>
            <w:fldChar w:fldCharType="separate"/>
          </w:r>
          <w:r>
            <w:rPr>
              <w:rFonts w:hint="eastAsia" w:ascii="Times New Roman" w:hAnsi="Times New Roman" w:eastAsia="Arial Unicode MS" w:cs="Times New Roman"/>
              <w:lang w:val="en-US" w:eastAsia="zh-CN"/>
            </w:rPr>
            <w:t>第六章 维育山清水秀的生态空间</w:t>
          </w:r>
          <w:r>
            <w:tab/>
          </w:r>
          <w:r>
            <w:fldChar w:fldCharType="begin"/>
          </w:r>
          <w:r>
            <w:instrText xml:space="preserve"> PAGEREF _Toc10994 \h </w:instrText>
          </w:r>
          <w:r>
            <w:fldChar w:fldCharType="separate"/>
          </w:r>
          <w:r>
            <w:t>32</w:t>
          </w:r>
          <w:r>
            <w:fldChar w:fldCharType="end"/>
          </w:r>
          <w:r>
            <w:rPr>
              <w:color w:val="auto"/>
            </w:rPr>
            <w:fldChar w:fldCharType="end"/>
          </w:r>
        </w:p>
        <w:p>
          <w:pPr>
            <w:pStyle w:val="15"/>
            <w:tabs>
              <w:tab w:val="right" w:leader="dot" w:pos="8306"/>
            </w:tabs>
          </w:pPr>
          <w:r>
            <w:rPr>
              <w:color w:val="auto"/>
            </w:rPr>
            <w:fldChar w:fldCharType="begin"/>
          </w:r>
          <w:r>
            <w:instrText xml:space="preserve"> HYPERLINK \l _Toc7234 </w:instrText>
          </w:r>
          <w:r>
            <w:fldChar w:fldCharType="separate"/>
          </w:r>
          <w:r>
            <w:rPr>
              <w:rFonts w:hint="eastAsia" w:ascii="Times New Roman" w:hAnsi="Times New Roman" w:cs="Times New Roman"/>
              <w:bCs w:val="0"/>
              <w:kern w:val="2"/>
              <w:szCs w:val="32"/>
              <w:lang w:val="en-US" w:eastAsia="zh-CN"/>
            </w:rPr>
            <w:t>第一节 乡域生态系统保护格局</w:t>
          </w:r>
          <w:r>
            <w:tab/>
          </w:r>
          <w:r>
            <w:fldChar w:fldCharType="begin"/>
          </w:r>
          <w:r>
            <w:instrText xml:space="preserve"> PAGEREF _Toc7234 \h </w:instrText>
          </w:r>
          <w:r>
            <w:fldChar w:fldCharType="separate"/>
          </w:r>
          <w:r>
            <w:t>32</w:t>
          </w:r>
          <w:r>
            <w:fldChar w:fldCharType="end"/>
          </w:r>
          <w:r>
            <w:rPr>
              <w:color w:val="auto"/>
            </w:rPr>
            <w:fldChar w:fldCharType="end"/>
          </w:r>
        </w:p>
        <w:p>
          <w:pPr>
            <w:pStyle w:val="15"/>
            <w:tabs>
              <w:tab w:val="right" w:leader="dot" w:pos="8306"/>
            </w:tabs>
          </w:pPr>
          <w:r>
            <w:rPr>
              <w:color w:val="auto"/>
            </w:rPr>
            <w:fldChar w:fldCharType="begin"/>
          </w:r>
          <w:r>
            <w:instrText xml:space="preserve"> HYPERLINK \l _Toc4399 </w:instrText>
          </w:r>
          <w:r>
            <w:fldChar w:fldCharType="separate"/>
          </w:r>
          <w:r>
            <w:rPr>
              <w:rFonts w:hint="eastAsia" w:ascii="Times New Roman" w:hAnsi="Times New Roman" w:cs="Times New Roman"/>
              <w:bCs w:val="0"/>
              <w:kern w:val="2"/>
              <w:szCs w:val="32"/>
              <w:lang w:val="en-US" w:eastAsia="zh-CN"/>
            </w:rPr>
            <w:t>第二节 建立自然保护地体系</w:t>
          </w:r>
          <w:r>
            <w:tab/>
          </w:r>
          <w:r>
            <w:fldChar w:fldCharType="begin"/>
          </w:r>
          <w:r>
            <w:instrText xml:space="preserve"> PAGEREF _Toc4399 \h </w:instrText>
          </w:r>
          <w:r>
            <w:fldChar w:fldCharType="separate"/>
          </w:r>
          <w:r>
            <w:t>32</w:t>
          </w:r>
          <w:r>
            <w:fldChar w:fldCharType="end"/>
          </w:r>
          <w:r>
            <w:rPr>
              <w:color w:val="auto"/>
            </w:rPr>
            <w:fldChar w:fldCharType="end"/>
          </w:r>
        </w:p>
        <w:p>
          <w:pPr>
            <w:pStyle w:val="15"/>
            <w:tabs>
              <w:tab w:val="right" w:leader="dot" w:pos="8306"/>
            </w:tabs>
          </w:pPr>
          <w:r>
            <w:rPr>
              <w:color w:val="auto"/>
            </w:rPr>
            <w:fldChar w:fldCharType="begin"/>
          </w:r>
          <w:r>
            <w:instrText xml:space="preserve"> HYPERLINK \l _Toc2366 </w:instrText>
          </w:r>
          <w:r>
            <w:fldChar w:fldCharType="separate"/>
          </w:r>
          <w:r>
            <w:rPr>
              <w:rFonts w:hint="eastAsia" w:ascii="Times New Roman" w:hAnsi="Times New Roman" w:cs="Times New Roman"/>
              <w:bCs w:val="0"/>
              <w:kern w:val="2"/>
              <w:szCs w:val="32"/>
              <w:lang w:val="en-US" w:eastAsia="zh-CN"/>
            </w:rPr>
            <w:t>第三节 推动生态价值转换</w:t>
          </w:r>
          <w:r>
            <w:tab/>
          </w:r>
          <w:r>
            <w:fldChar w:fldCharType="begin"/>
          </w:r>
          <w:r>
            <w:instrText xml:space="preserve"> PAGEREF _Toc2366 \h </w:instrText>
          </w:r>
          <w:r>
            <w:fldChar w:fldCharType="separate"/>
          </w:r>
          <w:r>
            <w:t>32</w:t>
          </w:r>
          <w:r>
            <w:fldChar w:fldCharType="end"/>
          </w:r>
          <w:r>
            <w:rPr>
              <w:color w:val="auto"/>
            </w:rPr>
            <w:fldChar w:fldCharType="end"/>
          </w:r>
        </w:p>
        <w:p>
          <w:pPr>
            <w:pStyle w:val="14"/>
            <w:tabs>
              <w:tab w:val="right" w:leader="dot" w:pos="8306"/>
            </w:tabs>
          </w:pPr>
          <w:r>
            <w:rPr>
              <w:color w:val="auto"/>
            </w:rPr>
            <w:fldChar w:fldCharType="begin"/>
          </w:r>
          <w:r>
            <w:instrText xml:space="preserve"> HYPERLINK \l _Toc18493 </w:instrText>
          </w:r>
          <w:r>
            <w:fldChar w:fldCharType="separate"/>
          </w:r>
          <w:r>
            <w:rPr>
              <w:rFonts w:hint="eastAsia" w:ascii="Times New Roman" w:hAnsi="Times New Roman" w:eastAsia="Arial Unicode MS" w:cs="Times New Roman"/>
              <w:lang w:val="en-US" w:eastAsia="zh-CN"/>
            </w:rPr>
            <w:t>第七章 构建高效协同的乡村空间</w:t>
          </w:r>
          <w:r>
            <w:tab/>
          </w:r>
          <w:r>
            <w:fldChar w:fldCharType="begin"/>
          </w:r>
          <w:r>
            <w:instrText xml:space="preserve"> PAGEREF _Toc18493 \h </w:instrText>
          </w:r>
          <w:r>
            <w:fldChar w:fldCharType="separate"/>
          </w:r>
          <w:r>
            <w:t>35</w:t>
          </w:r>
          <w:r>
            <w:fldChar w:fldCharType="end"/>
          </w:r>
          <w:r>
            <w:rPr>
              <w:color w:val="auto"/>
            </w:rPr>
            <w:fldChar w:fldCharType="end"/>
          </w:r>
        </w:p>
        <w:p>
          <w:pPr>
            <w:pStyle w:val="15"/>
            <w:tabs>
              <w:tab w:val="right" w:leader="dot" w:pos="8306"/>
            </w:tabs>
          </w:pPr>
          <w:r>
            <w:rPr>
              <w:color w:val="auto"/>
            </w:rPr>
            <w:fldChar w:fldCharType="begin"/>
          </w:r>
          <w:r>
            <w:instrText xml:space="preserve"> HYPERLINK \l _Toc21168 </w:instrText>
          </w:r>
          <w:r>
            <w:fldChar w:fldCharType="separate"/>
          </w:r>
          <w:r>
            <w:rPr>
              <w:rFonts w:hint="eastAsia" w:ascii="Times New Roman" w:hAnsi="Times New Roman" w:cs="Times New Roman"/>
              <w:bCs w:val="0"/>
              <w:kern w:val="2"/>
              <w:szCs w:val="32"/>
              <w:lang w:val="en-US" w:eastAsia="zh-CN"/>
            </w:rPr>
            <w:t>第一节 乡域乡村空间格局</w:t>
          </w:r>
          <w:r>
            <w:tab/>
          </w:r>
          <w:r>
            <w:fldChar w:fldCharType="begin"/>
          </w:r>
          <w:r>
            <w:instrText xml:space="preserve"> PAGEREF _Toc21168 \h </w:instrText>
          </w:r>
          <w:r>
            <w:fldChar w:fldCharType="separate"/>
          </w:r>
          <w:r>
            <w:t>35</w:t>
          </w:r>
          <w:r>
            <w:fldChar w:fldCharType="end"/>
          </w:r>
          <w:r>
            <w:rPr>
              <w:color w:val="auto"/>
            </w:rPr>
            <w:fldChar w:fldCharType="end"/>
          </w:r>
        </w:p>
        <w:p>
          <w:pPr>
            <w:pStyle w:val="15"/>
            <w:tabs>
              <w:tab w:val="right" w:leader="dot" w:pos="8306"/>
            </w:tabs>
          </w:pPr>
          <w:r>
            <w:rPr>
              <w:color w:val="auto"/>
            </w:rPr>
            <w:fldChar w:fldCharType="begin"/>
          </w:r>
          <w:r>
            <w:instrText xml:space="preserve"> HYPERLINK \l _Toc26165 </w:instrText>
          </w:r>
          <w:r>
            <w:fldChar w:fldCharType="separate"/>
          </w:r>
          <w:r>
            <w:rPr>
              <w:rFonts w:hint="eastAsia" w:ascii="Times New Roman" w:hAnsi="Times New Roman" w:cs="Times New Roman"/>
              <w:bCs w:val="0"/>
              <w:kern w:val="2"/>
              <w:szCs w:val="32"/>
              <w:lang w:val="en-US" w:eastAsia="zh-CN"/>
            </w:rPr>
            <w:t>第二节 优化产业空间布局</w:t>
          </w:r>
          <w:r>
            <w:tab/>
          </w:r>
          <w:r>
            <w:fldChar w:fldCharType="begin"/>
          </w:r>
          <w:r>
            <w:instrText xml:space="preserve"> PAGEREF _Toc26165 \h </w:instrText>
          </w:r>
          <w:r>
            <w:fldChar w:fldCharType="separate"/>
          </w:r>
          <w:r>
            <w:t>37</w:t>
          </w:r>
          <w:r>
            <w:fldChar w:fldCharType="end"/>
          </w:r>
          <w:r>
            <w:rPr>
              <w:color w:val="auto"/>
            </w:rPr>
            <w:fldChar w:fldCharType="end"/>
          </w:r>
        </w:p>
        <w:p>
          <w:pPr>
            <w:pStyle w:val="15"/>
            <w:tabs>
              <w:tab w:val="right" w:leader="dot" w:pos="8306"/>
            </w:tabs>
          </w:pPr>
          <w:r>
            <w:rPr>
              <w:color w:val="auto"/>
            </w:rPr>
            <w:fldChar w:fldCharType="begin"/>
          </w:r>
          <w:r>
            <w:instrText xml:space="preserve"> HYPERLINK \l _Toc14202 </w:instrText>
          </w:r>
          <w:r>
            <w:fldChar w:fldCharType="separate"/>
          </w:r>
          <w:r>
            <w:rPr>
              <w:rFonts w:hint="eastAsia" w:ascii="Times New Roman" w:hAnsi="Times New Roman" w:cs="Times New Roman"/>
              <w:bCs w:val="0"/>
              <w:kern w:val="2"/>
              <w:szCs w:val="32"/>
              <w:lang w:val="en-US" w:eastAsia="zh-CN"/>
            </w:rPr>
            <w:t>第三节 推动建设用地节约集约利用</w:t>
          </w:r>
          <w:r>
            <w:tab/>
          </w:r>
          <w:r>
            <w:fldChar w:fldCharType="begin"/>
          </w:r>
          <w:r>
            <w:instrText xml:space="preserve"> PAGEREF _Toc14202 \h </w:instrText>
          </w:r>
          <w:r>
            <w:fldChar w:fldCharType="separate"/>
          </w:r>
          <w:r>
            <w:t>39</w:t>
          </w:r>
          <w:r>
            <w:fldChar w:fldCharType="end"/>
          </w:r>
          <w:r>
            <w:rPr>
              <w:color w:val="auto"/>
            </w:rPr>
            <w:fldChar w:fldCharType="end"/>
          </w:r>
        </w:p>
        <w:p>
          <w:pPr>
            <w:pStyle w:val="14"/>
            <w:tabs>
              <w:tab w:val="right" w:leader="dot" w:pos="8306"/>
            </w:tabs>
          </w:pPr>
          <w:r>
            <w:rPr>
              <w:color w:val="auto"/>
            </w:rPr>
            <w:fldChar w:fldCharType="begin"/>
          </w:r>
          <w:r>
            <w:instrText xml:space="preserve"> HYPERLINK \l _Toc29404 </w:instrText>
          </w:r>
          <w:r>
            <w:fldChar w:fldCharType="separate"/>
          </w:r>
          <w:r>
            <w:rPr>
              <w:rFonts w:hint="eastAsia" w:ascii="Times New Roman" w:hAnsi="Times New Roman" w:eastAsia="Arial Unicode MS"/>
              <w:lang w:val="en-US" w:eastAsia="zh-CN"/>
            </w:rPr>
            <w:t>第八章 塑造特色鲜明的魅力空间</w:t>
          </w:r>
          <w:r>
            <w:tab/>
          </w:r>
          <w:r>
            <w:fldChar w:fldCharType="begin"/>
          </w:r>
          <w:r>
            <w:instrText xml:space="preserve"> PAGEREF _Toc29404 \h </w:instrText>
          </w:r>
          <w:r>
            <w:fldChar w:fldCharType="separate"/>
          </w:r>
          <w:r>
            <w:t>40</w:t>
          </w:r>
          <w:r>
            <w:fldChar w:fldCharType="end"/>
          </w:r>
          <w:r>
            <w:rPr>
              <w:color w:val="auto"/>
            </w:rPr>
            <w:fldChar w:fldCharType="end"/>
          </w:r>
        </w:p>
        <w:p>
          <w:pPr>
            <w:pStyle w:val="15"/>
            <w:tabs>
              <w:tab w:val="right" w:leader="dot" w:pos="8306"/>
            </w:tabs>
          </w:pPr>
          <w:r>
            <w:rPr>
              <w:color w:val="auto"/>
            </w:rPr>
            <w:fldChar w:fldCharType="begin"/>
          </w:r>
          <w:r>
            <w:instrText xml:space="preserve"> HYPERLINK \l _Toc31508 </w:instrText>
          </w:r>
          <w:r>
            <w:fldChar w:fldCharType="separate"/>
          </w:r>
          <w:r>
            <w:rPr>
              <w:rFonts w:hint="eastAsia" w:ascii="Times New Roman" w:hAnsi="Times New Roman"/>
              <w:kern w:val="2"/>
              <w:szCs w:val="32"/>
              <w:lang w:val="en-US" w:eastAsia="zh-CN"/>
            </w:rPr>
            <w:t>第一节 构建历史文化保护体系</w:t>
          </w:r>
          <w:r>
            <w:tab/>
          </w:r>
          <w:r>
            <w:fldChar w:fldCharType="begin"/>
          </w:r>
          <w:r>
            <w:instrText xml:space="preserve"> PAGEREF _Toc31508 \h </w:instrText>
          </w:r>
          <w:r>
            <w:fldChar w:fldCharType="separate"/>
          </w:r>
          <w:r>
            <w:t>40</w:t>
          </w:r>
          <w:r>
            <w:fldChar w:fldCharType="end"/>
          </w:r>
          <w:r>
            <w:rPr>
              <w:color w:val="auto"/>
            </w:rPr>
            <w:fldChar w:fldCharType="end"/>
          </w:r>
        </w:p>
        <w:p>
          <w:pPr>
            <w:pStyle w:val="15"/>
            <w:tabs>
              <w:tab w:val="right" w:leader="dot" w:pos="8306"/>
            </w:tabs>
          </w:pPr>
          <w:r>
            <w:rPr>
              <w:color w:val="auto"/>
            </w:rPr>
            <w:fldChar w:fldCharType="begin"/>
          </w:r>
          <w:r>
            <w:instrText xml:space="preserve"> HYPERLINK \l _Toc7047 </w:instrText>
          </w:r>
          <w:r>
            <w:fldChar w:fldCharType="separate"/>
          </w:r>
          <w:r>
            <w:rPr>
              <w:rFonts w:hint="eastAsia" w:ascii="Times New Roman" w:hAnsi="Times New Roman"/>
              <w:kern w:val="2"/>
              <w:szCs w:val="32"/>
              <w:lang w:val="en-US" w:eastAsia="zh-CN"/>
            </w:rPr>
            <w:t>第二节 优化全域旅游空间格局</w:t>
          </w:r>
          <w:r>
            <w:tab/>
          </w:r>
          <w:r>
            <w:fldChar w:fldCharType="begin"/>
          </w:r>
          <w:r>
            <w:instrText xml:space="preserve"> PAGEREF _Toc7047 \h </w:instrText>
          </w:r>
          <w:r>
            <w:fldChar w:fldCharType="separate"/>
          </w:r>
          <w:r>
            <w:t>45</w:t>
          </w:r>
          <w:r>
            <w:fldChar w:fldCharType="end"/>
          </w:r>
          <w:r>
            <w:rPr>
              <w:color w:val="auto"/>
            </w:rPr>
            <w:fldChar w:fldCharType="end"/>
          </w:r>
        </w:p>
        <w:p>
          <w:pPr>
            <w:pStyle w:val="15"/>
            <w:tabs>
              <w:tab w:val="right" w:leader="dot" w:pos="8306"/>
            </w:tabs>
          </w:pPr>
          <w:r>
            <w:rPr>
              <w:color w:val="auto"/>
            </w:rPr>
            <w:fldChar w:fldCharType="begin"/>
          </w:r>
          <w:r>
            <w:instrText xml:space="preserve"> HYPERLINK \l _Toc5708 </w:instrText>
          </w:r>
          <w:r>
            <w:fldChar w:fldCharType="separate"/>
          </w:r>
          <w:r>
            <w:rPr>
              <w:rFonts w:hint="eastAsia" w:ascii="Times New Roman" w:hAnsi="Times New Roman"/>
              <w:kern w:val="2"/>
              <w:szCs w:val="32"/>
              <w:lang w:val="en-US" w:eastAsia="zh-CN"/>
            </w:rPr>
            <w:t>第三节 强化城乡风貌指引与管控</w:t>
          </w:r>
          <w:r>
            <w:tab/>
          </w:r>
          <w:r>
            <w:fldChar w:fldCharType="begin"/>
          </w:r>
          <w:r>
            <w:instrText xml:space="preserve"> PAGEREF _Toc5708 \h </w:instrText>
          </w:r>
          <w:r>
            <w:fldChar w:fldCharType="separate"/>
          </w:r>
          <w:r>
            <w:t>47</w:t>
          </w:r>
          <w:r>
            <w:fldChar w:fldCharType="end"/>
          </w:r>
          <w:r>
            <w:rPr>
              <w:color w:val="auto"/>
            </w:rPr>
            <w:fldChar w:fldCharType="end"/>
          </w:r>
        </w:p>
        <w:p>
          <w:pPr>
            <w:pStyle w:val="14"/>
            <w:tabs>
              <w:tab w:val="right" w:leader="dot" w:pos="8306"/>
            </w:tabs>
          </w:pPr>
          <w:r>
            <w:rPr>
              <w:color w:val="auto"/>
            </w:rPr>
            <w:fldChar w:fldCharType="begin"/>
          </w:r>
          <w:r>
            <w:instrText xml:space="preserve"> HYPERLINK \l _Toc15185 </w:instrText>
          </w:r>
          <w:r>
            <w:fldChar w:fldCharType="separate"/>
          </w:r>
          <w:r>
            <w:rPr>
              <w:rFonts w:hint="eastAsia" w:ascii="Times New Roman" w:hAnsi="Times New Roman" w:eastAsia="Arial Unicode MS"/>
              <w:lang w:val="en-US" w:eastAsia="zh-CN"/>
            </w:rPr>
            <w:t>第九章 自然资源保护与利用</w:t>
          </w:r>
          <w:r>
            <w:tab/>
          </w:r>
          <w:r>
            <w:fldChar w:fldCharType="begin"/>
          </w:r>
          <w:r>
            <w:instrText xml:space="preserve"> PAGEREF _Toc15185 \h </w:instrText>
          </w:r>
          <w:r>
            <w:fldChar w:fldCharType="separate"/>
          </w:r>
          <w:r>
            <w:t>51</w:t>
          </w:r>
          <w:r>
            <w:fldChar w:fldCharType="end"/>
          </w:r>
          <w:r>
            <w:rPr>
              <w:color w:val="auto"/>
            </w:rPr>
            <w:fldChar w:fldCharType="end"/>
          </w:r>
        </w:p>
        <w:p>
          <w:pPr>
            <w:pStyle w:val="15"/>
            <w:tabs>
              <w:tab w:val="right" w:leader="dot" w:pos="8306"/>
            </w:tabs>
          </w:pPr>
          <w:r>
            <w:rPr>
              <w:color w:val="auto"/>
            </w:rPr>
            <w:fldChar w:fldCharType="begin"/>
          </w:r>
          <w:r>
            <w:instrText xml:space="preserve"> HYPERLINK \l _Toc20278 </w:instrText>
          </w:r>
          <w:r>
            <w:fldChar w:fldCharType="separate"/>
          </w:r>
          <w:r>
            <w:rPr>
              <w:rFonts w:hint="eastAsia" w:ascii="Times New Roman" w:hAnsi="Times New Roman"/>
              <w:kern w:val="2"/>
              <w:szCs w:val="32"/>
              <w:lang w:val="en-US" w:eastAsia="zh-CN"/>
            </w:rPr>
            <w:t>第一节 耕地保护与利用</w:t>
          </w:r>
          <w:r>
            <w:tab/>
          </w:r>
          <w:r>
            <w:fldChar w:fldCharType="begin"/>
          </w:r>
          <w:r>
            <w:instrText xml:space="preserve"> PAGEREF _Toc20278 \h </w:instrText>
          </w:r>
          <w:r>
            <w:fldChar w:fldCharType="separate"/>
          </w:r>
          <w:r>
            <w:t>51</w:t>
          </w:r>
          <w:r>
            <w:fldChar w:fldCharType="end"/>
          </w:r>
          <w:r>
            <w:rPr>
              <w:color w:val="auto"/>
            </w:rPr>
            <w:fldChar w:fldCharType="end"/>
          </w:r>
        </w:p>
        <w:p>
          <w:pPr>
            <w:pStyle w:val="15"/>
            <w:tabs>
              <w:tab w:val="right" w:leader="dot" w:pos="8306"/>
            </w:tabs>
          </w:pPr>
          <w:r>
            <w:rPr>
              <w:color w:val="auto"/>
            </w:rPr>
            <w:fldChar w:fldCharType="begin"/>
          </w:r>
          <w:r>
            <w:instrText xml:space="preserve"> HYPERLINK \l _Toc476 </w:instrText>
          </w:r>
          <w:r>
            <w:fldChar w:fldCharType="separate"/>
          </w:r>
          <w:r>
            <w:rPr>
              <w:rFonts w:hint="eastAsia" w:ascii="Times New Roman" w:hAnsi="Times New Roman"/>
              <w:kern w:val="2"/>
              <w:szCs w:val="32"/>
              <w:lang w:val="en-US" w:eastAsia="zh-CN"/>
            </w:rPr>
            <w:t>第二节 水资源保护与利用</w:t>
          </w:r>
          <w:r>
            <w:tab/>
          </w:r>
          <w:r>
            <w:fldChar w:fldCharType="begin"/>
          </w:r>
          <w:r>
            <w:instrText xml:space="preserve"> PAGEREF _Toc476 \h </w:instrText>
          </w:r>
          <w:r>
            <w:fldChar w:fldCharType="separate"/>
          </w:r>
          <w:r>
            <w:t>55</w:t>
          </w:r>
          <w:r>
            <w:fldChar w:fldCharType="end"/>
          </w:r>
          <w:r>
            <w:rPr>
              <w:color w:val="auto"/>
            </w:rPr>
            <w:fldChar w:fldCharType="end"/>
          </w:r>
        </w:p>
        <w:p>
          <w:pPr>
            <w:pStyle w:val="15"/>
            <w:tabs>
              <w:tab w:val="right" w:leader="dot" w:pos="8306"/>
            </w:tabs>
          </w:pPr>
          <w:r>
            <w:rPr>
              <w:color w:val="auto"/>
            </w:rPr>
            <w:fldChar w:fldCharType="begin"/>
          </w:r>
          <w:r>
            <w:instrText xml:space="preserve"> HYPERLINK \l _Toc31069 </w:instrText>
          </w:r>
          <w:r>
            <w:fldChar w:fldCharType="separate"/>
          </w:r>
          <w:r>
            <w:rPr>
              <w:rFonts w:hint="eastAsia" w:ascii="Times New Roman" w:hAnsi="Times New Roman"/>
              <w:kern w:val="2"/>
              <w:szCs w:val="32"/>
              <w:lang w:val="en-US" w:eastAsia="zh-CN"/>
            </w:rPr>
            <w:t>第三节 湿地资源保护与利用</w:t>
          </w:r>
          <w:r>
            <w:tab/>
          </w:r>
          <w:r>
            <w:fldChar w:fldCharType="begin"/>
          </w:r>
          <w:r>
            <w:instrText xml:space="preserve"> PAGEREF _Toc31069 \h </w:instrText>
          </w:r>
          <w:r>
            <w:fldChar w:fldCharType="separate"/>
          </w:r>
          <w:r>
            <w:t>60</w:t>
          </w:r>
          <w:r>
            <w:fldChar w:fldCharType="end"/>
          </w:r>
          <w:r>
            <w:rPr>
              <w:color w:val="auto"/>
            </w:rPr>
            <w:fldChar w:fldCharType="end"/>
          </w:r>
        </w:p>
        <w:p>
          <w:pPr>
            <w:pStyle w:val="15"/>
            <w:tabs>
              <w:tab w:val="right" w:leader="dot" w:pos="8306"/>
            </w:tabs>
          </w:pPr>
          <w:r>
            <w:rPr>
              <w:color w:val="auto"/>
            </w:rPr>
            <w:fldChar w:fldCharType="begin"/>
          </w:r>
          <w:r>
            <w:instrText xml:space="preserve"> HYPERLINK \l _Toc5422 </w:instrText>
          </w:r>
          <w:r>
            <w:fldChar w:fldCharType="separate"/>
          </w:r>
          <w:r>
            <w:rPr>
              <w:rFonts w:hint="eastAsia" w:ascii="Times New Roman" w:hAnsi="Times New Roman"/>
              <w:kern w:val="2"/>
              <w:szCs w:val="32"/>
              <w:lang w:val="en-US" w:eastAsia="zh-CN"/>
            </w:rPr>
            <w:t>第四节 森林资源保护与利用</w:t>
          </w:r>
          <w:r>
            <w:tab/>
          </w:r>
          <w:r>
            <w:fldChar w:fldCharType="begin"/>
          </w:r>
          <w:r>
            <w:instrText xml:space="preserve"> PAGEREF _Toc5422 \h </w:instrText>
          </w:r>
          <w:r>
            <w:fldChar w:fldCharType="separate"/>
          </w:r>
          <w:r>
            <w:t>61</w:t>
          </w:r>
          <w:r>
            <w:fldChar w:fldCharType="end"/>
          </w:r>
          <w:r>
            <w:rPr>
              <w:color w:val="auto"/>
            </w:rPr>
            <w:fldChar w:fldCharType="end"/>
          </w:r>
        </w:p>
        <w:p>
          <w:pPr>
            <w:pStyle w:val="15"/>
            <w:tabs>
              <w:tab w:val="right" w:leader="dot" w:pos="8306"/>
            </w:tabs>
          </w:pPr>
          <w:r>
            <w:rPr>
              <w:color w:val="auto"/>
            </w:rPr>
            <w:fldChar w:fldCharType="begin"/>
          </w:r>
          <w:r>
            <w:instrText xml:space="preserve"> HYPERLINK \l _Toc26803 </w:instrText>
          </w:r>
          <w:r>
            <w:fldChar w:fldCharType="separate"/>
          </w:r>
          <w:r>
            <w:rPr>
              <w:rFonts w:hint="eastAsia" w:ascii="Times New Roman" w:hAnsi="Times New Roman"/>
              <w:kern w:val="2"/>
              <w:szCs w:val="32"/>
              <w:lang w:val="en-US" w:eastAsia="zh-CN"/>
            </w:rPr>
            <w:t>第四节 矿产资源保护与利用</w:t>
          </w:r>
          <w:r>
            <w:tab/>
          </w:r>
          <w:r>
            <w:fldChar w:fldCharType="begin"/>
          </w:r>
          <w:r>
            <w:instrText xml:space="preserve"> PAGEREF _Toc26803 \h </w:instrText>
          </w:r>
          <w:r>
            <w:fldChar w:fldCharType="separate"/>
          </w:r>
          <w:r>
            <w:t>70</w:t>
          </w:r>
          <w:r>
            <w:fldChar w:fldCharType="end"/>
          </w:r>
          <w:r>
            <w:rPr>
              <w:color w:val="auto"/>
            </w:rPr>
            <w:fldChar w:fldCharType="end"/>
          </w:r>
        </w:p>
        <w:p>
          <w:pPr>
            <w:pStyle w:val="14"/>
            <w:tabs>
              <w:tab w:val="right" w:leader="dot" w:pos="8306"/>
            </w:tabs>
          </w:pPr>
          <w:r>
            <w:rPr>
              <w:color w:val="auto"/>
            </w:rPr>
            <w:fldChar w:fldCharType="begin"/>
          </w:r>
          <w:r>
            <w:instrText xml:space="preserve"> HYPERLINK \l _Toc12140 </w:instrText>
          </w:r>
          <w:r>
            <w:fldChar w:fldCharType="separate"/>
          </w:r>
          <w:r>
            <w:rPr>
              <w:rFonts w:hint="eastAsia" w:ascii="Times New Roman" w:hAnsi="Times New Roman" w:eastAsia="Arial Unicode MS"/>
              <w:lang w:val="en-US" w:eastAsia="zh-CN"/>
            </w:rPr>
            <w:t>第十章 国土综合整治与生态修复</w:t>
          </w:r>
          <w:r>
            <w:tab/>
          </w:r>
          <w:r>
            <w:fldChar w:fldCharType="begin"/>
          </w:r>
          <w:r>
            <w:instrText xml:space="preserve"> PAGEREF _Toc12140 \h </w:instrText>
          </w:r>
          <w:r>
            <w:fldChar w:fldCharType="separate"/>
          </w:r>
          <w:r>
            <w:t>74</w:t>
          </w:r>
          <w:r>
            <w:fldChar w:fldCharType="end"/>
          </w:r>
          <w:r>
            <w:rPr>
              <w:color w:val="auto"/>
            </w:rPr>
            <w:fldChar w:fldCharType="end"/>
          </w:r>
        </w:p>
        <w:p>
          <w:pPr>
            <w:pStyle w:val="15"/>
            <w:tabs>
              <w:tab w:val="right" w:leader="dot" w:pos="8306"/>
            </w:tabs>
          </w:pPr>
          <w:r>
            <w:rPr>
              <w:color w:val="auto"/>
            </w:rPr>
            <w:fldChar w:fldCharType="begin"/>
          </w:r>
          <w:r>
            <w:instrText xml:space="preserve"> HYPERLINK \l _Toc13527 </w:instrText>
          </w:r>
          <w:r>
            <w:fldChar w:fldCharType="separate"/>
          </w:r>
          <w:r>
            <w:rPr>
              <w:rFonts w:hint="eastAsia" w:ascii="Times New Roman" w:hAnsi="Times New Roman"/>
              <w:kern w:val="2"/>
              <w:szCs w:val="32"/>
              <w:lang w:val="en-US" w:eastAsia="zh-CN"/>
            </w:rPr>
            <w:t>第一节 全域国土综合整治</w:t>
          </w:r>
          <w:r>
            <w:tab/>
          </w:r>
          <w:r>
            <w:fldChar w:fldCharType="begin"/>
          </w:r>
          <w:r>
            <w:instrText xml:space="preserve"> PAGEREF _Toc13527 \h </w:instrText>
          </w:r>
          <w:r>
            <w:fldChar w:fldCharType="separate"/>
          </w:r>
          <w:r>
            <w:t>74</w:t>
          </w:r>
          <w:r>
            <w:fldChar w:fldCharType="end"/>
          </w:r>
          <w:r>
            <w:rPr>
              <w:color w:val="auto"/>
            </w:rPr>
            <w:fldChar w:fldCharType="end"/>
          </w:r>
        </w:p>
        <w:p>
          <w:pPr>
            <w:pStyle w:val="15"/>
            <w:tabs>
              <w:tab w:val="right" w:leader="dot" w:pos="8306"/>
            </w:tabs>
          </w:pPr>
          <w:r>
            <w:rPr>
              <w:color w:val="auto"/>
            </w:rPr>
            <w:fldChar w:fldCharType="begin"/>
          </w:r>
          <w:r>
            <w:instrText xml:space="preserve"> HYPERLINK \l _Toc32644 </w:instrText>
          </w:r>
          <w:r>
            <w:fldChar w:fldCharType="separate"/>
          </w:r>
          <w:r>
            <w:rPr>
              <w:rFonts w:hint="eastAsia" w:ascii="Times New Roman" w:hAnsi="Times New Roman"/>
              <w:kern w:val="2"/>
              <w:szCs w:val="32"/>
              <w:lang w:val="en-US" w:eastAsia="zh-CN"/>
            </w:rPr>
            <w:t>第二节 国土空间生态修复</w:t>
          </w:r>
          <w:r>
            <w:tab/>
          </w:r>
          <w:r>
            <w:fldChar w:fldCharType="begin"/>
          </w:r>
          <w:r>
            <w:instrText xml:space="preserve"> PAGEREF _Toc32644 \h </w:instrText>
          </w:r>
          <w:r>
            <w:fldChar w:fldCharType="separate"/>
          </w:r>
          <w:r>
            <w:t>80</w:t>
          </w:r>
          <w:r>
            <w:fldChar w:fldCharType="end"/>
          </w:r>
          <w:r>
            <w:rPr>
              <w:color w:val="auto"/>
            </w:rPr>
            <w:fldChar w:fldCharType="end"/>
          </w:r>
        </w:p>
        <w:p>
          <w:pPr>
            <w:pStyle w:val="14"/>
            <w:tabs>
              <w:tab w:val="right" w:leader="dot" w:pos="8306"/>
            </w:tabs>
          </w:pPr>
          <w:r>
            <w:rPr>
              <w:color w:val="auto"/>
            </w:rPr>
            <w:fldChar w:fldCharType="begin"/>
          </w:r>
          <w:r>
            <w:instrText xml:space="preserve"> HYPERLINK \l _Toc6050 </w:instrText>
          </w:r>
          <w:r>
            <w:fldChar w:fldCharType="separate"/>
          </w:r>
          <w:r>
            <w:rPr>
              <w:rFonts w:hint="eastAsia" w:ascii="Times New Roman" w:hAnsi="Times New Roman" w:eastAsia="Arial Unicode MS" w:cs="Times New Roman"/>
              <w:kern w:val="44"/>
              <w:szCs w:val="44"/>
              <w:lang w:val="en-US" w:eastAsia="zh-CN" w:bidi="ar-SA"/>
            </w:rPr>
            <w:t>第十一章 综合支撑体系</w:t>
          </w:r>
          <w:r>
            <w:tab/>
          </w:r>
          <w:r>
            <w:fldChar w:fldCharType="begin"/>
          </w:r>
          <w:r>
            <w:instrText xml:space="preserve"> PAGEREF _Toc6050 \h </w:instrText>
          </w:r>
          <w:r>
            <w:fldChar w:fldCharType="separate"/>
          </w:r>
          <w:r>
            <w:t>90</w:t>
          </w:r>
          <w:r>
            <w:fldChar w:fldCharType="end"/>
          </w:r>
          <w:r>
            <w:rPr>
              <w:color w:val="auto"/>
            </w:rPr>
            <w:fldChar w:fldCharType="end"/>
          </w:r>
        </w:p>
        <w:p>
          <w:pPr>
            <w:pStyle w:val="15"/>
            <w:tabs>
              <w:tab w:val="right" w:leader="dot" w:pos="8306"/>
            </w:tabs>
          </w:pPr>
          <w:r>
            <w:rPr>
              <w:color w:val="auto"/>
            </w:rPr>
            <w:fldChar w:fldCharType="begin"/>
          </w:r>
          <w:r>
            <w:instrText xml:space="preserve"> HYPERLINK \l _Toc3074 </w:instrText>
          </w:r>
          <w:r>
            <w:fldChar w:fldCharType="separate"/>
          </w:r>
          <w:r>
            <w:rPr>
              <w:rFonts w:hint="eastAsia" w:ascii="Times New Roman" w:hAnsi="Times New Roman"/>
              <w:kern w:val="2"/>
              <w:szCs w:val="32"/>
              <w:lang w:val="en-US" w:eastAsia="zh-CN"/>
            </w:rPr>
            <w:t>第一节 综合交通体系</w:t>
          </w:r>
          <w:r>
            <w:tab/>
          </w:r>
          <w:r>
            <w:fldChar w:fldCharType="begin"/>
          </w:r>
          <w:r>
            <w:instrText xml:space="preserve"> PAGEREF _Toc3074 \h </w:instrText>
          </w:r>
          <w:r>
            <w:fldChar w:fldCharType="separate"/>
          </w:r>
          <w:r>
            <w:t>90</w:t>
          </w:r>
          <w:r>
            <w:fldChar w:fldCharType="end"/>
          </w:r>
          <w:r>
            <w:rPr>
              <w:color w:val="auto"/>
            </w:rPr>
            <w:fldChar w:fldCharType="end"/>
          </w:r>
        </w:p>
        <w:p>
          <w:pPr>
            <w:pStyle w:val="15"/>
            <w:tabs>
              <w:tab w:val="right" w:leader="dot" w:pos="8306"/>
            </w:tabs>
          </w:pPr>
          <w:r>
            <w:rPr>
              <w:color w:val="auto"/>
            </w:rPr>
            <w:fldChar w:fldCharType="begin"/>
          </w:r>
          <w:r>
            <w:instrText xml:space="preserve"> HYPERLINK \l _Toc18726 </w:instrText>
          </w:r>
          <w:r>
            <w:fldChar w:fldCharType="separate"/>
          </w:r>
          <w:r>
            <w:rPr>
              <w:rFonts w:hint="eastAsia" w:ascii="Times New Roman" w:hAnsi="Times New Roman"/>
              <w:kern w:val="2"/>
              <w:szCs w:val="32"/>
              <w:lang w:val="en-US" w:eastAsia="zh-CN"/>
            </w:rPr>
            <w:t>第二节 公共服务设施体系</w:t>
          </w:r>
          <w:r>
            <w:tab/>
          </w:r>
          <w:r>
            <w:fldChar w:fldCharType="begin"/>
          </w:r>
          <w:r>
            <w:instrText xml:space="preserve"> PAGEREF _Toc18726 \h </w:instrText>
          </w:r>
          <w:r>
            <w:fldChar w:fldCharType="separate"/>
          </w:r>
          <w:r>
            <w:t>90</w:t>
          </w:r>
          <w:r>
            <w:fldChar w:fldCharType="end"/>
          </w:r>
          <w:r>
            <w:rPr>
              <w:color w:val="auto"/>
            </w:rPr>
            <w:fldChar w:fldCharType="end"/>
          </w:r>
        </w:p>
        <w:p>
          <w:pPr>
            <w:pStyle w:val="15"/>
            <w:tabs>
              <w:tab w:val="right" w:leader="dot" w:pos="8306"/>
            </w:tabs>
          </w:pPr>
          <w:r>
            <w:rPr>
              <w:color w:val="auto"/>
            </w:rPr>
            <w:fldChar w:fldCharType="begin"/>
          </w:r>
          <w:r>
            <w:instrText xml:space="preserve"> HYPERLINK \l _Toc4511 </w:instrText>
          </w:r>
          <w:r>
            <w:fldChar w:fldCharType="separate"/>
          </w:r>
          <w:r>
            <w:rPr>
              <w:rFonts w:hint="eastAsia" w:ascii="Times New Roman" w:hAnsi="Times New Roman"/>
              <w:kern w:val="2"/>
              <w:szCs w:val="32"/>
              <w:lang w:val="en-US" w:eastAsia="zh-CN"/>
            </w:rPr>
            <w:t>第三节 市政基础设施体系</w:t>
          </w:r>
          <w:r>
            <w:tab/>
          </w:r>
          <w:r>
            <w:fldChar w:fldCharType="begin"/>
          </w:r>
          <w:r>
            <w:instrText xml:space="preserve"> PAGEREF _Toc4511 \h </w:instrText>
          </w:r>
          <w:r>
            <w:fldChar w:fldCharType="separate"/>
          </w:r>
          <w:r>
            <w:t>95</w:t>
          </w:r>
          <w:r>
            <w:fldChar w:fldCharType="end"/>
          </w:r>
          <w:r>
            <w:rPr>
              <w:color w:val="auto"/>
            </w:rPr>
            <w:fldChar w:fldCharType="end"/>
          </w:r>
        </w:p>
        <w:p>
          <w:pPr>
            <w:pStyle w:val="15"/>
            <w:tabs>
              <w:tab w:val="right" w:leader="dot" w:pos="8306"/>
            </w:tabs>
          </w:pPr>
          <w:r>
            <w:rPr>
              <w:color w:val="auto"/>
            </w:rPr>
            <w:fldChar w:fldCharType="begin"/>
          </w:r>
          <w:r>
            <w:instrText xml:space="preserve"> HYPERLINK \l _Toc3192 </w:instrText>
          </w:r>
          <w:r>
            <w:fldChar w:fldCharType="separate"/>
          </w:r>
          <w:r>
            <w:rPr>
              <w:rFonts w:hint="eastAsia" w:ascii="Times New Roman" w:hAnsi="Times New Roman"/>
              <w:kern w:val="2"/>
              <w:szCs w:val="32"/>
              <w:lang w:val="en-US" w:eastAsia="zh-CN"/>
            </w:rPr>
            <w:t>第四节 综合防灾减灾体系</w:t>
          </w:r>
          <w:r>
            <w:tab/>
          </w:r>
          <w:r>
            <w:fldChar w:fldCharType="begin"/>
          </w:r>
          <w:r>
            <w:instrText xml:space="preserve"> PAGEREF _Toc3192 \h </w:instrText>
          </w:r>
          <w:r>
            <w:fldChar w:fldCharType="separate"/>
          </w:r>
          <w:r>
            <w:t>98</w:t>
          </w:r>
          <w:r>
            <w:fldChar w:fldCharType="end"/>
          </w:r>
          <w:r>
            <w:rPr>
              <w:color w:val="auto"/>
            </w:rPr>
            <w:fldChar w:fldCharType="end"/>
          </w:r>
        </w:p>
        <w:p>
          <w:pPr>
            <w:pStyle w:val="14"/>
            <w:tabs>
              <w:tab w:val="right" w:leader="dot" w:pos="8306"/>
            </w:tabs>
          </w:pPr>
          <w:r>
            <w:rPr>
              <w:color w:val="auto"/>
            </w:rPr>
            <w:fldChar w:fldCharType="begin"/>
          </w:r>
          <w:r>
            <w:instrText xml:space="preserve"> HYPERLINK \l _Toc25427 </w:instrText>
          </w:r>
          <w:r>
            <w:fldChar w:fldCharType="separate"/>
          </w:r>
          <w:r>
            <w:rPr>
              <w:rFonts w:hint="eastAsia" w:ascii="Times New Roman" w:hAnsi="Times New Roman" w:eastAsia="Arial Unicode MS"/>
              <w:lang w:val="en-US" w:eastAsia="zh-CN"/>
            </w:rPr>
            <w:t>第十二章 集镇规划</w:t>
          </w:r>
          <w:r>
            <w:tab/>
          </w:r>
          <w:r>
            <w:fldChar w:fldCharType="begin"/>
          </w:r>
          <w:r>
            <w:instrText xml:space="preserve"> PAGEREF _Toc25427 \h </w:instrText>
          </w:r>
          <w:r>
            <w:fldChar w:fldCharType="separate"/>
          </w:r>
          <w:r>
            <w:t>104</w:t>
          </w:r>
          <w:r>
            <w:fldChar w:fldCharType="end"/>
          </w:r>
          <w:r>
            <w:rPr>
              <w:color w:val="auto"/>
            </w:rPr>
            <w:fldChar w:fldCharType="end"/>
          </w:r>
        </w:p>
        <w:p>
          <w:pPr>
            <w:pStyle w:val="15"/>
            <w:tabs>
              <w:tab w:val="right" w:leader="dot" w:pos="8306"/>
            </w:tabs>
          </w:pPr>
          <w:r>
            <w:rPr>
              <w:color w:val="auto"/>
            </w:rPr>
            <w:fldChar w:fldCharType="begin"/>
          </w:r>
          <w:r>
            <w:instrText xml:space="preserve"> HYPERLINK \l _Toc31744 </w:instrText>
          </w:r>
          <w:r>
            <w:fldChar w:fldCharType="separate"/>
          </w:r>
          <w:r>
            <w:rPr>
              <w:rFonts w:hint="eastAsia" w:ascii="Times New Roman" w:hAnsi="Times New Roman"/>
              <w:kern w:val="2"/>
              <w:szCs w:val="32"/>
              <w:lang w:val="en-US" w:eastAsia="zh-CN"/>
            </w:rPr>
            <w:t>第一节 集镇范围</w:t>
          </w:r>
          <w:r>
            <w:tab/>
          </w:r>
          <w:r>
            <w:fldChar w:fldCharType="begin"/>
          </w:r>
          <w:r>
            <w:instrText xml:space="preserve"> PAGEREF _Toc31744 \h </w:instrText>
          </w:r>
          <w:r>
            <w:fldChar w:fldCharType="separate"/>
          </w:r>
          <w:r>
            <w:t>105</w:t>
          </w:r>
          <w:r>
            <w:fldChar w:fldCharType="end"/>
          </w:r>
          <w:r>
            <w:rPr>
              <w:color w:val="auto"/>
            </w:rPr>
            <w:fldChar w:fldCharType="end"/>
          </w:r>
        </w:p>
        <w:p>
          <w:pPr>
            <w:pStyle w:val="15"/>
            <w:tabs>
              <w:tab w:val="right" w:leader="dot" w:pos="8306"/>
            </w:tabs>
          </w:pPr>
          <w:r>
            <w:rPr>
              <w:color w:val="auto"/>
            </w:rPr>
            <w:fldChar w:fldCharType="begin"/>
          </w:r>
          <w:r>
            <w:instrText xml:space="preserve"> HYPERLINK \l _Toc16368 </w:instrText>
          </w:r>
          <w:r>
            <w:fldChar w:fldCharType="separate"/>
          </w:r>
          <w:r>
            <w:rPr>
              <w:rFonts w:hint="eastAsia" w:ascii="Times New Roman" w:hAnsi="Times New Roman"/>
              <w:kern w:val="2"/>
              <w:szCs w:val="32"/>
              <w:lang w:val="en-US" w:eastAsia="zh-CN"/>
            </w:rPr>
            <w:t>第二节  发展规模、方向与空间结构</w:t>
          </w:r>
          <w:r>
            <w:tab/>
          </w:r>
          <w:r>
            <w:fldChar w:fldCharType="begin"/>
          </w:r>
          <w:r>
            <w:instrText xml:space="preserve"> PAGEREF _Toc16368 \h </w:instrText>
          </w:r>
          <w:r>
            <w:fldChar w:fldCharType="separate"/>
          </w:r>
          <w:r>
            <w:t>105</w:t>
          </w:r>
          <w:r>
            <w:fldChar w:fldCharType="end"/>
          </w:r>
          <w:r>
            <w:rPr>
              <w:color w:val="auto"/>
            </w:rPr>
            <w:fldChar w:fldCharType="end"/>
          </w:r>
        </w:p>
        <w:p>
          <w:pPr>
            <w:pStyle w:val="15"/>
            <w:tabs>
              <w:tab w:val="right" w:leader="dot" w:pos="8306"/>
            </w:tabs>
          </w:pPr>
          <w:r>
            <w:rPr>
              <w:color w:val="auto"/>
            </w:rPr>
            <w:fldChar w:fldCharType="begin"/>
          </w:r>
          <w:r>
            <w:instrText xml:space="preserve"> HYPERLINK \l _Toc22825 </w:instrText>
          </w:r>
          <w:r>
            <w:fldChar w:fldCharType="separate"/>
          </w:r>
          <w:r>
            <w:rPr>
              <w:rFonts w:hint="eastAsia" w:ascii="Times New Roman" w:hAnsi="Times New Roman"/>
              <w:kern w:val="2"/>
              <w:szCs w:val="32"/>
              <w:lang w:val="en-US" w:eastAsia="zh-CN"/>
            </w:rPr>
            <w:t>第三节 集镇用地布局规划</w:t>
          </w:r>
          <w:r>
            <w:tab/>
          </w:r>
          <w:r>
            <w:fldChar w:fldCharType="begin"/>
          </w:r>
          <w:r>
            <w:instrText xml:space="preserve"> PAGEREF _Toc22825 \h </w:instrText>
          </w:r>
          <w:r>
            <w:fldChar w:fldCharType="separate"/>
          </w:r>
          <w:r>
            <w:t>109</w:t>
          </w:r>
          <w:r>
            <w:fldChar w:fldCharType="end"/>
          </w:r>
          <w:r>
            <w:rPr>
              <w:color w:val="auto"/>
            </w:rPr>
            <w:fldChar w:fldCharType="end"/>
          </w:r>
        </w:p>
        <w:p>
          <w:pPr>
            <w:pStyle w:val="15"/>
            <w:tabs>
              <w:tab w:val="right" w:leader="dot" w:pos="8306"/>
            </w:tabs>
          </w:pPr>
          <w:r>
            <w:rPr>
              <w:color w:val="auto"/>
            </w:rPr>
            <w:fldChar w:fldCharType="begin"/>
          </w:r>
          <w:r>
            <w:instrText xml:space="preserve"> HYPERLINK \l _Toc29070 </w:instrText>
          </w:r>
          <w:r>
            <w:fldChar w:fldCharType="separate"/>
          </w:r>
          <w:r>
            <w:rPr>
              <w:rFonts w:hint="eastAsia" w:ascii="Times New Roman" w:hAnsi="Times New Roman"/>
              <w:kern w:val="2"/>
              <w:szCs w:val="32"/>
              <w:lang w:val="en-US" w:eastAsia="zh-CN"/>
            </w:rPr>
            <w:t>第四节 集镇道路交通规划</w:t>
          </w:r>
          <w:r>
            <w:tab/>
          </w:r>
          <w:r>
            <w:fldChar w:fldCharType="begin"/>
          </w:r>
          <w:r>
            <w:instrText xml:space="preserve"> PAGEREF _Toc29070 \h </w:instrText>
          </w:r>
          <w:r>
            <w:fldChar w:fldCharType="separate"/>
          </w:r>
          <w:r>
            <w:t>111</w:t>
          </w:r>
          <w:r>
            <w:fldChar w:fldCharType="end"/>
          </w:r>
          <w:r>
            <w:rPr>
              <w:color w:val="auto"/>
            </w:rPr>
            <w:fldChar w:fldCharType="end"/>
          </w:r>
        </w:p>
        <w:p>
          <w:pPr>
            <w:pStyle w:val="15"/>
            <w:tabs>
              <w:tab w:val="right" w:leader="dot" w:pos="8306"/>
            </w:tabs>
          </w:pPr>
          <w:r>
            <w:rPr>
              <w:color w:val="auto"/>
            </w:rPr>
            <w:fldChar w:fldCharType="begin"/>
          </w:r>
          <w:r>
            <w:instrText xml:space="preserve"> HYPERLINK \l _Toc674 </w:instrText>
          </w:r>
          <w:r>
            <w:fldChar w:fldCharType="separate"/>
          </w:r>
          <w:r>
            <w:rPr>
              <w:rFonts w:hint="eastAsia" w:ascii="Times New Roman" w:hAnsi="Times New Roman"/>
              <w:kern w:val="2"/>
              <w:szCs w:val="32"/>
              <w:lang w:val="en-US" w:eastAsia="zh-CN"/>
            </w:rPr>
            <w:t>第五节 集镇公共服务设施规划</w:t>
          </w:r>
          <w:r>
            <w:tab/>
          </w:r>
          <w:r>
            <w:fldChar w:fldCharType="begin"/>
          </w:r>
          <w:r>
            <w:instrText xml:space="preserve"> PAGEREF _Toc674 \h </w:instrText>
          </w:r>
          <w:r>
            <w:fldChar w:fldCharType="separate"/>
          </w:r>
          <w:r>
            <w:t>113</w:t>
          </w:r>
          <w:r>
            <w:fldChar w:fldCharType="end"/>
          </w:r>
          <w:r>
            <w:rPr>
              <w:color w:val="auto"/>
            </w:rPr>
            <w:fldChar w:fldCharType="end"/>
          </w:r>
        </w:p>
        <w:p>
          <w:pPr>
            <w:pStyle w:val="15"/>
            <w:tabs>
              <w:tab w:val="right" w:leader="dot" w:pos="8306"/>
            </w:tabs>
          </w:pPr>
          <w:r>
            <w:rPr>
              <w:color w:val="auto"/>
            </w:rPr>
            <w:fldChar w:fldCharType="begin"/>
          </w:r>
          <w:r>
            <w:instrText xml:space="preserve"> HYPERLINK \l _Toc27979 </w:instrText>
          </w:r>
          <w:r>
            <w:fldChar w:fldCharType="separate"/>
          </w:r>
          <w:r>
            <w:rPr>
              <w:rFonts w:hint="eastAsia" w:ascii="Times New Roman" w:hAnsi="Times New Roman" w:cs="Times New Roman"/>
              <w:kern w:val="2"/>
              <w:szCs w:val="32"/>
              <w:lang w:val="en-US" w:eastAsia="zh-CN"/>
            </w:rPr>
            <w:t>第六节 集镇市政基础设施规划</w:t>
          </w:r>
          <w:r>
            <w:tab/>
          </w:r>
          <w:r>
            <w:fldChar w:fldCharType="begin"/>
          </w:r>
          <w:r>
            <w:instrText xml:space="preserve"> PAGEREF _Toc27979 \h </w:instrText>
          </w:r>
          <w:r>
            <w:fldChar w:fldCharType="separate"/>
          </w:r>
          <w:r>
            <w:t>115</w:t>
          </w:r>
          <w:r>
            <w:fldChar w:fldCharType="end"/>
          </w:r>
          <w:r>
            <w:rPr>
              <w:color w:val="auto"/>
            </w:rPr>
            <w:fldChar w:fldCharType="end"/>
          </w:r>
        </w:p>
        <w:p>
          <w:pPr>
            <w:pStyle w:val="15"/>
            <w:tabs>
              <w:tab w:val="right" w:leader="dot" w:pos="8306"/>
            </w:tabs>
          </w:pPr>
          <w:r>
            <w:rPr>
              <w:color w:val="auto"/>
            </w:rPr>
            <w:fldChar w:fldCharType="begin"/>
          </w:r>
          <w:r>
            <w:instrText xml:space="preserve"> HYPERLINK \l _Toc3472 </w:instrText>
          </w:r>
          <w:r>
            <w:fldChar w:fldCharType="separate"/>
          </w:r>
          <w:r>
            <w:rPr>
              <w:rFonts w:hint="eastAsia" w:ascii="Times New Roman" w:hAnsi="Times New Roman" w:cs="Times New Roman"/>
              <w:kern w:val="2"/>
              <w:szCs w:val="32"/>
              <w:lang w:val="en-US" w:eastAsia="zh-CN"/>
            </w:rPr>
            <w:t>第七节  集镇防灾减灾规划</w:t>
          </w:r>
          <w:r>
            <w:tab/>
          </w:r>
          <w:r>
            <w:fldChar w:fldCharType="begin"/>
          </w:r>
          <w:r>
            <w:instrText xml:space="preserve"> PAGEREF _Toc3472 \h </w:instrText>
          </w:r>
          <w:r>
            <w:fldChar w:fldCharType="separate"/>
          </w:r>
          <w:r>
            <w:t>120</w:t>
          </w:r>
          <w:r>
            <w:fldChar w:fldCharType="end"/>
          </w:r>
          <w:r>
            <w:rPr>
              <w:color w:val="auto"/>
            </w:rPr>
            <w:fldChar w:fldCharType="end"/>
          </w:r>
        </w:p>
        <w:p>
          <w:pPr>
            <w:pStyle w:val="15"/>
            <w:tabs>
              <w:tab w:val="right" w:leader="dot" w:pos="8306"/>
            </w:tabs>
          </w:pPr>
          <w:r>
            <w:rPr>
              <w:color w:val="auto"/>
            </w:rPr>
            <w:fldChar w:fldCharType="begin"/>
          </w:r>
          <w:r>
            <w:instrText xml:space="preserve"> HYPERLINK \l _Toc7732 </w:instrText>
          </w:r>
          <w:r>
            <w:fldChar w:fldCharType="separate"/>
          </w:r>
          <w:r>
            <w:rPr>
              <w:rFonts w:hint="eastAsia" w:ascii="Times New Roman" w:hAnsi="Times New Roman" w:cs="Times New Roman"/>
              <w:kern w:val="2"/>
              <w:szCs w:val="32"/>
              <w:lang w:val="en-US" w:eastAsia="zh-CN"/>
            </w:rPr>
            <w:t>第八节  集镇绿地系统和开敞空间规划</w:t>
          </w:r>
          <w:r>
            <w:tab/>
          </w:r>
          <w:r>
            <w:fldChar w:fldCharType="begin"/>
          </w:r>
          <w:r>
            <w:instrText xml:space="preserve"> PAGEREF _Toc7732 \h </w:instrText>
          </w:r>
          <w:r>
            <w:fldChar w:fldCharType="separate"/>
          </w:r>
          <w:r>
            <w:t>123</w:t>
          </w:r>
          <w:r>
            <w:fldChar w:fldCharType="end"/>
          </w:r>
          <w:r>
            <w:rPr>
              <w:color w:val="auto"/>
            </w:rPr>
            <w:fldChar w:fldCharType="end"/>
          </w:r>
        </w:p>
        <w:p>
          <w:pPr>
            <w:pStyle w:val="15"/>
            <w:tabs>
              <w:tab w:val="right" w:leader="dot" w:pos="8306"/>
            </w:tabs>
          </w:pPr>
          <w:r>
            <w:rPr>
              <w:color w:val="auto"/>
            </w:rPr>
            <w:fldChar w:fldCharType="begin"/>
          </w:r>
          <w:r>
            <w:instrText xml:space="preserve"> HYPERLINK \l _Toc8541 </w:instrText>
          </w:r>
          <w:r>
            <w:fldChar w:fldCharType="separate"/>
          </w:r>
          <w:r>
            <w:rPr>
              <w:rFonts w:hint="eastAsia" w:ascii="Times New Roman" w:hAnsi="Times New Roman" w:cs="Times New Roman"/>
              <w:kern w:val="2"/>
              <w:szCs w:val="32"/>
              <w:lang w:val="en-US" w:eastAsia="zh-CN"/>
            </w:rPr>
            <w:t>第九节 集镇风貌特色管控</w:t>
          </w:r>
          <w:r>
            <w:tab/>
          </w:r>
          <w:r>
            <w:fldChar w:fldCharType="begin"/>
          </w:r>
          <w:r>
            <w:instrText xml:space="preserve"> PAGEREF _Toc8541 \h </w:instrText>
          </w:r>
          <w:r>
            <w:fldChar w:fldCharType="separate"/>
          </w:r>
          <w:r>
            <w:t>125</w:t>
          </w:r>
          <w:r>
            <w:fldChar w:fldCharType="end"/>
          </w:r>
          <w:r>
            <w:rPr>
              <w:color w:val="auto"/>
            </w:rPr>
            <w:fldChar w:fldCharType="end"/>
          </w:r>
        </w:p>
        <w:p>
          <w:pPr>
            <w:pStyle w:val="15"/>
            <w:tabs>
              <w:tab w:val="right" w:leader="dot" w:pos="8306"/>
            </w:tabs>
          </w:pPr>
          <w:r>
            <w:rPr>
              <w:color w:val="auto"/>
            </w:rPr>
            <w:fldChar w:fldCharType="begin"/>
          </w:r>
          <w:r>
            <w:instrText xml:space="preserve"> HYPERLINK \l _Toc7251 </w:instrText>
          </w:r>
          <w:r>
            <w:fldChar w:fldCharType="separate"/>
          </w:r>
          <w:r>
            <w:rPr>
              <w:rFonts w:hint="eastAsia" w:ascii="Times New Roman" w:hAnsi="Times New Roman" w:cs="Times New Roman"/>
              <w:kern w:val="2"/>
              <w:szCs w:val="32"/>
              <w:lang w:val="en-US" w:eastAsia="zh-CN"/>
            </w:rPr>
            <w:t>第十节  住房建设与人居环境整治</w:t>
          </w:r>
          <w:r>
            <w:tab/>
          </w:r>
          <w:r>
            <w:fldChar w:fldCharType="begin"/>
          </w:r>
          <w:r>
            <w:instrText xml:space="preserve"> PAGEREF _Toc7251 \h </w:instrText>
          </w:r>
          <w:r>
            <w:fldChar w:fldCharType="separate"/>
          </w:r>
          <w:r>
            <w:t>126</w:t>
          </w:r>
          <w:r>
            <w:fldChar w:fldCharType="end"/>
          </w:r>
          <w:r>
            <w:rPr>
              <w:color w:val="auto"/>
            </w:rPr>
            <w:fldChar w:fldCharType="end"/>
          </w:r>
        </w:p>
        <w:p>
          <w:pPr>
            <w:pStyle w:val="15"/>
            <w:tabs>
              <w:tab w:val="right" w:leader="dot" w:pos="8306"/>
            </w:tabs>
          </w:pPr>
          <w:r>
            <w:rPr>
              <w:color w:val="auto"/>
            </w:rPr>
            <w:fldChar w:fldCharType="begin"/>
          </w:r>
          <w:r>
            <w:instrText xml:space="preserve"> HYPERLINK \l _Toc29457 </w:instrText>
          </w:r>
          <w:r>
            <w:fldChar w:fldCharType="separate"/>
          </w:r>
          <w:r>
            <w:rPr>
              <w:rFonts w:hint="eastAsia" w:ascii="Times New Roman" w:hAnsi="Times New Roman" w:cs="Times New Roman"/>
              <w:kern w:val="2"/>
              <w:szCs w:val="32"/>
              <w:lang w:val="en-US" w:eastAsia="zh-CN"/>
            </w:rPr>
            <w:t>第十一节 集镇“四线”管控</w:t>
          </w:r>
          <w:r>
            <w:tab/>
          </w:r>
          <w:r>
            <w:fldChar w:fldCharType="begin"/>
          </w:r>
          <w:r>
            <w:instrText xml:space="preserve"> PAGEREF _Toc29457 \h </w:instrText>
          </w:r>
          <w:r>
            <w:fldChar w:fldCharType="separate"/>
          </w:r>
          <w:r>
            <w:t>127</w:t>
          </w:r>
          <w:r>
            <w:fldChar w:fldCharType="end"/>
          </w:r>
          <w:r>
            <w:rPr>
              <w:color w:val="auto"/>
            </w:rPr>
            <w:fldChar w:fldCharType="end"/>
          </w:r>
        </w:p>
        <w:p>
          <w:pPr>
            <w:pStyle w:val="14"/>
            <w:tabs>
              <w:tab w:val="right" w:leader="dot" w:pos="8306"/>
            </w:tabs>
          </w:pPr>
          <w:r>
            <w:rPr>
              <w:color w:val="auto"/>
            </w:rPr>
            <w:fldChar w:fldCharType="begin"/>
          </w:r>
          <w:r>
            <w:instrText xml:space="preserve"> HYPERLINK \l _Toc22826 </w:instrText>
          </w:r>
          <w:r>
            <w:fldChar w:fldCharType="separate"/>
          </w:r>
          <w:r>
            <w:rPr>
              <w:rFonts w:hint="eastAsia" w:ascii="Times New Roman" w:hAnsi="Times New Roman" w:eastAsia="Arial Unicode MS"/>
              <w:lang w:val="en-US" w:eastAsia="zh-CN"/>
            </w:rPr>
            <w:t>第十三章 村庄规划指引</w:t>
          </w:r>
          <w:r>
            <w:tab/>
          </w:r>
          <w:r>
            <w:fldChar w:fldCharType="begin"/>
          </w:r>
          <w:r>
            <w:instrText xml:space="preserve"> PAGEREF _Toc22826 \h </w:instrText>
          </w:r>
          <w:r>
            <w:fldChar w:fldCharType="separate"/>
          </w:r>
          <w:r>
            <w:t>129</w:t>
          </w:r>
          <w:r>
            <w:fldChar w:fldCharType="end"/>
          </w:r>
          <w:r>
            <w:rPr>
              <w:color w:val="auto"/>
            </w:rPr>
            <w:fldChar w:fldCharType="end"/>
          </w:r>
        </w:p>
        <w:p>
          <w:pPr>
            <w:pStyle w:val="15"/>
            <w:tabs>
              <w:tab w:val="right" w:leader="dot" w:pos="8306"/>
            </w:tabs>
          </w:pPr>
          <w:r>
            <w:rPr>
              <w:color w:val="auto"/>
            </w:rPr>
            <w:fldChar w:fldCharType="begin"/>
          </w:r>
          <w:r>
            <w:instrText xml:space="preserve"> HYPERLINK \l _Toc21810 </w:instrText>
          </w:r>
          <w:r>
            <w:fldChar w:fldCharType="separate"/>
          </w:r>
          <w:r>
            <w:rPr>
              <w:rFonts w:hint="eastAsia" w:ascii="Times New Roman" w:hAnsi="Times New Roman"/>
              <w:kern w:val="2"/>
              <w:szCs w:val="32"/>
              <w:lang w:val="en-US" w:eastAsia="zh-CN"/>
            </w:rPr>
            <w:t>第一节 村庄分类与指引</w:t>
          </w:r>
          <w:r>
            <w:tab/>
          </w:r>
          <w:r>
            <w:fldChar w:fldCharType="begin"/>
          </w:r>
          <w:r>
            <w:instrText xml:space="preserve"> PAGEREF _Toc21810 \h </w:instrText>
          </w:r>
          <w:r>
            <w:fldChar w:fldCharType="separate"/>
          </w:r>
          <w:r>
            <w:t>129</w:t>
          </w:r>
          <w:r>
            <w:fldChar w:fldCharType="end"/>
          </w:r>
          <w:r>
            <w:rPr>
              <w:color w:val="auto"/>
            </w:rPr>
            <w:fldChar w:fldCharType="end"/>
          </w:r>
        </w:p>
        <w:p>
          <w:pPr>
            <w:pStyle w:val="15"/>
            <w:tabs>
              <w:tab w:val="right" w:leader="dot" w:pos="8306"/>
            </w:tabs>
          </w:pPr>
          <w:r>
            <w:rPr>
              <w:color w:val="auto"/>
            </w:rPr>
            <w:fldChar w:fldCharType="begin"/>
          </w:r>
          <w:r>
            <w:instrText xml:space="preserve"> HYPERLINK \l _Toc11133 </w:instrText>
          </w:r>
          <w:r>
            <w:fldChar w:fldCharType="separate"/>
          </w:r>
          <w:r>
            <w:rPr>
              <w:rFonts w:hint="eastAsia" w:ascii="Times New Roman" w:hAnsi="Times New Roman"/>
              <w:kern w:val="2"/>
              <w:szCs w:val="32"/>
              <w:lang w:val="en-US" w:eastAsia="zh-CN"/>
            </w:rPr>
            <w:t>第二节 划定村庄规划编制单元</w:t>
          </w:r>
          <w:r>
            <w:tab/>
          </w:r>
          <w:r>
            <w:fldChar w:fldCharType="begin"/>
          </w:r>
          <w:r>
            <w:instrText xml:space="preserve"> PAGEREF _Toc11133 \h </w:instrText>
          </w:r>
          <w:r>
            <w:fldChar w:fldCharType="separate"/>
          </w:r>
          <w:r>
            <w:t>129</w:t>
          </w:r>
          <w:r>
            <w:fldChar w:fldCharType="end"/>
          </w:r>
          <w:r>
            <w:rPr>
              <w:color w:val="auto"/>
            </w:rPr>
            <w:fldChar w:fldCharType="end"/>
          </w:r>
        </w:p>
        <w:p>
          <w:pPr>
            <w:pStyle w:val="15"/>
            <w:tabs>
              <w:tab w:val="right" w:leader="dot" w:pos="8306"/>
            </w:tabs>
          </w:pPr>
          <w:r>
            <w:rPr>
              <w:color w:val="auto"/>
            </w:rPr>
            <w:fldChar w:fldCharType="begin"/>
          </w:r>
          <w:r>
            <w:instrText xml:space="preserve"> HYPERLINK \l _Toc19981 </w:instrText>
          </w:r>
          <w:r>
            <w:fldChar w:fldCharType="separate"/>
          </w:r>
          <w:r>
            <w:rPr>
              <w:rFonts w:hint="eastAsia" w:ascii="Times New Roman" w:hAnsi="Times New Roman"/>
              <w:kern w:val="2"/>
              <w:szCs w:val="32"/>
              <w:lang w:val="en-US" w:eastAsia="zh-CN"/>
            </w:rPr>
            <w:t>第三节 统筹划定全域村庄建设边界</w:t>
          </w:r>
          <w:r>
            <w:tab/>
          </w:r>
          <w:r>
            <w:fldChar w:fldCharType="begin"/>
          </w:r>
          <w:r>
            <w:instrText xml:space="preserve"> PAGEREF _Toc19981 \h </w:instrText>
          </w:r>
          <w:r>
            <w:fldChar w:fldCharType="separate"/>
          </w:r>
          <w:r>
            <w:t>130</w:t>
          </w:r>
          <w:r>
            <w:fldChar w:fldCharType="end"/>
          </w:r>
          <w:r>
            <w:rPr>
              <w:color w:val="auto"/>
            </w:rPr>
            <w:fldChar w:fldCharType="end"/>
          </w:r>
        </w:p>
        <w:p>
          <w:pPr>
            <w:pStyle w:val="14"/>
            <w:tabs>
              <w:tab w:val="right" w:leader="dot" w:pos="8306"/>
            </w:tabs>
          </w:pPr>
          <w:r>
            <w:rPr>
              <w:color w:val="auto"/>
            </w:rPr>
            <w:fldChar w:fldCharType="begin"/>
          </w:r>
          <w:r>
            <w:instrText xml:space="preserve"> HYPERLINK \l _Toc21882 </w:instrText>
          </w:r>
          <w:r>
            <w:fldChar w:fldCharType="separate"/>
          </w:r>
          <w:r>
            <w:rPr>
              <w:rFonts w:hint="eastAsia" w:ascii="黑体" w:hAnsi="黑体" w:eastAsia="黑体" w:cs="黑体"/>
              <w:lang w:val="en-US" w:eastAsia="zh-CN"/>
            </w:rPr>
            <w:t>第十四章  规划传导落实与重大项目布点</w:t>
          </w:r>
          <w:r>
            <w:tab/>
          </w:r>
          <w:r>
            <w:fldChar w:fldCharType="begin"/>
          </w:r>
          <w:r>
            <w:instrText xml:space="preserve"> PAGEREF _Toc21882 \h </w:instrText>
          </w:r>
          <w:r>
            <w:fldChar w:fldCharType="separate"/>
          </w:r>
          <w:r>
            <w:t>132</w:t>
          </w:r>
          <w:r>
            <w:fldChar w:fldCharType="end"/>
          </w:r>
          <w:r>
            <w:rPr>
              <w:color w:val="auto"/>
            </w:rPr>
            <w:fldChar w:fldCharType="end"/>
          </w:r>
        </w:p>
        <w:p>
          <w:pPr>
            <w:pStyle w:val="15"/>
            <w:tabs>
              <w:tab w:val="right" w:leader="dot" w:pos="8306"/>
            </w:tabs>
          </w:pPr>
          <w:r>
            <w:rPr>
              <w:color w:val="auto"/>
            </w:rPr>
            <w:fldChar w:fldCharType="begin"/>
          </w:r>
          <w:r>
            <w:instrText xml:space="preserve"> HYPERLINK \l _Toc5005 </w:instrText>
          </w:r>
          <w:r>
            <w:fldChar w:fldCharType="separate"/>
          </w:r>
          <w:r>
            <w:rPr>
              <w:rFonts w:hint="eastAsia" w:ascii="Times New Roman" w:hAnsi="Times New Roman" w:cs="Times New Roman"/>
              <w:kern w:val="2"/>
              <w:szCs w:val="32"/>
              <w:lang w:val="en-US" w:eastAsia="zh-CN"/>
            </w:rPr>
            <w:t>第一节 落实市县规划</w:t>
          </w:r>
          <w:r>
            <w:tab/>
          </w:r>
          <w:r>
            <w:fldChar w:fldCharType="begin"/>
          </w:r>
          <w:r>
            <w:instrText xml:space="preserve"> PAGEREF _Toc5005 \h </w:instrText>
          </w:r>
          <w:r>
            <w:fldChar w:fldCharType="separate"/>
          </w:r>
          <w:r>
            <w:t>132</w:t>
          </w:r>
          <w:r>
            <w:fldChar w:fldCharType="end"/>
          </w:r>
          <w:r>
            <w:rPr>
              <w:color w:val="auto"/>
            </w:rPr>
            <w:fldChar w:fldCharType="end"/>
          </w:r>
        </w:p>
        <w:p>
          <w:pPr>
            <w:pStyle w:val="15"/>
            <w:tabs>
              <w:tab w:val="right" w:leader="dot" w:pos="8306"/>
            </w:tabs>
          </w:pPr>
          <w:r>
            <w:rPr>
              <w:color w:val="auto"/>
            </w:rPr>
            <w:fldChar w:fldCharType="begin"/>
          </w:r>
          <w:r>
            <w:instrText xml:space="preserve"> HYPERLINK \l _Toc14133 </w:instrText>
          </w:r>
          <w:r>
            <w:fldChar w:fldCharType="separate"/>
          </w:r>
          <w:r>
            <w:rPr>
              <w:rFonts w:hint="eastAsia" w:ascii="Times New Roman" w:hAnsi="Times New Roman" w:cs="Times New Roman"/>
              <w:kern w:val="2"/>
              <w:szCs w:val="32"/>
              <w:lang w:val="en-US" w:eastAsia="zh-CN"/>
            </w:rPr>
            <w:t>第二节 城镇开发边界内详细规划传导</w:t>
          </w:r>
          <w:r>
            <w:tab/>
          </w:r>
          <w:r>
            <w:fldChar w:fldCharType="begin"/>
          </w:r>
          <w:r>
            <w:instrText xml:space="preserve"> PAGEREF _Toc14133 \h </w:instrText>
          </w:r>
          <w:r>
            <w:fldChar w:fldCharType="separate"/>
          </w:r>
          <w:r>
            <w:t>132</w:t>
          </w:r>
          <w:r>
            <w:fldChar w:fldCharType="end"/>
          </w:r>
          <w:r>
            <w:rPr>
              <w:color w:val="auto"/>
            </w:rPr>
            <w:fldChar w:fldCharType="end"/>
          </w:r>
        </w:p>
        <w:p>
          <w:pPr>
            <w:pStyle w:val="15"/>
            <w:tabs>
              <w:tab w:val="right" w:leader="dot" w:pos="8306"/>
            </w:tabs>
          </w:pPr>
          <w:r>
            <w:rPr>
              <w:color w:val="auto"/>
            </w:rPr>
            <w:fldChar w:fldCharType="begin"/>
          </w:r>
          <w:r>
            <w:instrText xml:space="preserve"> HYPERLINK \l _Toc25029 </w:instrText>
          </w:r>
          <w:r>
            <w:fldChar w:fldCharType="separate"/>
          </w:r>
          <w:r>
            <w:rPr>
              <w:rFonts w:hint="eastAsia" w:ascii="Times New Roman" w:hAnsi="Times New Roman" w:cs="Times New Roman"/>
              <w:kern w:val="2"/>
              <w:szCs w:val="32"/>
              <w:lang w:val="en-US" w:eastAsia="zh-CN"/>
            </w:rPr>
            <w:t>第三节 村庄规划传导</w:t>
          </w:r>
          <w:r>
            <w:tab/>
          </w:r>
          <w:r>
            <w:fldChar w:fldCharType="begin"/>
          </w:r>
          <w:r>
            <w:instrText xml:space="preserve"> PAGEREF _Toc25029 \h </w:instrText>
          </w:r>
          <w:r>
            <w:fldChar w:fldCharType="separate"/>
          </w:r>
          <w:r>
            <w:t>133</w:t>
          </w:r>
          <w:r>
            <w:fldChar w:fldCharType="end"/>
          </w:r>
          <w:r>
            <w:rPr>
              <w:color w:val="auto"/>
            </w:rPr>
            <w:fldChar w:fldCharType="end"/>
          </w:r>
        </w:p>
        <w:p>
          <w:pPr>
            <w:pStyle w:val="15"/>
            <w:tabs>
              <w:tab w:val="right" w:leader="dot" w:pos="8306"/>
            </w:tabs>
          </w:pPr>
          <w:r>
            <w:rPr>
              <w:color w:val="auto"/>
            </w:rPr>
            <w:fldChar w:fldCharType="begin"/>
          </w:r>
          <w:r>
            <w:instrText xml:space="preserve"> HYPERLINK \l _Toc21481 </w:instrText>
          </w:r>
          <w:r>
            <w:fldChar w:fldCharType="separate"/>
          </w:r>
          <w:r>
            <w:rPr>
              <w:rFonts w:hint="eastAsia" w:ascii="Times New Roman" w:hAnsi="Times New Roman" w:cs="Times New Roman"/>
              <w:kern w:val="2"/>
              <w:szCs w:val="32"/>
              <w:lang w:val="en-US" w:eastAsia="zh-CN"/>
            </w:rPr>
            <w:t>第四节 乡域重大项目及近期行动计划</w:t>
          </w:r>
          <w:r>
            <w:tab/>
          </w:r>
          <w:r>
            <w:fldChar w:fldCharType="begin"/>
          </w:r>
          <w:r>
            <w:instrText xml:space="preserve"> PAGEREF _Toc21481 \h </w:instrText>
          </w:r>
          <w:r>
            <w:fldChar w:fldCharType="separate"/>
          </w:r>
          <w:r>
            <w:t>134</w:t>
          </w:r>
          <w:r>
            <w:fldChar w:fldCharType="end"/>
          </w:r>
          <w:r>
            <w:rPr>
              <w:color w:val="auto"/>
            </w:rPr>
            <w:fldChar w:fldCharType="end"/>
          </w:r>
        </w:p>
        <w:p>
          <w:pPr>
            <w:pStyle w:val="14"/>
            <w:tabs>
              <w:tab w:val="right" w:leader="dot" w:pos="8306"/>
            </w:tabs>
          </w:pPr>
          <w:r>
            <w:rPr>
              <w:color w:val="auto"/>
            </w:rPr>
            <w:fldChar w:fldCharType="begin"/>
          </w:r>
          <w:r>
            <w:instrText xml:space="preserve"> HYPERLINK \l _Toc20662 </w:instrText>
          </w:r>
          <w:r>
            <w:fldChar w:fldCharType="separate"/>
          </w:r>
          <w:r>
            <w:rPr>
              <w:rFonts w:hint="eastAsia" w:ascii="Times New Roman" w:hAnsi="Times New Roman" w:eastAsia="Arial Unicode MS"/>
              <w:lang w:val="en-US" w:eastAsia="zh-CN"/>
            </w:rPr>
            <w:t>第十五章 规划实施保障</w:t>
          </w:r>
          <w:r>
            <w:tab/>
          </w:r>
          <w:r>
            <w:fldChar w:fldCharType="begin"/>
          </w:r>
          <w:r>
            <w:instrText xml:space="preserve"> PAGEREF _Toc20662 \h </w:instrText>
          </w:r>
          <w:r>
            <w:fldChar w:fldCharType="separate"/>
          </w:r>
          <w:r>
            <w:t>138</w:t>
          </w:r>
          <w:r>
            <w:fldChar w:fldCharType="end"/>
          </w:r>
          <w:r>
            <w:rPr>
              <w:color w:val="auto"/>
            </w:rPr>
            <w:fldChar w:fldCharType="end"/>
          </w:r>
        </w:p>
        <w:p>
          <w:pPr>
            <w:pStyle w:val="14"/>
            <w:keepNext w:val="0"/>
            <w:keepLines w:val="0"/>
            <w:pageBreakBefore w:val="0"/>
            <w:widowControl w:val="0"/>
            <w:tabs>
              <w:tab w:val="right" w:leader="dot" w:pos="8306"/>
            </w:tabs>
            <w:kinsoku/>
            <w:wordWrap/>
            <w:overflowPunct/>
            <w:topLinePunct w:val="0"/>
            <w:autoSpaceDE/>
            <w:autoSpaceDN/>
            <w:bidi w:val="0"/>
            <w:adjustRightInd/>
            <w:snapToGrid/>
            <w:spacing w:line="480" w:lineRule="exact"/>
            <w:textAlignment w:val="auto"/>
            <w:rPr>
              <w:b/>
              <w:color w:val="auto"/>
            </w:rPr>
            <w:sectPr>
              <w:footerReference r:id="rId11"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r>
            <w:rPr>
              <w:color w:val="auto"/>
            </w:rPr>
            <w:fldChar w:fldCharType="end"/>
          </w:r>
        </w:p>
      </w:sdtContent>
    </w:sdt>
    <w:p>
      <w:pPr>
        <w:pStyle w:val="34"/>
        <w:keepNext/>
        <w:keepLines/>
        <w:pageBreakBefore w:val="0"/>
        <w:widowControl w:val="0"/>
        <w:kinsoku/>
        <w:wordWrap/>
        <w:overflowPunct/>
        <w:topLinePunct w:val="0"/>
        <w:autoSpaceDE/>
        <w:autoSpaceDN/>
        <w:bidi w:val="0"/>
        <w:adjustRightInd/>
        <w:snapToGrid/>
        <w:spacing w:before="156" w:beforeLines="50" w:after="156" w:afterLines="50"/>
        <w:ind w:left="0" w:firstLine="0" w:firstLineChars="0"/>
        <w:jc w:val="center"/>
        <w:textAlignment w:val="center"/>
        <w:rPr>
          <w:rFonts w:hint="default" w:ascii="Times New Roman" w:hAnsi="Times New Roman" w:eastAsia="Arial Unicode MS" w:cs="Times New Roman"/>
          <w:color w:val="auto"/>
          <w:lang w:val="en-US" w:eastAsia="zh-CN"/>
        </w:rPr>
      </w:pPr>
      <w:bookmarkStart w:id="13" w:name="_Toc19548"/>
      <w:r>
        <w:rPr>
          <w:rFonts w:hint="eastAsia" w:ascii="Times New Roman" w:hAnsi="Times New Roman" w:eastAsia="Arial Unicode MS" w:cs="Times New Roman"/>
          <w:color w:val="auto"/>
          <w:lang w:val="en-US" w:eastAsia="zh-CN"/>
        </w:rPr>
        <w:t>第 一章 总则</w:t>
      </w:r>
      <w:bookmarkEnd w:id="13"/>
    </w:p>
    <w:p>
      <w:pPr>
        <w:pStyle w:val="33"/>
        <w:spacing w:before="156" w:beforeLines="50" w:after="156" w:afterLines="50" w:line="520" w:lineRule="exact"/>
        <w:rPr>
          <w:rFonts w:hint="eastAsia" w:ascii="Times New Roman" w:hAnsi="Times New Roman"/>
          <w:color w:val="auto"/>
          <w:kern w:val="2"/>
          <w:szCs w:val="32"/>
          <w:lang w:val="en-US" w:eastAsia="zh-CN"/>
        </w:rPr>
      </w:pPr>
      <w:bookmarkStart w:id="14" w:name="_Toc16471"/>
      <w:r>
        <w:rPr>
          <w:rFonts w:hint="eastAsia" w:ascii="Times New Roman" w:hAnsi="Times New Roman"/>
          <w:color w:val="auto"/>
          <w:kern w:val="2"/>
          <w:szCs w:val="32"/>
          <w:lang w:val="en-US" w:eastAsia="zh-CN"/>
        </w:rPr>
        <w:t>第一节 规划背景</w:t>
      </w:r>
      <w:bookmarkEnd w:id="14"/>
    </w:p>
    <w:p>
      <w:pPr>
        <w:pStyle w:val="46"/>
        <w:ind w:firstLine="560"/>
        <w:rPr>
          <w:rFonts w:hint="eastAsia"/>
          <w:highlight w:val="none"/>
        </w:rPr>
      </w:pPr>
      <w:bookmarkStart w:id="15" w:name="_Toc8419"/>
      <w:r>
        <w:rPr>
          <w:rFonts w:hint="eastAsia"/>
          <w:highlight w:val="none"/>
        </w:rPr>
        <w:t>上犹县位于江西省南部，紧邻赣州市中心城区，境内以山区地形为主，生态环境优美，是国家重点生态功能区。</w:t>
      </w:r>
      <w:r>
        <w:rPr>
          <w:rFonts w:hint="eastAsia"/>
          <w:highlight w:val="none"/>
          <w:lang w:eastAsia="zh-CN"/>
        </w:rPr>
        <w:t>新中国成立以来</w:t>
      </w:r>
      <w:r>
        <w:rPr>
          <w:rFonts w:hint="eastAsia"/>
          <w:highlight w:val="none"/>
        </w:rPr>
        <w:t>，上犹县为共和国建设输出了大量生态产品，建于一五时期的上犹江水电站一度是赣州地区重要的电力来源之一。随着中央大力推动脱贫攻坚战略，上犹县于2</w:t>
      </w:r>
      <w:r>
        <w:rPr>
          <w:highlight w:val="none"/>
        </w:rPr>
        <w:t>019</w:t>
      </w:r>
      <w:r>
        <w:rPr>
          <w:rFonts w:hint="eastAsia"/>
          <w:highlight w:val="none"/>
        </w:rPr>
        <w:t>年正式脱贫。近年来，上犹县通过抓重点、补短板，以上犹县工业园为代表的工业产业和以阳明湖、上犹江沿线为代表的旅游产业均有明显提升，城市</w:t>
      </w:r>
      <w:r>
        <w:rPr>
          <w:rFonts w:hint="eastAsia"/>
          <w:highlight w:val="none"/>
          <w:lang w:eastAsia="zh-CN"/>
        </w:rPr>
        <w:t>面</w:t>
      </w:r>
      <w:r>
        <w:rPr>
          <w:rFonts w:hint="eastAsia"/>
          <w:highlight w:val="none"/>
        </w:rPr>
        <w:t>貌显著改善。然而在区域环境不断变化的背景下，上犹也面临着新的发展问题。从外部来看，赣州市大力引进粤港澳大湾区、海西经济区等地的产业转移项目，虹吸效应显著上升，上犹的人口和经济要素向赣州市中心城区转移的趋势越发明显；从内部来看，发展空间受限、资源利用粗放、产业动力不足等不平衡、不充分问题正在严重制约着城市发展水平，也对城市空间治理提出了更高的要求。</w:t>
      </w:r>
    </w:p>
    <w:p>
      <w:pPr>
        <w:pStyle w:val="46"/>
        <w:ind w:firstLine="560"/>
        <w:rPr>
          <w:rFonts w:hint="default" w:eastAsia="仿宋_GB2312"/>
          <w:highlight w:val="none"/>
          <w:lang w:val="en-US" w:eastAsia="zh-CN"/>
        </w:rPr>
      </w:pPr>
      <w:r>
        <w:rPr>
          <w:rFonts w:hint="eastAsia"/>
          <w:highlight w:val="none"/>
          <w:lang w:val="en-US" w:eastAsia="zh-CN"/>
        </w:rPr>
        <w:t>平富乡位于上犹县西部，属于重点生态功能区，是上犹文旅产业发展的重要组成部分。</w:t>
      </w:r>
    </w:p>
    <w:p>
      <w:pPr>
        <w:pStyle w:val="46"/>
        <w:ind w:firstLine="560"/>
        <w:rPr>
          <w:highlight w:val="none"/>
        </w:rPr>
      </w:pPr>
      <w:r>
        <w:rPr>
          <w:highlight w:val="none"/>
        </w:rPr>
        <w:t>2019</w:t>
      </w:r>
      <w:r>
        <w:rPr>
          <w:rFonts w:hint="eastAsia"/>
          <w:highlight w:val="none"/>
        </w:rPr>
        <w:t>年，《</w:t>
      </w:r>
      <w:r>
        <w:rPr>
          <w:rFonts w:hint="eastAsia"/>
          <w:highlight w:val="none"/>
          <w:lang w:eastAsia="zh-CN"/>
        </w:rPr>
        <w:t>中共中央、国务院</w:t>
      </w:r>
      <w:r>
        <w:rPr>
          <w:rFonts w:hint="eastAsia"/>
          <w:highlight w:val="none"/>
        </w:rPr>
        <w:t>关于建立国土空间规划体系并监督实施的若干意见》发布，明确指出：国土空间规划是国家空间发展的指南、可持续发展的空间蓝图，是各类开发保护建设活动的基本依据。建立国土空间规划体系并监督实施，将主体功能区规划、土地利用规划、城乡规划等空间规划融合为统一的国土空间规划，实现</w:t>
      </w:r>
      <w:r>
        <w:rPr>
          <w:highlight w:val="none"/>
        </w:rPr>
        <w:t>“</w:t>
      </w:r>
      <w:r>
        <w:rPr>
          <w:rFonts w:hint="eastAsia"/>
          <w:highlight w:val="none"/>
        </w:rPr>
        <w:t>多规合一</w:t>
      </w:r>
      <w:r>
        <w:rPr>
          <w:highlight w:val="none"/>
        </w:rPr>
        <w:t>”</w:t>
      </w:r>
      <w:r>
        <w:rPr>
          <w:rFonts w:hint="eastAsia"/>
          <w:highlight w:val="none"/>
        </w:rPr>
        <w:t>，强化国土空间规划对各专项规划的指导约束作用，是党中央、国务院作出的重大决策部署。</w:t>
      </w:r>
    </w:p>
    <w:p>
      <w:pPr>
        <w:pStyle w:val="33"/>
        <w:spacing w:before="156" w:beforeLines="50" w:after="156" w:afterLines="50" w:line="520" w:lineRule="exact"/>
        <w:rPr>
          <w:rFonts w:hint="eastAsia" w:ascii="Times New Roman" w:hAnsi="Times New Roman" w:cs="Times New Roman"/>
          <w:bCs w:val="0"/>
          <w:color w:val="auto"/>
          <w:kern w:val="2"/>
          <w:szCs w:val="32"/>
        </w:rPr>
      </w:pPr>
      <w:bookmarkStart w:id="16" w:name="_Toc20895"/>
      <w:r>
        <w:rPr>
          <w:rFonts w:hint="eastAsia" w:ascii="Times New Roman" w:hAnsi="Times New Roman" w:cs="Times New Roman"/>
          <w:bCs w:val="0"/>
          <w:color w:val="auto"/>
          <w:kern w:val="2"/>
          <w:szCs w:val="32"/>
        </w:rPr>
        <w:t>第二节 编制目的</w:t>
      </w:r>
      <w:bookmarkEnd w:id="15"/>
      <w:bookmarkEnd w:id="16"/>
    </w:p>
    <w:p>
      <w:pPr>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outlineLvl w:val="9"/>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为贯彻《中共中央、国务院关于建立国土空间规划体系并监督实施的若干意见》，推进上犹县平富乡国土空间有序开发、分类保护和综合整治，构建国土空间新格局，优化提升资源配置和利用效率，促进国土空间治理体系和治理能力现代化，编制《上犹县平富乡国土空间总体规划》（2021-2035年）（以下简称“本规划”）。</w:t>
      </w:r>
    </w:p>
    <w:p>
      <w:pPr>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outlineLvl w:val="9"/>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本规划是为实现第二个百年奋斗目标而制定的发展蓝图和战略部署，是落实新发展理念，实施高效能空间治理，促进高质量发展和高品质生活的空间政策，是上犹县国土空间总体规划的细化和落实，是当地人民政府对本行政区域国土空间保护开发做出的具体安排，是编制相关详细规划、专项规划和实施国土空间用途管制的基本依据。</w:t>
      </w:r>
    </w:p>
    <w:p>
      <w:pPr>
        <w:pStyle w:val="33"/>
        <w:spacing w:before="156" w:beforeLines="50" w:after="156" w:afterLines="50" w:line="520" w:lineRule="exact"/>
        <w:rPr>
          <w:rFonts w:hint="eastAsia" w:ascii="Times New Roman" w:hAnsi="Times New Roman" w:cs="Times New Roman"/>
          <w:bCs w:val="0"/>
          <w:color w:val="auto"/>
          <w:kern w:val="2"/>
          <w:szCs w:val="32"/>
        </w:rPr>
      </w:pPr>
      <w:bookmarkStart w:id="17" w:name="_Toc12497"/>
      <w:bookmarkStart w:id="18" w:name="_Toc7078"/>
      <w:r>
        <w:rPr>
          <w:rFonts w:hint="eastAsia" w:ascii="Times New Roman" w:hAnsi="Times New Roman" w:cs="Times New Roman"/>
          <w:bCs w:val="0"/>
          <w:color w:val="auto"/>
          <w:kern w:val="2"/>
          <w:szCs w:val="32"/>
        </w:rPr>
        <w:t>第三节 指导思想</w:t>
      </w:r>
      <w:bookmarkEnd w:id="17"/>
      <w:bookmarkEnd w:id="18"/>
    </w:p>
    <w:p>
      <w:pPr>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outlineLvl w:val="9"/>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以习近平新时代中国特色社会主义思想为指导，全面贯彻党的二</w:t>
      </w:r>
    </w:p>
    <w:p>
      <w:pPr>
        <w:keepNext w:val="0"/>
        <w:keepLines w:val="0"/>
        <w:pageBreakBefore w:val="0"/>
        <w:widowControl w:val="0"/>
        <w:kinsoku/>
        <w:wordWrap/>
        <w:overflowPunct/>
        <w:topLinePunct w:val="0"/>
        <w:autoSpaceDE/>
        <w:autoSpaceDN/>
        <w:bidi w:val="0"/>
        <w:adjustRightInd/>
        <w:snapToGrid/>
        <w:spacing w:beforeLines="0" w:line="480" w:lineRule="exact"/>
        <w:ind w:left="0" w:leftChars="0" w:firstLine="0" w:firstLineChars="0"/>
        <w:textAlignment w:val="auto"/>
        <w:outlineLvl w:val="9"/>
        <w:rPr>
          <w:rFonts w:hint="eastAsia" w:ascii="仿宋" w:hAnsi="仿宋" w:eastAsia="仿宋" w:cs="仿宋"/>
          <w:b w:val="0"/>
          <w:bCs/>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十大及党的十九大精神，统筹推进“五位一体”总体布局，协调推进“四个全面”战略布局，牢固树立创新、协调、绿色、开放、共享的新发展理念，坚持以人民为中心，以实施乡村振兴、区域协同、可持续发展等战略为重点，科学布局生产空间、生活空间、生态空间，探索内涵式、集约式、绿色化的高质量发展路径。坚持新发展理念，坚持高质量发展，坚持以人民为中心，着眼于立足本底自然和人文禀赋及发展特征，突出地域特点、文化特色、时代特征，增强规划的科学性、权威性和实施性；着眼于践行“绿水青山就是金山银山”的生态优先理念，统筹国土空间开发保护格局和自然资源管理，科学控制国土开发强度；着眼于打造一流人文环境和营商环境，改善城乡人居环境质量，提升公共服务和基础设施水平，提升文化内涵，努力把平富乡建设成为上犹县美丽宜居的“生态核心”，为建设美丽上犹作出新贡献。</w:t>
      </w:r>
    </w:p>
    <w:p>
      <w:pPr>
        <w:pStyle w:val="33"/>
        <w:spacing w:before="156" w:beforeLines="50" w:after="156" w:afterLines="50" w:line="520" w:lineRule="exact"/>
        <w:rPr>
          <w:rFonts w:hint="eastAsia" w:ascii="Times New Roman" w:hAnsi="Times New Roman" w:cs="Times New Roman"/>
          <w:bCs w:val="0"/>
          <w:color w:val="auto"/>
          <w:kern w:val="2"/>
          <w:szCs w:val="32"/>
        </w:rPr>
      </w:pPr>
      <w:bookmarkStart w:id="19" w:name="_Toc30373"/>
      <w:bookmarkStart w:id="20" w:name="_Toc2570"/>
      <w:r>
        <w:rPr>
          <w:rFonts w:hint="eastAsia" w:ascii="Times New Roman" w:hAnsi="Times New Roman" w:cs="Times New Roman"/>
          <w:bCs w:val="0"/>
          <w:color w:val="auto"/>
          <w:kern w:val="2"/>
          <w:szCs w:val="32"/>
        </w:rPr>
        <w:t>第四节 规划原则</w:t>
      </w:r>
      <w:bookmarkEnd w:id="19"/>
      <w:bookmarkEnd w:id="20"/>
    </w:p>
    <w:p>
      <w:pPr>
        <w:pStyle w:val="36"/>
        <w:ind w:firstLine="562"/>
        <w:jc w:val="both"/>
        <w:rPr>
          <w:rFonts w:hint="eastAsia" w:ascii="Times New Roman" w:hAnsi="Times New Roman" w:eastAsia="仿宋_GB2312" w:cs="Times New Roman"/>
          <w:bCs w:val="0"/>
          <w:color w:val="auto"/>
          <w:szCs w:val="32"/>
          <w:lang w:val="en-US" w:eastAsia="zh-CN"/>
        </w:rPr>
      </w:pPr>
      <w:r>
        <w:rPr>
          <w:rFonts w:hint="eastAsia" w:ascii="Times New Roman" w:hAnsi="Times New Roman" w:eastAsia="仿宋_GB2312" w:cs="Times New Roman"/>
          <w:bCs w:val="0"/>
          <w:color w:val="auto"/>
          <w:szCs w:val="32"/>
          <w:lang w:val="en-US" w:eastAsia="zh-CN"/>
        </w:rPr>
        <w:t>一、底线管控，节约集约。</w:t>
      </w:r>
    </w:p>
    <w:p>
      <w:pPr>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outlineLvl w:val="9"/>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落实上犹县国土空间总体规划确定的三条控制线与规划分区管控要求，严格土地用途管制。严格保护永久基本农田，严守生态底线，控制非农业建设占用农用地，合理安排设施农用地，提高土地节约集约利用水平。</w:t>
      </w:r>
    </w:p>
    <w:p>
      <w:pPr>
        <w:pStyle w:val="36"/>
        <w:ind w:firstLine="562"/>
        <w:jc w:val="both"/>
        <w:rPr>
          <w:rFonts w:hint="eastAsia" w:ascii="Times New Roman" w:hAnsi="Times New Roman" w:eastAsia="仿宋_GB2312" w:cs="Times New Roman"/>
          <w:bCs w:val="0"/>
          <w:color w:val="auto"/>
          <w:szCs w:val="32"/>
          <w:lang w:val="en-US" w:eastAsia="zh-CN"/>
        </w:rPr>
      </w:pPr>
      <w:r>
        <w:rPr>
          <w:rFonts w:hint="eastAsia" w:ascii="Times New Roman" w:hAnsi="Times New Roman" w:eastAsia="仿宋_GB2312" w:cs="Times New Roman"/>
          <w:bCs w:val="0"/>
          <w:color w:val="auto"/>
          <w:szCs w:val="32"/>
          <w:lang w:val="en-US" w:eastAsia="zh-CN"/>
        </w:rPr>
        <w:t>二、以人为本，品质提升。</w:t>
      </w:r>
    </w:p>
    <w:p>
      <w:pPr>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outlineLvl w:val="9"/>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以居民需求为中心，统筹优化空间和资源配置，完善基础设施和公共服务设施，构建社区生活圈，科学合理规划乡村道路、河道堤防、排水管网等内容，提升人居环境品质。</w:t>
      </w:r>
    </w:p>
    <w:p>
      <w:pPr>
        <w:pStyle w:val="36"/>
        <w:ind w:firstLine="562"/>
        <w:jc w:val="both"/>
        <w:rPr>
          <w:rFonts w:hint="eastAsia" w:ascii="Times New Roman" w:hAnsi="Times New Roman" w:eastAsia="仿宋_GB2312" w:cs="Times New Roman"/>
          <w:bCs w:val="0"/>
          <w:color w:val="auto"/>
          <w:szCs w:val="32"/>
          <w:lang w:val="en-US" w:eastAsia="zh-CN"/>
        </w:rPr>
      </w:pPr>
      <w:r>
        <w:rPr>
          <w:rFonts w:hint="eastAsia" w:ascii="Times New Roman" w:hAnsi="Times New Roman" w:eastAsia="仿宋_GB2312" w:cs="Times New Roman"/>
          <w:bCs w:val="0"/>
          <w:color w:val="auto"/>
          <w:szCs w:val="32"/>
          <w:lang w:val="en-US" w:eastAsia="zh-CN"/>
        </w:rPr>
        <w:t>三、上下结合，强化实施。</w:t>
      </w:r>
    </w:p>
    <w:p>
      <w:pPr>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outlineLvl w:val="9"/>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落实市县规划下达的底线指标，并将本级约束性、预期性指标分解至村庄。加强县乡统筹，强化对村庄规划编制指引，明确村庄分类与设施配套。</w:t>
      </w:r>
    </w:p>
    <w:p>
      <w:pPr>
        <w:pStyle w:val="36"/>
        <w:ind w:firstLine="562"/>
        <w:jc w:val="both"/>
        <w:rPr>
          <w:rFonts w:hint="eastAsia" w:ascii="Times New Roman" w:hAnsi="Times New Roman" w:eastAsia="仿宋_GB2312" w:cs="Times New Roman"/>
          <w:bCs w:val="0"/>
          <w:color w:val="auto"/>
          <w:szCs w:val="32"/>
          <w:lang w:val="en-US" w:eastAsia="zh-CN"/>
        </w:rPr>
      </w:pPr>
      <w:r>
        <w:rPr>
          <w:rFonts w:hint="eastAsia" w:ascii="Times New Roman" w:hAnsi="Times New Roman" w:eastAsia="仿宋_GB2312" w:cs="Times New Roman"/>
          <w:bCs w:val="0"/>
          <w:color w:val="auto"/>
          <w:szCs w:val="32"/>
          <w:lang w:val="en-US" w:eastAsia="zh-CN"/>
        </w:rPr>
        <w:t>四、因地制宜，突出特色。</w:t>
      </w:r>
    </w:p>
    <w:p>
      <w:pPr>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outlineLvl w:val="9"/>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以乡镇主体功能区定位为导向，结合乡镇自然和历史文化资源，塑造城乡特色风貌，建设有文化、有记忆的美丽乡镇。</w:t>
      </w:r>
    </w:p>
    <w:p>
      <w:pPr>
        <w:pStyle w:val="33"/>
        <w:spacing w:before="156" w:beforeLines="50" w:after="156" w:afterLines="50" w:line="520" w:lineRule="exact"/>
        <w:rPr>
          <w:rFonts w:hint="eastAsia" w:ascii="Times New Roman" w:hAnsi="Times New Roman" w:cs="Times New Roman"/>
          <w:bCs w:val="0"/>
          <w:color w:val="auto"/>
          <w:kern w:val="2"/>
          <w:szCs w:val="32"/>
        </w:rPr>
      </w:pPr>
      <w:bookmarkStart w:id="21" w:name="_Toc18981"/>
      <w:bookmarkStart w:id="22" w:name="_Toc22530"/>
      <w:r>
        <w:rPr>
          <w:rFonts w:hint="eastAsia" w:ascii="Times New Roman" w:hAnsi="Times New Roman" w:cs="Times New Roman"/>
          <w:bCs w:val="0"/>
          <w:color w:val="auto"/>
          <w:kern w:val="2"/>
          <w:szCs w:val="32"/>
        </w:rPr>
        <w:t>第五节 规划依据</w:t>
      </w:r>
      <w:bookmarkEnd w:id="21"/>
      <w:bookmarkEnd w:id="22"/>
    </w:p>
    <w:p>
      <w:pPr>
        <w:spacing w:line="520" w:lineRule="exact"/>
        <w:ind w:firstLine="600"/>
        <w:rPr>
          <w:rFonts w:ascii="Times New Roman" w:hAnsi="Times New Roman" w:eastAsia="仿宋_GB2312"/>
          <w:color w:val="auto"/>
          <w:sz w:val="30"/>
          <w:highlight w:val="none"/>
        </w:rPr>
      </w:pPr>
      <w:bookmarkStart w:id="23" w:name="_Toc8270"/>
      <w:r>
        <w:rPr>
          <w:rFonts w:hint="eastAsia" w:ascii="Times New Roman" w:hAnsi="Times New Roman" w:eastAsia="仿宋_GB2312"/>
          <w:color w:val="auto"/>
          <w:sz w:val="30"/>
          <w:highlight w:val="none"/>
        </w:rPr>
        <w:t>一、法律法规</w:t>
      </w:r>
    </w:p>
    <w:p>
      <w:pPr>
        <w:snapToGrid w:val="0"/>
        <w:spacing w:line="480" w:lineRule="exact"/>
        <w:ind w:firstLine="560"/>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t>（1）《中华人民共和国土地管理法》（2019年修正）</w:t>
      </w:r>
    </w:p>
    <w:p>
      <w:pPr>
        <w:snapToGrid w:val="0"/>
        <w:spacing w:line="480" w:lineRule="exact"/>
        <w:ind w:firstLine="560"/>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t>（2）《中华人民共和国城乡规划法》（2019年修正）</w:t>
      </w:r>
    </w:p>
    <w:p>
      <w:pPr>
        <w:snapToGrid w:val="0"/>
        <w:spacing w:line="480" w:lineRule="exact"/>
        <w:ind w:firstLine="560"/>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t>（3）《中华人民共和国环境保护法》（2014年修订）</w:t>
      </w:r>
    </w:p>
    <w:p>
      <w:pPr>
        <w:snapToGrid w:val="0"/>
        <w:spacing w:line="480" w:lineRule="exact"/>
        <w:ind w:firstLine="560"/>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t>（4）《中华人民共和国文物保护法》（2017年修正）</w:t>
      </w:r>
    </w:p>
    <w:p>
      <w:pPr>
        <w:snapToGrid w:val="0"/>
        <w:spacing w:line="480" w:lineRule="exact"/>
        <w:ind w:firstLine="560"/>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t>（5）《中华人民共和国森林法》（2019年修订）</w:t>
      </w:r>
    </w:p>
    <w:p>
      <w:pPr>
        <w:snapToGrid w:val="0"/>
        <w:spacing w:line="480" w:lineRule="exact"/>
        <w:ind w:firstLine="560"/>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t>（6）《中华人民共和国湿地保护法》（2021年颁布）</w:t>
      </w:r>
    </w:p>
    <w:p>
      <w:pPr>
        <w:snapToGrid w:val="0"/>
        <w:spacing w:line="480" w:lineRule="exact"/>
        <w:ind w:firstLine="560"/>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t>（7）《中华人民共和国矿产资源法》（2009年修正）</w:t>
      </w:r>
    </w:p>
    <w:p>
      <w:pPr>
        <w:snapToGrid w:val="0"/>
        <w:spacing w:line="480" w:lineRule="exact"/>
        <w:ind w:firstLine="560"/>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t>（8）《中华人民共和国水土保持法》（2010年修订）</w:t>
      </w:r>
    </w:p>
    <w:p>
      <w:pPr>
        <w:snapToGrid w:val="0"/>
        <w:spacing w:line="480" w:lineRule="exact"/>
        <w:ind w:firstLine="560"/>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t>（9）《中华人民共和国粮食安全保障法》（2023年）</w:t>
      </w:r>
    </w:p>
    <w:p>
      <w:pPr>
        <w:snapToGrid w:val="0"/>
        <w:spacing w:line="480" w:lineRule="exact"/>
        <w:ind w:firstLine="560"/>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t>（10）《中华人民共和国土地管理法实施条例》（2021年修订）</w:t>
      </w:r>
    </w:p>
    <w:p>
      <w:pPr>
        <w:snapToGrid w:val="0"/>
        <w:spacing w:line="480" w:lineRule="exact"/>
        <w:ind w:firstLine="560"/>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t>（11）</w:t>
      </w:r>
      <w:r>
        <w:rPr>
          <w:rFonts w:hint="eastAsia" w:ascii="Times New Roman" w:hAnsi="Times New Roman" w:eastAsia="仿宋_GB2312" w:cs="Times New Roman"/>
          <w:bCs/>
          <w:color w:val="000000" w:themeColor="text1"/>
          <w:sz w:val="28"/>
          <w:szCs w:val="28"/>
          <w:highlight w:val="none"/>
          <w:lang w:val="en-US" w:eastAsia="zh-CN"/>
          <w14:textFill>
            <w14:solidFill>
              <w14:schemeClr w14:val="tx1"/>
            </w14:solidFill>
          </w14:textFill>
        </w:rPr>
        <w:t>《中华人民共和国基本农田保护条例》（2011年修订）</w:t>
      </w:r>
    </w:p>
    <w:p>
      <w:pPr>
        <w:snapToGrid w:val="0"/>
        <w:spacing w:line="480" w:lineRule="exact"/>
        <w:ind w:firstLine="560"/>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t>（12）《中华人民共和国自然保护区条例》（2017年修订）</w:t>
      </w:r>
    </w:p>
    <w:p>
      <w:pPr>
        <w:snapToGrid w:val="0"/>
        <w:spacing w:line="480" w:lineRule="exact"/>
        <w:ind w:firstLine="560"/>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t>（13）《城市黄线管理办法》（2011年修正）</w:t>
      </w:r>
    </w:p>
    <w:p>
      <w:pPr>
        <w:snapToGrid w:val="0"/>
        <w:spacing w:line="480" w:lineRule="exact"/>
        <w:ind w:firstLine="560"/>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t>（14）《城市绿线管理办法》（2011年修正）</w:t>
      </w:r>
    </w:p>
    <w:p>
      <w:pPr>
        <w:snapToGrid w:val="0"/>
        <w:spacing w:line="480" w:lineRule="exact"/>
        <w:ind w:firstLine="560"/>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t>（15）《城市蓝线管理办法》（2011年修正）</w:t>
      </w:r>
    </w:p>
    <w:p>
      <w:pPr>
        <w:snapToGrid w:val="0"/>
        <w:spacing w:line="480" w:lineRule="exact"/>
        <w:ind w:firstLine="560"/>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t>（16）《城市紫线管理办法》（2011年修正）</w:t>
      </w:r>
    </w:p>
    <w:p>
      <w:pPr>
        <w:snapToGrid w:val="0"/>
        <w:spacing w:line="480" w:lineRule="exact"/>
        <w:ind w:firstLine="560"/>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t>（17）《江西省实施〈中华人民共和国土地管理法〉办法》（2022年修订）</w:t>
      </w:r>
    </w:p>
    <w:p>
      <w:pPr>
        <w:spacing w:line="520" w:lineRule="exact"/>
        <w:ind w:firstLine="600"/>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二、政策文件</w:t>
      </w:r>
    </w:p>
    <w:p>
      <w:pPr>
        <w:keepNext w:val="0"/>
        <w:keepLines w:val="0"/>
        <w:pageBreakBefore w:val="0"/>
        <w:widowControl w:val="0"/>
        <w:kinsoku/>
        <w:wordWrap/>
        <w:overflowPunct/>
        <w:topLinePunct w:val="0"/>
        <w:autoSpaceDE/>
        <w:autoSpaceDN/>
        <w:bidi w:val="0"/>
        <w:adjustRightInd/>
        <w:snapToGrid w:val="0"/>
        <w:spacing w:line="480" w:lineRule="exact"/>
        <w:ind w:firstLine="560"/>
        <w:textAlignment w:val="auto"/>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t>中国共产党第二十届中央委员会第三次全体会议《中共中央关于进一步全面深化改革、推进中国式现代化的决定》</w:t>
      </w:r>
    </w:p>
    <w:p>
      <w:pPr>
        <w:snapToGrid w:val="0"/>
        <w:spacing w:line="480" w:lineRule="exact"/>
        <w:ind w:firstLine="560"/>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t>（2）中共中央、国务院《关于建立国土空间规划体系并监督实施的若干意见》（中发〔2019〕18号）</w:t>
      </w:r>
    </w:p>
    <w:p>
      <w:pPr>
        <w:snapToGrid w:val="0"/>
        <w:spacing w:line="480" w:lineRule="exact"/>
        <w:ind w:firstLine="560"/>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t>（3）中共中央办公厅、国务院办公厅《关于在国土空间规划中统筹划定落实三条控制线的指导意见》（厅字〔2019〕48号）</w:t>
      </w:r>
    </w:p>
    <w:p>
      <w:pPr>
        <w:snapToGrid w:val="0"/>
        <w:spacing w:line="480" w:lineRule="exact"/>
        <w:ind w:firstLine="560"/>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t>（4）中共中央办公厅、国务院办公厅《关于建立以国家公园为主体的自然保护地体系的指导意见》（中办发〔2019〕42号）</w:t>
      </w:r>
    </w:p>
    <w:p>
      <w:pPr>
        <w:snapToGrid w:val="0"/>
        <w:spacing w:line="480" w:lineRule="exact"/>
        <w:ind w:firstLine="560"/>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t>（5）自然资源部《关于全面开展国土空间规划工作的通知》（自然资发〔2019〕87号）</w:t>
      </w:r>
    </w:p>
    <w:p>
      <w:pPr>
        <w:snapToGrid w:val="0"/>
        <w:spacing w:line="480" w:lineRule="exact"/>
        <w:ind w:firstLine="560"/>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t>（6）自然资源部《关于在全国开展“三区三线”划定的函》（自然资函〔2022〕47号）</w:t>
      </w:r>
    </w:p>
    <w:p>
      <w:pPr>
        <w:snapToGrid w:val="0"/>
        <w:spacing w:line="480" w:lineRule="exact"/>
        <w:ind w:firstLine="560"/>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t>（7）自然资源部《关于进一步加强国土空间规划编制和实施管理的通知》（自然资发〔2022〕186号）</w:t>
      </w:r>
    </w:p>
    <w:p>
      <w:pPr>
        <w:snapToGrid w:val="0"/>
        <w:spacing w:line="480" w:lineRule="exact"/>
        <w:ind w:firstLine="560"/>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t>（8）中共江西省委、江西省人民政府《关于建立全省国土空间规划体系并监督实施的意见》（赣发〔2019〕23号）</w:t>
      </w:r>
    </w:p>
    <w:p>
      <w:pPr>
        <w:snapToGrid w:val="0"/>
        <w:spacing w:line="480" w:lineRule="exact"/>
        <w:ind w:firstLine="560"/>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t>（9）《自然资源部办公厅关于北京等省（区、市）启用“三区三线”划定成果作为报批建设项目用地用海依据的函》（自然资办函〔2022〕2207号）</w:t>
      </w:r>
    </w:p>
    <w:p>
      <w:pPr>
        <w:snapToGrid w:val="0"/>
        <w:spacing w:line="480" w:lineRule="exact"/>
        <w:ind w:firstLine="560"/>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t>（10）《自然资源部关于印发〈国土空间调查、规划、用途管制用地用海分类指南〉的通知》（自然资发〔2023〕234号）</w:t>
      </w:r>
    </w:p>
    <w:p>
      <w:pPr>
        <w:snapToGrid w:val="0"/>
        <w:spacing w:line="480" w:lineRule="exact"/>
        <w:ind w:firstLine="560"/>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t>（11）《自然资源部办公厅关于印发县级和乡镇级国土空间规划数据库规范的函》自然资办函〔2023〕1003号</w:t>
      </w:r>
    </w:p>
    <w:p>
      <w:pPr>
        <w:snapToGrid w:val="0"/>
        <w:spacing w:line="480" w:lineRule="exact"/>
        <w:ind w:firstLine="560"/>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t>（12）江西省委办公厅、江西省人民政府办公厅《关于在国土空间规划中统筹划定落实三条控制线的实施意见》（赣办发〔2020〕12号）</w:t>
      </w:r>
    </w:p>
    <w:p>
      <w:pPr>
        <w:snapToGrid w:val="0"/>
        <w:spacing w:line="480" w:lineRule="exact"/>
        <w:ind w:firstLine="560"/>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t>（13）《江西省城市绿线管理规定》（赣建字〔2001〕8号）</w:t>
      </w:r>
    </w:p>
    <w:p>
      <w:pPr>
        <w:snapToGrid w:val="0"/>
        <w:spacing w:line="480" w:lineRule="exact"/>
        <w:ind w:firstLine="560"/>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t>（14）江西省自然资源厅办公室《关于加快推行通则式村庄规划工作的通知》（赣自然资办函〔2022〕332号）</w:t>
      </w:r>
    </w:p>
    <w:p>
      <w:pPr>
        <w:snapToGrid w:val="0"/>
        <w:spacing w:line="480" w:lineRule="exact"/>
        <w:ind w:firstLine="560"/>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t>（15）江西省自然资源厅《关于在乡镇国土空间总体规划中落实“通则式”规划管理规定的通知》（赣自然资函〔2024〕35号）</w:t>
      </w:r>
    </w:p>
    <w:p>
      <w:pPr>
        <w:keepNext/>
        <w:keepLines w:val="0"/>
        <w:pageBreakBefore w:val="0"/>
        <w:widowControl w:val="0"/>
        <w:kinsoku/>
        <w:wordWrap/>
        <w:overflowPunct/>
        <w:topLinePunct w:val="0"/>
        <w:autoSpaceDE/>
        <w:autoSpaceDN/>
        <w:bidi w:val="0"/>
        <w:adjustRightInd/>
        <w:snapToGrid/>
        <w:spacing w:line="520" w:lineRule="exact"/>
        <w:ind w:firstLine="600"/>
        <w:textAlignment w:val="auto"/>
        <w:rPr>
          <w:rFonts w:ascii="Times New Roman" w:hAnsi="Times New Roman" w:eastAsia="仿宋_GB2312"/>
          <w:color w:val="auto"/>
          <w:sz w:val="30"/>
          <w:highlight w:val="none"/>
        </w:rPr>
      </w:pPr>
      <w:r>
        <w:rPr>
          <w:rFonts w:hint="eastAsia" w:ascii="Times New Roman" w:hAnsi="Times New Roman" w:eastAsia="仿宋_GB2312"/>
          <w:color w:val="auto"/>
          <w:sz w:val="30"/>
          <w:highlight w:val="none"/>
        </w:rPr>
        <w:t>三、相关规划</w:t>
      </w:r>
    </w:p>
    <w:p>
      <w:pPr>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outlineLvl w:val="9"/>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（1）《长江经济带发展规划纲要》（2016年印发）</w:t>
      </w:r>
    </w:p>
    <w:p>
      <w:pPr>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outlineLvl w:val="9"/>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（2）《江西省国土空间规划（2021—2035年）》 </w:t>
      </w:r>
    </w:p>
    <w:p>
      <w:pPr>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outlineLvl w:val="9"/>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（3）《赣州市国土空间总体规划（2021—2035年）》</w:t>
      </w:r>
    </w:p>
    <w:p>
      <w:pPr>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outlineLvl w:val="9"/>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（4）《赣州市国民经济和社会发展第十四个五年规划和二〇三五年远景目标纲要》</w:t>
      </w:r>
    </w:p>
    <w:p>
      <w:pPr>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outlineLvl w:val="9"/>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（5）《上犹县国民经济和社会发展第十四个五年规划和二O三五年远景目标纲要》</w:t>
      </w:r>
    </w:p>
    <w:p>
      <w:pPr>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outlineLvl w:val="9"/>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（6）《上犹县国土空间总体规划（2021—2035年）》</w:t>
      </w:r>
    </w:p>
    <w:p>
      <w:pPr>
        <w:keepNext/>
        <w:keepLines w:val="0"/>
        <w:pageBreakBefore w:val="0"/>
        <w:widowControl w:val="0"/>
        <w:kinsoku/>
        <w:wordWrap/>
        <w:overflowPunct/>
        <w:topLinePunct w:val="0"/>
        <w:autoSpaceDE/>
        <w:autoSpaceDN/>
        <w:bidi w:val="0"/>
        <w:adjustRightInd/>
        <w:snapToGrid/>
        <w:spacing w:line="520" w:lineRule="exact"/>
        <w:ind w:firstLine="600"/>
        <w:textAlignment w:val="auto"/>
        <w:rPr>
          <w:rFonts w:hint="eastAsia" w:ascii="Times New Roman" w:hAnsi="Times New Roman" w:eastAsia="仿宋_GB2312"/>
          <w:color w:val="auto"/>
          <w:sz w:val="30"/>
          <w:highlight w:val="none"/>
          <w:lang w:val="en-US" w:eastAsia="zh-CN"/>
        </w:rPr>
      </w:pPr>
      <w:r>
        <w:rPr>
          <w:rFonts w:hint="eastAsia" w:ascii="Times New Roman" w:hAnsi="Times New Roman" w:eastAsia="仿宋_GB2312"/>
          <w:color w:val="auto"/>
          <w:sz w:val="30"/>
          <w:highlight w:val="none"/>
          <w:lang w:val="en-US" w:eastAsia="zh-CN"/>
        </w:rPr>
        <w:t>四、技术标准</w:t>
      </w:r>
    </w:p>
    <w:p>
      <w:pPr>
        <w:keepNext w:val="0"/>
        <w:keepLines w:val="0"/>
        <w:pageBreakBefore w:val="0"/>
        <w:widowControl w:val="0"/>
        <w:kinsoku/>
        <w:wordWrap/>
        <w:overflowPunct/>
        <w:topLinePunct w:val="0"/>
        <w:autoSpaceDE/>
        <w:autoSpaceDN/>
        <w:bidi w:val="0"/>
        <w:adjustRightInd/>
        <w:snapToGrid w:val="0"/>
        <w:spacing w:line="480" w:lineRule="exact"/>
        <w:ind w:firstLine="560"/>
        <w:textAlignment w:val="auto"/>
        <w:rPr>
          <w:rFonts w:hint="eastAsia" w:ascii="Times New Roman" w:hAnsi="Times New Roman" w:eastAsia="仿宋_GB2312" w:cs="Times New Roman"/>
          <w:bCs/>
          <w:color w:val="000000" w:themeColor="text1"/>
          <w:sz w:val="28"/>
          <w:szCs w:val="28"/>
          <w:highlight w:val="none"/>
          <w:lang w:val="en-US" w:eastAsia="zh-CN"/>
          <w14:textFill>
            <w14:solidFill>
              <w14:schemeClr w14:val="tx1"/>
            </w14:solidFill>
          </w14:textFill>
        </w:rPr>
      </w:pPr>
      <w:r>
        <w:rPr>
          <w:rFonts w:hint="eastAsia" w:ascii="Times New Roman" w:hAnsi="Times New Roman" w:eastAsia="仿宋_GB2312" w:cs="Times New Roman"/>
          <w:bCs/>
          <w:color w:val="000000" w:themeColor="text1"/>
          <w:sz w:val="28"/>
          <w:szCs w:val="28"/>
          <w:highlight w:val="none"/>
          <w:lang w:val="en-US" w:eastAsia="zh-CN"/>
          <w14:textFill>
            <w14:solidFill>
              <w14:schemeClr w14:val="tx1"/>
            </w14:solidFill>
          </w14:textFill>
        </w:rPr>
        <w:t>（1）《江西省县级国土空间总体规划编制技术规程（试行）》（2022年）</w:t>
      </w:r>
    </w:p>
    <w:p>
      <w:pPr>
        <w:keepNext w:val="0"/>
        <w:keepLines w:val="0"/>
        <w:pageBreakBefore w:val="0"/>
        <w:widowControl w:val="0"/>
        <w:kinsoku/>
        <w:wordWrap/>
        <w:overflowPunct/>
        <w:topLinePunct w:val="0"/>
        <w:autoSpaceDE/>
        <w:autoSpaceDN/>
        <w:bidi w:val="0"/>
        <w:adjustRightInd/>
        <w:snapToGrid w:val="0"/>
        <w:spacing w:line="480" w:lineRule="exact"/>
        <w:ind w:firstLine="560"/>
        <w:textAlignment w:val="auto"/>
        <w:rPr>
          <w:rFonts w:hint="eastAsia" w:ascii="Times New Roman" w:hAnsi="Times New Roman" w:eastAsia="仿宋_GB2312" w:cs="Times New Roman"/>
          <w:bCs/>
          <w:color w:val="000000" w:themeColor="text1"/>
          <w:sz w:val="28"/>
          <w:szCs w:val="28"/>
          <w:highlight w:val="none"/>
          <w:lang w:val="en-US" w:eastAsia="zh-CN"/>
          <w14:textFill>
            <w14:solidFill>
              <w14:schemeClr w14:val="tx1"/>
            </w14:solidFill>
          </w14:textFill>
        </w:rPr>
      </w:pPr>
      <w:r>
        <w:rPr>
          <w:rFonts w:hint="eastAsia" w:ascii="Times New Roman" w:hAnsi="Times New Roman" w:eastAsia="仿宋_GB2312" w:cs="Times New Roman"/>
          <w:bCs/>
          <w:color w:val="000000" w:themeColor="text1"/>
          <w:sz w:val="28"/>
          <w:szCs w:val="28"/>
          <w:highlight w:val="none"/>
          <w:lang w:val="en-US" w:eastAsia="zh-CN"/>
          <w14:textFill>
            <w14:solidFill>
              <w14:schemeClr w14:val="tx1"/>
            </w14:solidFill>
          </w14:textFill>
        </w:rPr>
        <w:t>（2）《市级国土空间总体规划数据库规范（试行）》（2021年）</w:t>
      </w:r>
    </w:p>
    <w:p>
      <w:pPr>
        <w:keepNext w:val="0"/>
        <w:keepLines w:val="0"/>
        <w:pageBreakBefore w:val="0"/>
        <w:widowControl w:val="0"/>
        <w:kinsoku/>
        <w:wordWrap/>
        <w:overflowPunct/>
        <w:topLinePunct w:val="0"/>
        <w:autoSpaceDE/>
        <w:autoSpaceDN/>
        <w:bidi w:val="0"/>
        <w:adjustRightInd/>
        <w:snapToGrid w:val="0"/>
        <w:spacing w:line="480" w:lineRule="exact"/>
        <w:ind w:firstLine="560"/>
        <w:textAlignment w:val="auto"/>
        <w:rPr>
          <w:rFonts w:hint="eastAsia" w:ascii="Times New Roman" w:hAnsi="Times New Roman" w:eastAsia="仿宋_GB2312" w:cs="Times New Roman"/>
          <w:bCs/>
          <w:color w:val="000000" w:themeColor="text1"/>
          <w:sz w:val="28"/>
          <w:szCs w:val="28"/>
          <w:highlight w:val="none"/>
          <w:lang w:val="en-US" w:eastAsia="zh-CN"/>
          <w14:textFill>
            <w14:solidFill>
              <w14:schemeClr w14:val="tx1"/>
            </w14:solidFill>
          </w14:textFill>
        </w:rPr>
      </w:pPr>
      <w:r>
        <w:rPr>
          <w:rFonts w:hint="eastAsia" w:ascii="Times New Roman" w:hAnsi="Times New Roman" w:eastAsia="仿宋_GB2312" w:cs="Times New Roman"/>
          <w:bCs/>
          <w:color w:val="000000" w:themeColor="text1"/>
          <w:sz w:val="28"/>
          <w:szCs w:val="28"/>
          <w:highlight w:val="none"/>
          <w:lang w:val="en-US" w:eastAsia="zh-CN"/>
          <w14:textFill>
            <w14:solidFill>
              <w14:schemeClr w14:val="tx1"/>
            </w14:solidFill>
          </w14:textFill>
        </w:rPr>
        <w:t>（3）《市级国土空间总体规划制图规范》（2021年）</w:t>
      </w:r>
    </w:p>
    <w:p>
      <w:pPr>
        <w:keepNext w:val="0"/>
        <w:keepLines w:val="0"/>
        <w:pageBreakBefore w:val="0"/>
        <w:widowControl w:val="0"/>
        <w:kinsoku/>
        <w:wordWrap/>
        <w:overflowPunct/>
        <w:topLinePunct w:val="0"/>
        <w:autoSpaceDE/>
        <w:autoSpaceDN/>
        <w:bidi w:val="0"/>
        <w:adjustRightInd/>
        <w:snapToGrid w:val="0"/>
        <w:spacing w:line="480" w:lineRule="exact"/>
        <w:ind w:firstLine="560"/>
        <w:textAlignment w:val="auto"/>
        <w:rPr>
          <w:rFonts w:hint="eastAsia" w:ascii="Times New Roman" w:hAnsi="Times New Roman" w:eastAsia="仿宋_GB2312" w:cs="Times New Roman"/>
          <w:bCs/>
          <w:color w:val="000000" w:themeColor="text1"/>
          <w:sz w:val="28"/>
          <w:szCs w:val="28"/>
          <w:highlight w:val="none"/>
          <w:lang w:val="en-US" w:eastAsia="zh-CN"/>
          <w14:textFill>
            <w14:solidFill>
              <w14:schemeClr w14:val="tx1"/>
            </w14:solidFill>
          </w14:textFill>
        </w:rPr>
      </w:pPr>
      <w:r>
        <w:rPr>
          <w:rFonts w:hint="eastAsia" w:ascii="Times New Roman" w:hAnsi="Times New Roman" w:eastAsia="仿宋_GB2312" w:cs="Times New Roman"/>
          <w:bCs/>
          <w:color w:val="000000" w:themeColor="text1"/>
          <w:sz w:val="28"/>
          <w:szCs w:val="28"/>
          <w:highlight w:val="none"/>
          <w:lang w:val="en-US" w:eastAsia="zh-CN"/>
          <w14:textFill>
            <w14:solidFill>
              <w14:schemeClr w14:val="tx1"/>
            </w14:solidFill>
          </w14:textFill>
        </w:rPr>
        <w:t>（4）《县级国土空间总体规划数据库规范（试行）》（2023年）</w:t>
      </w:r>
    </w:p>
    <w:p>
      <w:pPr>
        <w:snapToGrid w:val="0"/>
        <w:spacing w:line="480" w:lineRule="exact"/>
        <w:ind w:firstLine="560"/>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bCs/>
          <w:color w:val="000000" w:themeColor="text1"/>
          <w:sz w:val="28"/>
          <w:szCs w:val="28"/>
          <w:highlight w:val="none"/>
          <w:lang w:val="en-US" w:eastAsia="zh-CN"/>
          <w14:textFill>
            <w14:solidFill>
              <w14:schemeClr w14:val="tx1"/>
            </w14:solidFill>
          </w14:textFill>
        </w:rPr>
        <w:t>（5）《</w:t>
      </w:r>
      <w:r>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t>乡镇级国土空间规划数据库规范（试行）》</w:t>
      </w:r>
    </w:p>
    <w:p>
      <w:pPr>
        <w:keepNext w:val="0"/>
        <w:keepLines w:val="0"/>
        <w:pageBreakBefore w:val="0"/>
        <w:widowControl w:val="0"/>
        <w:kinsoku/>
        <w:wordWrap/>
        <w:overflowPunct/>
        <w:topLinePunct w:val="0"/>
        <w:autoSpaceDE/>
        <w:autoSpaceDN/>
        <w:bidi w:val="0"/>
        <w:adjustRightInd/>
        <w:snapToGrid w:val="0"/>
        <w:spacing w:line="480" w:lineRule="exact"/>
        <w:ind w:firstLine="560"/>
        <w:textAlignment w:val="auto"/>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bCs/>
          <w:color w:val="000000" w:themeColor="text1"/>
          <w:sz w:val="28"/>
          <w:szCs w:val="28"/>
          <w:highlight w:val="none"/>
          <w:lang w:val="en-US" w:eastAsia="zh-CN"/>
          <w14:textFill>
            <w14:solidFill>
              <w14:schemeClr w14:val="tx1"/>
            </w14:solidFill>
          </w14:textFill>
        </w:rPr>
        <w:t xml:space="preserve">（6） </w:t>
      </w:r>
      <w:r>
        <w:rPr>
          <w:rFonts w:hint="eastAsia" w:ascii="Times New Roman" w:hAnsi="Times New Roman" w:eastAsia="仿宋_GB2312" w:cs="Times New Roman"/>
          <w:bCs/>
          <w:color w:val="000000" w:themeColor="text1"/>
          <w:sz w:val="28"/>
          <w:szCs w:val="28"/>
          <w:lang w:val="en-US" w:eastAsia="zh-CN"/>
          <w14:textFill>
            <w14:solidFill>
              <w14:schemeClr w14:val="tx1"/>
            </w14:solidFill>
          </w14:textFill>
        </w:rPr>
        <w:t>《国土空间调查、规划、用途管制用地用海分类指南》（2023年）</w:t>
      </w:r>
    </w:p>
    <w:p>
      <w:pPr>
        <w:keepNext w:val="0"/>
        <w:keepLines w:val="0"/>
        <w:pageBreakBefore w:val="0"/>
        <w:widowControl w:val="0"/>
        <w:kinsoku/>
        <w:wordWrap/>
        <w:overflowPunct/>
        <w:topLinePunct w:val="0"/>
        <w:autoSpaceDE/>
        <w:autoSpaceDN/>
        <w:bidi w:val="0"/>
        <w:adjustRightInd/>
        <w:snapToGrid w:val="0"/>
        <w:spacing w:line="480" w:lineRule="exact"/>
        <w:ind w:firstLine="560"/>
        <w:textAlignment w:val="auto"/>
        <w:rPr>
          <w:rFonts w:hint="eastAsia" w:ascii="Times New Roman" w:hAnsi="Times New Roman" w:eastAsia="仿宋_GB2312" w:cs="Times New Roman"/>
          <w:bCs/>
          <w:color w:val="000000" w:themeColor="text1"/>
          <w:sz w:val="28"/>
          <w:szCs w:val="28"/>
          <w:highlight w:val="none"/>
          <w:lang w:val="en-US" w:eastAsia="zh-CN"/>
          <w14:textFill>
            <w14:solidFill>
              <w14:schemeClr w14:val="tx1"/>
            </w14:solidFill>
          </w14:textFill>
        </w:rPr>
      </w:pPr>
      <w:r>
        <w:rPr>
          <w:rFonts w:hint="eastAsia" w:ascii="Times New Roman" w:hAnsi="Times New Roman" w:eastAsia="仿宋_GB2312" w:cs="Times New Roman"/>
          <w:bCs/>
          <w:color w:val="000000" w:themeColor="text1"/>
          <w:sz w:val="28"/>
          <w:szCs w:val="28"/>
          <w:highlight w:val="none"/>
          <w:lang w:val="en-US" w:eastAsia="zh-CN"/>
          <w14:textFill>
            <w14:solidFill>
              <w14:schemeClr w14:val="tx1"/>
            </w14:solidFill>
          </w14:textFill>
        </w:rPr>
        <w:t>（7）《江西省乡镇级国土空间总体规划编制技术规程(试行)》</w:t>
      </w:r>
    </w:p>
    <w:p>
      <w:pPr>
        <w:keepNext w:val="0"/>
        <w:keepLines w:val="0"/>
        <w:pageBreakBefore w:val="0"/>
        <w:widowControl w:val="0"/>
        <w:kinsoku/>
        <w:wordWrap/>
        <w:overflowPunct/>
        <w:topLinePunct w:val="0"/>
        <w:autoSpaceDE/>
        <w:autoSpaceDN/>
        <w:bidi w:val="0"/>
        <w:adjustRightInd/>
        <w:snapToGrid w:val="0"/>
        <w:spacing w:line="480" w:lineRule="exact"/>
        <w:ind w:firstLine="560"/>
        <w:textAlignment w:val="auto"/>
        <w:rPr>
          <w:rFonts w:hint="eastAsia" w:ascii="Times New Roman" w:hAnsi="Times New Roman"/>
          <w:color w:val="000000"/>
          <w:sz w:val="32"/>
          <w:szCs w:val="32"/>
          <w:lang w:val="en-US" w:eastAsia="zh-CN"/>
        </w:rPr>
      </w:pPr>
      <w:r>
        <w:rPr>
          <w:rFonts w:hint="eastAsia" w:ascii="Times New Roman" w:hAnsi="Times New Roman" w:eastAsia="仿宋_GB2312" w:cs="Times New Roman"/>
          <w:b w:val="0"/>
          <w:bCs/>
          <w:color w:val="auto"/>
          <w:kern w:val="2"/>
          <w:sz w:val="28"/>
          <w:szCs w:val="28"/>
          <w:lang w:val="en-US" w:eastAsia="zh-CN" w:bidi="ar-SA"/>
        </w:rPr>
        <w:t>（8）国家、江西省、赣州市其他相关法律法规、规章和技术标准</w:t>
      </w:r>
    </w:p>
    <w:p>
      <w:pPr>
        <w:pStyle w:val="33"/>
        <w:spacing w:before="156" w:beforeLines="50" w:after="156" w:afterLines="50" w:line="520" w:lineRule="exact"/>
        <w:rPr>
          <w:rFonts w:hint="eastAsia" w:ascii="Times New Roman" w:hAnsi="Times New Roman" w:cs="Times New Roman"/>
          <w:bCs w:val="0"/>
          <w:color w:val="auto"/>
          <w:kern w:val="2"/>
          <w:szCs w:val="32"/>
        </w:rPr>
      </w:pPr>
      <w:bookmarkStart w:id="24" w:name="_Toc22004"/>
      <w:r>
        <w:rPr>
          <w:rFonts w:hint="eastAsia" w:ascii="Times New Roman" w:hAnsi="Times New Roman" w:cs="Times New Roman"/>
          <w:bCs w:val="0"/>
          <w:color w:val="auto"/>
          <w:kern w:val="2"/>
          <w:szCs w:val="32"/>
        </w:rPr>
        <w:t>第六节 规划范围</w:t>
      </w:r>
      <w:bookmarkEnd w:id="23"/>
      <w:bookmarkEnd w:id="24"/>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本次规划范围为上犹县平富乡行政辖区范围，包括全域和集镇两个空间层次。</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全域：平富乡全域行政辖区范围，包含8个行政村，分别为上寨村、平富村、横坑村、向前村、信地村、庄坑村、庄前村、大潭村，总面积约为87.60平方公里。</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集镇：乡政府所在地包含平富村中部以及庄前村南部。平富乡集镇范围54.21公顷，其中城镇开发边界面积23.56公顷。</w:t>
      </w:r>
    </w:p>
    <w:p>
      <w:pPr>
        <w:pStyle w:val="33"/>
        <w:spacing w:before="156" w:beforeLines="50" w:after="156" w:afterLines="50" w:line="520" w:lineRule="exact"/>
        <w:rPr>
          <w:rFonts w:hint="eastAsia" w:ascii="Times New Roman" w:hAnsi="Times New Roman" w:cs="Times New Roman"/>
          <w:bCs w:val="0"/>
          <w:color w:val="auto"/>
          <w:kern w:val="2"/>
          <w:szCs w:val="32"/>
        </w:rPr>
      </w:pPr>
      <w:bookmarkStart w:id="25" w:name="_Toc30708"/>
      <w:bookmarkStart w:id="26" w:name="_Toc32726"/>
      <w:r>
        <w:rPr>
          <w:rFonts w:hint="eastAsia" w:ascii="Times New Roman" w:hAnsi="Times New Roman" w:cs="Times New Roman"/>
          <w:bCs w:val="0"/>
          <w:color w:val="auto"/>
          <w:kern w:val="2"/>
          <w:szCs w:val="32"/>
        </w:rPr>
        <w:t>第七节 规划期限</w:t>
      </w:r>
      <w:bookmarkEnd w:id="25"/>
      <w:bookmarkEnd w:id="26"/>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规划期限为2021年至2035年，近期为2025年，远期2035年，远景展望至2050年。</w:t>
      </w:r>
    </w:p>
    <w:p>
      <w:pPr>
        <w:pStyle w:val="11"/>
        <w:rPr>
          <w:rFonts w:hint="eastAsia"/>
          <w:lang w:val="en-US" w:eastAsia="zh-CN"/>
        </w:rPr>
      </w:pPr>
    </w:p>
    <w:p>
      <w:pPr>
        <w:pStyle w:val="34"/>
        <w:keepNext/>
        <w:keepLines/>
        <w:pageBreakBefore/>
        <w:widowControl w:val="0"/>
        <w:kinsoku/>
        <w:wordWrap/>
        <w:overflowPunct/>
        <w:topLinePunct w:val="0"/>
        <w:autoSpaceDE/>
        <w:autoSpaceDN/>
        <w:bidi w:val="0"/>
        <w:adjustRightInd/>
        <w:snapToGrid/>
        <w:spacing w:before="156" w:beforeLines="50" w:after="156" w:afterLines="50"/>
        <w:ind w:left="0" w:firstLine="0" w:firstLineChars="0"/>
        <w:jc w:val="center"/>
        <w:textAlignment w:val="center"/>
        <w:rPr>
          <w:rFonts w:hint="eastAsia" w:ascii="Times New Roman" w:hAnsi="Times New Roman" w:eastAsia="Arial Unicode MS" w:cs="Times New Roman"/>
          <w:color w:val="auto"/>
          <w:lang w:val="en-US" w:eastAsia="zh-CN"/>
        </w:rPr>
      </w:pPr>
      <w:bookmarkStart w:id="27" w:name="_Toc17717"/>
      <w:r>
        <w:rPr>
          <w:rFonts w:hint="eastAsia" w:ascii="Times New Roman" w:hAnsi="Times New Roman" w:eastAsia="Arial Unicode MS" w:cs="Times New Roman"/>
          <w:color w:val="auto"/>
          <w:lang w:val="en-US" w:eastAsia="zh-CN"/>
        </w:rPr>
        <w:t>第二章 发展基础与机遇挑战</w:t>
      </w:r>
      <w:bookmarkEnd w:id="27"/>
    </w:p>
    <w:p>
      <w:pPr>
        <w:pStyle w:val="33"/>
        <w:spacing w:before="156" w:beforeLines="50" w:after="156" w:afterLines="50" w:line="520" w:lineRule="exact"/>
        <w:rPr>
          <w:rFonts w:hint="eastAsia" w:ascii="Times New Roman" w:hAnsi="Times New Roman" w:cs="Times New Roman"/>
          <w:bCs w:val="0"/>
          <w:color w:val="auto"/>
          <w:kern w:val="2"/>
          <w:szCs w:val="32"/>
          <w:lang w:val="en-US" w:eastAsia="zh-CN"/>
        </w:rPr>
      </w:pPr>
      <w:bookmarkStart w:id="28" w:name="_Toc27444"/>
      <w:r>
        <w:rPr>
          <w:rFonts w:hint="eastAsia" w:ascii="Times New Roman" w:hAnsi="Times New Roman" w:cs="Times New Roman"/>
          <w:bCs w:val="0"/>
          <w:color w:val="auto"/>
          <w:kern w:val="2"/>
          <w:szCs w:val="32"/>
          <w:lang w:val="en-US" w:eastAsia="zh-CN"/>
        </w:rPr>
        <w:t>第一节 现状基础</w:t>
      </w:r>
      <w:bookmarkEnd w:id="28"/>
    </w:p>
    <w:p>
      <w:pPr>
        <w:snapToGrid w:val="0"/>
        <w:spacing w:line="480" w:lineRule="exact"/>
        <w:ind w:firstLine="562"/>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一、地理环境</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1、地理位置</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平富乡位于上犹县西部边界，东靠营前镇，北与五指峰乡相邻，西南接崇义县杰坝、金坑两乡，是两县交界的乡镇。</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2、地形地貌</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平富乡群山环绕，西部为山地，沟谷深切，多松、杉、竹及灌杂林、油茶林；东部为丘陵，多未垦复，间有油茶林。地势由西向东倾斜，最高点海拔1333.3米，最低点海拔200米。</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3、气候气象</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平富乡地处中低纬度东亚季风区，属中亚热带向南亚热带过渡的“季风湿润温和气候”。气候特点为气候温和、雨量充沛、无霜期长、四季分明。</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4、水文条件</w:t>
      </w:r>
    </w:p>
    <w:p>
      <w:pPr>
        <w:snapToGrid w:val="0"/>
        <w:spacing w:line="480" w:lineRule="exact"/>
        <w:ind w:firstLine="560"/>
        <w:rPr>
          <w:rFonts w:hint="default" w:ascii="Times New Roman" w:hAnsi="Times New Roman" w:eastAsia="仿宋_GB2312" w:cs="Times New Roman"/>
          <w:bCs/>
          <w:color w:val="auto"/>
          <w:sz w:val="28"/>
          <w:szCs w:val="28"/>
          <w:lang w:val="en-US" w:eastAsia="zh-CN"/>
        </w:rPr>
      </w:pPr>
      <w:r>
        <w:rPr>
          <w:rFonts w:hint="default" w:ascii="Times New Roman" w:hAnsi="Times New Roman" w:eastAsia="仿宋_GB2312" w:cs="Times New Roman"/>
          <w:bCs/>
          <w:color w:val="auto"/>
          <w:sz w:val="28"/>
          <w:szCs w:val="28"/>
          <w:lang w:val="en-US" w:eastAsia="zh-CN"/>
        </w:rPr>
        <w:t>区域内水系发达，主要河流平富河和上寨河，其中平富河发源于五指峰乡的齐云山，总流域面积239.2平方公里，其中境内35平方公里，由西向东流向，流经平富乡的上寨、向前、平富、庄前村，在庄前村石盘头汇入营前河。上寨河，发源于罗霄山脉，由西向东流经上寨村汇入平富河。</w:t>
      </w:r>
    </w:p>
    <w:p>
      <w:pPr>
        <w:numPr>
          <w:ilvl w:val="0"/>
          <w:numId w:val="5"/>
        </w:num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人口分布</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全乡共辖8个村委会，141个村小组，总户数2909户，总户籍人口13015 人。</w:t>
      </w:r>
    </w:p>
    <w:p>
      <w:pPr>
        <w:pStyle w:val="30"/>
        <w:spacing w:before="62" w:beforeLines="20" w:after="62" w:afterLines="2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color w:val="auto"/>
          <w:lang w:val="en-US" w:eastAsia="zh-CN"/>
        </w:rPr>
        <w:t>表2-1 平富乡现状人口分布情况表</w:t>
      </w:r>
    </w:p>
    <w:tbl>
      <w:tblPr>
        <w:tblStyle w:val="19"/>
        <w:tblW w:w="825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576"/>
        <w:gridCol w:w="1576"/>
        <w:gridCol w:w="1854"/>
        <w:gridCol w:w="1550"/>
        <w:gridCol w:w="17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54" w:hRule="atLeast"/>
        </w:trPr>
        <w:tc>
          <w:tcPr>
            <w:tcW w:w="157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序号</w:t>
            </w:r>
          </w:p>
        </w:tc>
        <w:tc>
          <w:tcPr>
            <w:tcW w:w="157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ind w:left="0" w:leftChars="0" w:firstLine="0" w:firstLineChars="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村委会名称</w:t>
            </w:r>
          </w:p>
        </w:tc>
        <w:tc>
          <w:tcPr>
            <w:tcW w:w="1854"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户数（户）</w:t>
            </w:r>
          </w:p>
        </w:tc>
        <w:tc>
          <w:tcPr>
            <w:tcW w:w="155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人口（人）</w:t>
            </w:r>
          </w:p>
        </w:tc>
        <w:tc>
          <w:tcPr>
            <w:tcW w:w="1702"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ind w:left="0" w:leftChars="0" w:firstLine="0" w:firstLineChars="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自然小组（个）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9" w:hRule="atLeast"/>
        </w:trPr>
        <w:tc>
          <w:tcPr>
            <w:tcW w:w="157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1</w:t>
            </w:r>
          </w:p>
        </w:tc>
        <w:tc>
          <w:tcPr>
            <w:tcW w:w="157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平富村</w:t>
            </w:r>
          </w:p>
        </w:tc>
        <w:tc>
          <w:tcPr>
            <w:tcW w:w="1854"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513</w:t>
            </w:r>
          </w:p>
        </w:tc>
        <w:tc>
          <w:tcPr>
            <w:tcW w:w="155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2502</w:t>
            </w:r>
          </w:p>
        </w:tc>
        <w:tc>
          <w:tcPr>
            <w:tcW w:w="1702"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9" w:hRule="atLeast"/>
        </w:trPr>
        <w:tc>
          <w:tcPr>
            <w:tcW w:w="157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2</w:t>
            </w:r>
          </w:p>
        </w:tc>
        <w:tc>
          <w:tcPr>
            <w:tcW w:w="157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庄坑村</w:t>
            </w:r>
          </w:p>
        </w:tc>
        <w:tc>
          <w:tcPr>
            <w:tcW w:w="1854"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213</w:t>
            </w:r>
          </w:p>
        </w:tc>
        <w:tc>
          <w:tcPr>
            <w:tcW w:w="155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907</w:t>
            </w:r>
          </w:p>
        </w:tc>
        <w:tc>
          <w:tcPr>
            <w:tcW w:w="1702"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9" w:hRule="atLeast"/>
        </w:trPr>
        <w:tc>
          <w:tcPr>
            <w:tcW w:w="157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3</w:t>
            </w:r>
          </w:p>
        </w:tc>
        <w:tc>
          <w:tcPr>
            <w:tcW w:w="157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信地村</w:t>
            </w:r>
          </w:p>
        </w:tc>
        <w:tc>
          <w:tcPr>
            <w:tcW w:w="1854"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256</w:t>
            </w:r>
          </w:p>
        </w:tc>
        <w:tc>
          <w:tcPr>
            <w:tcW w:w="155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1178</w:t>
            </w:r>
          </w:p>
        </w:tc>
        <w:tc>
          <w:tcPr>
            <w:tcW w:w="1702"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9" w:hRule="atLeast"/>
        </w:trPr>
        <w:tc>
          <w:tcPr>
            <w:tcW w:w="157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4</w:t>
            </w:r>
          </w:p>
        </w:tc>
        <w:tc>
          <w:tcPr>
            <w:tcW w:w="157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庄前村</w:t>
            </w:r>
          </w:p>
        </w:tc>
        <w:tc>
          <w:tcPr>
            <w:tcW w:w="1854"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371</w:t>
            </w:r>
          </w:p>
        </w:tc>
        <w:tc>
          <w:tcPr>
            <w:tcW w:w="155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1675</w:t>
            </w:r>
          </w:p>
        </w:tc>
        <w:tc>
          <w:tcPr>
            <w:tcW w:w="1702"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9" w:hRule="atLeast"/>
        </w:trPr>
        <w:tc>
          <w:tcPr>
            <w:tcW w:w="157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5</w:t>
            </w:r>
          </w:p>
        </w:tc>
        <w:tc>
          <w:tcPr>
            <w:tcW w:w="157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向前村</w:t>
            </w:r>
          </w:p>
        </w:tc>
        <w:tc>
          <w:tcPr>
            <w:tcW w:w="1854"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430</w:t>
            </w:r>
          </w:p>
        </w:tc>
        <w:tc>
          <w:tcPr>
            <w:tcW w:w="155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1897</w:t>
            </w:r>
          </w:p>
        </w:tc>
        <w:tc>
          <w:tcPr>
            <w:tcW w:w="1702"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9" w:hRule="atLeast"/>
        </w:trPr>
        <w:tc>
          <w:tcPr>
            <w:tcW w:w="157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6</w:t>
            </w:r>
          </w:p>
        </w:tc>
        <w:tc>
          <w:tcPr>
            <w:tcW w:w="157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大潭村</w:t>
            </w:r>
          </w:p>
        </w:tc>
        <w:tc>
          <w:tcPr>
            <w:tcW w:w="1854"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362</w:t>
            </w:r>
          </w:p>
        </w:tc>
        <w:tc>
          <w:tcPr>
            <w:tcW w:w="155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1536</w:t>
            </w:r>
          </w:p>
        </w:tc>
        <w:tc>
          <w:tcPr>
            <w:tcW w:w="1702"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9" w:hRule="atLeast"/>
        </w:trPr>
        <w:tc>
          <w:tcPr>
            <w:tcW w:w="157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7</w:t>
            </w:r>
          </w:p>
        </w:tc>
        <w:tc>
          <w:tcPr>
            <w:tcW w:w="157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上寨村</w:t>
            </w:r>
          </w:p>
        </w:tc>
        <w:tc>
          <w:tcPr>
            <w:tcW w:w="1854"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475</w:t>
            </w:r>
          </w:p>
        </w:tc>
        <w:tc>
          <w:tcPr>
            <w:tcW w:w="155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1932</w:t>
            </w:r>
          </w:p>
        </w:tc>
        <w:tc>
          <w:tcPr>
            <w:tcW w:w="1702"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9" w:hRule="atLeast"/>
        </w:trPr>
        <w:tc>
          <w:tcPr>
            <w:tcW w:w="157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8</w:t>
            </w:r>
          </w:p>
        </w:tc>
        <w:tc>
          <w:tcPr>
            <w:tcW w:w="157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横坑村</w:t>
            </w:r>
          </w:p>
        </w:tc>
        <w:tc>
          <w:tcPr>
            <w:tcW w:w="1854"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289</w:t>
            </w:r>
          </w:p>
        </w:tc>
        <w:tc>
          <w:tcPr>
            <w:tcW w:w="155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1334</w:t>
            </w:r>
          </w:p>
        </w:tc>
        <w:tc>
          <w:tcPr>
            <w:tcW w:w="1702"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2" w:hRule="atLeast"/>
        </w:trPr>
        <w:tc>
          <w:tcPr>
            <w:tcW w:w="3152" w:type="dxa"/>
            <w:gridSpan w:val="2"/>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合计 </w:t>
            </w:r>
          </w:p>
        </w:tc>
        <w:tc>
          <w:tcPr>
            <w:tcW w:w="1854"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2909</w:t>
            </w:r>
          </w:p>
        </w:tc>
        <w:tc>
          <w:tcPr>
            <w:tcW w:w="155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13015</w:t>
            </w:r>
          </w:p>
        </w:tc>
        <w:tc>
          <w:tcPr>
            <w:tcW w:w="1702"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16"/>
              <w:keepNext w:val="0"/>
              <w:keepLines w:val="0"/>
              <w:widowControl/>
              <w:suppressLineNumbers w:val="0"/>
              <w:rPr>
                <w:rFonts w:hint="eastAsia" w:ascii="仿宋_GB2312" w:hAnsi="仿宋_GB2312" w:eastAsia="仿宋_GB2312" w:cs="仿宋_GB2312"/>
                <w:sz w:val="21"/>
                <w:szCs w:val="21"/>
              </w:rPr>
            </w:pPr>
            <w:r>
              <w:rPr>
                <w:rFonts w:hint="eastAsia" w:ascii="仿宋_GB2312" w:hAnsi="仿宋_GB2312" w:eastAsia="仿宋_GB2312" w:cs="仿宋_GB2312"/>
                <w:color w:val="000000"/>
                <w:sz w:val="21"/>
                <w:szCs w:val="21"/>
              </w:rPr>
              <w:t>141</w:t>
            </w:r>
          </w:p>
        </w:tc>
      </w:tr>
    </w:tbl>
    <w:p>
      <w:pPr>
        <w:numPr>
          <w:ilvl w:val="0"/>
          <w:numId w:val="5"/>
        </w:numPr>
        <w:snapToGrid w:val="0"/>
        <w:spacing w:line="480" w:lineRule="exact"/>
        <w:ind w:firstLine="560"/>
        <w:rPr>
          <w:rFonts w:hint="default"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经济发展</w:t>
      </w:r>
    </w:p>
    <w:p>
      <w:pPr>
        <w:snapToGrid w:val="0"/>
        <w:spacing w:line="480" w:lineRule="exact"/>
        <w:ind w:firstLine="560"/>
        <w:rPr>
          <w:rFonts w:hint="default"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sz w:val="28"/>
          <w:szCs w:val="28"/>
          <w:lang w:val="en-US" w:eastAsia="zh-CN"/>
        </w:rPr>
        <w:t>其中第一产业特色较为明显主要有脐橙种植、茶叶种植以及林业；第二产业较少，主要有信地茶厂、庄坑酒厂等；第三产业旅游业发展较好，有燕子岩景区、上寨红三军团旧址群、信地民宿村等休闲旅游景点</w:t>
      </w:r>
      <w:r>
        <w:rPr>
          <w:rFonts w:hint="eastAsia" w:ascii="Times New Roman" w:hAnsi="Times New Roman" w:eastAsia="仿宋_GB2312" w:cs="Times New Roman"/>
          <w:bCs/>
          <w:color w:val="auto"/>
          <w:sz w:val="28"/>
          <w:szCs w:val="28"/>
          <w:lang w:val="en-US" w:eastAsia="zh-CN"/>
        </w:rPr>
        <w:t>。</w:t>
      </w:r>
    </w:p>
    <w:p>
      <w:pPr>
        <w:snapToGrid w:val="0"/>
        <w:spacing w:line="480" w:lineRule="exact"/>
        <w:ind w:firstLine="562"/>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二、国土空间利用现状</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平富乡</w:t>
      </w:r>
      <w:r>
        <w:rPr>
          <w:rFonts w:hint="eastAsia" w:ascii="Times New Roman" w:hAnsi="Times New Roman" w:eastAsia="仿宋_GB2312" w:cs="Times New Roman"/>
          <w:bCs/>
          <w:sz w:val="28"/>
          <w:szCs w:val="28"/>
          <w:lang w:val="en-US" w:eastAsia="zh-CN"/>
        </w:rPr>
        <w:t>基期年土地总面积</w:t>
      </w:r>
      <w:r>
        <w:rPr>
          <w:rFonts w:hint="eastAsia" w:ascii="Times New Roman" w:hAnsi="Times New Roman" w:eastAsia="仿宋_GB2312" w:cs="Times New Roman"/>
          <w:bCs/>
          <w:color w:val="auto"/>
          <w:sz w:val="28"/>
          <w:szCs w:val="28"/>
          <w:lang w:val="en-US" w:eastAsia="zh-CN"/>
        </w:rPr>
        <w:t>为</w:t>
      </w:r>
      <w:r>
        <w:rPr>
          <w:rFonts w:hint="default" w:ascii="Times New Roman" w:hAnsi="Times New Roman" w:eastAsia="仿宋_GB2312" w:cs="Times New Roman"/>
          <w:bCs/>
          <w:color w:val="auto"/>
          <w:sz w:val="28"/>
          <w:szCs w:val="28"/>
          <w:lang w:val="en-US" w:eastAsia="zh-CN"/>
        </w:rPr>
        <w:t>8759.85</w:t>
      </w:r>
      <w:r>
        <w:rPr>
          <w:rFonts w:hint="eastAsia" w:ascii="Times New Roman" w:hAnsi="Times New Roman" w:eastAsia="仿宋_GB2312" w:cs="Times New Roman"/>
          <w:bCs/>
          <w:color w:val="auto"/>
          <w:sz w:val="28"/>
          <w:szCs w:val="28"/>
          <w:lang w:val="en-US" w:eastAsia="zh-CN"/>
        </w:rPr>
        <w:t>公顷</w:t>
      </w:r>
      <w:r>
        <w:rPr>
          <w:rFonts w:hint="eastAsia" w:ascii="Times New Roman" w:hAnsi="Times New Roman" w:eastAsia="仿宋_GB2312" w:cs="Times New Roman"/>
          <w:bCs/>
          <w:sz w:val="28"/>
          <w:szCs w:val="28"/>
          <w:lang w:val="en-US" w:eastAsia="zh-CN"/>
        </w:rPr>
        <w:t>，</w:t>
      </w:r>
      <w:r>
        <w:rPr>
          <w:rFonts w:hint="eastAsia" w:ascii="Times New Roman" w:hAnsi="Times New Roman" w:eastAsia="仿宋_GB2312" w:cs="Times New Roman"/>
          <w:bCs/>
          <w:color w:val="auto"/>
          <w:sz w:val="28"/>
          <w:szCs w:val="28"/>
          <w:lang w:val="en-US" w:eastAsia="zh-CN"/>
        </w:rPr>
        <w:t>按照用地用海分类，平富乡农用地面积8466.93公顷，占国土面积比例96.66%，其中耕地面积371.37公顷，占国土面积比例4.24%；园地面积184.83公顷，占比2.34%；草地面积23.03公顷，占比0.26%；农业设施建设用地面积65.44公顷，占比0.75%；其他土地面积62.39公顷，占比0.71%。建设用地面积222.02公顷，占国土面积比例2.53%，其中，居住用地面积110.84公顷，占国土面积比例1.27%，交通运输用地面积53.54公顷，占国土面积比例0.61%；商业服务业用地面积0.19公顷，占比0.00%；特殊用地面积1.62公顷，占比0.02%；绿地与开敞空间用地面积0.25公顷，占比为0.00%；公共管理与公共服务用地面积3.78 公顷，占比0.04%；公用设施用地面积2.49公顷，占比0.03%；工矿用地面积3.39公顷，占比0.04%；留白用地面积45.94公顷，占比0.52%。未利用地70.90公顷，占国土面积比例0.81%。</w:t>
      </w:r>
    </w:p>
    <w:p>
      <w:pPr>
        <w:pStyle w:val="30"/>
        <w:spacing w:before="62" w:beforeLines="20" w:after="62" w:afterLines="20"/>
        <w:rPr>
          <w:rFonts w:hint="eastAsia" w:ascii="Times New Roman" w:hAnsi="Times New Roman" w:eastAsia="仿宋_GB2312" w:cs="Times New Roman"/>
          <w:color w:val="auto"/>
          <w:lang w:val="en-US" w:eastAsia="zh-CN"/>
        </w:rPr>
      </w:pPr>
      <w:r>
        <w:rPr>
          <w:rFonts w:hint="eastAsia" w:ascii="Times New Roman" w:hAnsi="Times New Roman" w:eastAsia="仿宋_GB2312" w:cs="Times New Roman"/>
          <w:color w:val="auto"/>
          <w:lang w:val="en-US" w:eastAsia="zh-CN"/>
        </w:rPr>
        <w:t>表2-2 平富乡土地利用现状情况表</w:t>
      </w:r>
    </w:p>
    <w:p>
      <w:pPr>
        <w:pStyle w:val="31"/>
        <w:keepNext w:val="0"/>
        <w:keepLines w:val="0"/>
        <w:pageBreakBefore w:val="0"/>
        <w:widowControl w:val="0"/>
        <w:kinsoku/>
        <w:wordWrap/>
        <w:overflowPunct/>
        <w:topLinePunct w:val="0"/>
        <w:autoSpaceDE/>
        <w:autoSpaceDN/>
        <w:bidi w:val="0"/>
        <w:adjustRightInd/>
        <w:snapToGrid/>
        <w:spacing w:before="0" w:after="0"/>
        <w:ind w:firstLine="601"/>
        <w:jc w:val="right"/>
        <w:textAlignment w:val="auto"/>
        <w:rPr>
          <w:rFonts w:hint="default" w:ascii="Times New Roman" w:hAnsi="Times New Roman" w:eastAsia="仿宋_GB2312" w:cs="Times New Roman"/>
          <w:color w:val="auto"/>
          <w:lang w:bidi="en-US"/>
        </w:rPr>
      </w:pPr>
      <w:r>
        <w:rPr>
          <w:rFonts w:ascii="Times New Roman" w:hAnsi="Times New Roman" w:eastAsia="仿宋_GB2312" w:cs="Times New Roman"/>
          <w:color w:val="auto"/>
          <w:lang w:bidi="en-US"/>
        </w:rPr>
        <w:t>单位：</w:t>
      </w:r>
      <w:r>
        <w:rPr>
          <w:rFonts w:hint="eastAsia" w:ascii="Times New Roman" w:hAnsi="Times New Roman" w:eastAsia="仿宋_GB2312" w:cs="Times New Roman"/>
          <w:color w:val="auto"/>
          <w:lang w:val="en-US" w:eastAsia="zh-CN" w:bidi="en-US"/>
        </w:rPr>
        <w:t>公顷</w:t>
      </w:r>
      <w:r>
        <w:rPr>
          <w:rFonts w:ascii="Times New Roman" w:hAnsi="Times New Roman" w:eastAsia="仿宋_GB2312" w:cs="Times New Roman"/>
          <w:color w:val="auto"/>
          <w:lang w:bidi="en-US"/>
        </w:rPr>
        <w:t>（0.00）</w:t>
      </w:r>
    </w:p>
    <w:tbl>
      <w:tblPr>
        <w:tblStyle w:val="19"/>
        <w:tblW w:w="842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321"/>
        <w:gridCol w:w="2330"/>
        <w:gridCol w:w="1531"/>
        <w:gridCol w:w="22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blHeader/>
        </w:trPr>
        <w:tc>
          <w:tcPr>
            <w:tcW w:w="2321"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ascii="仿宋_GB2312" w:hAnsi="Arial" w:eastAsia="仿宋_GB2312" w:cs="仿宋_GB2312"/>
                <w:b/>
                <w:bCs/>
                <w:i w:val="0"/>
                <w:iCs w:val="0"/>
                <w:color w:val="000000"/>
                <w:sz w:val="21"/>
                <w:szCs w:val="21"/>
                <w:u w:val="none"/>
              </w:rPr>
            </w:pPr>
            <w:r>
              <w:rPr>
                <w:rFonts w:hint="eastAsia" w:ascii="仿宋_GB2312" w:hAnsi="Arial" w:eastAsia="仿宋_GB2312" w:cs="仿宋_GB2312"/>
                <w:b/>
                <w:bCs/>
                <w:i w:val="0"/>
                <w:iCs w:val="0"/>
                <w:color w:val="000000"/>
                <w:kern w:val="0"/>
                <w:sz w:val="21"/>
                <w:szCs w:val="21"/>
                <w:u w:val="none"/>
                <w:lang w:val="en-US" w:eastAsia="zh-CN" w:bidi="ar"/>
              </w:rPr>
              <w:t>一级类</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b/>
                <w:bCs/>
                <w:i w:val="0"/>
                <w:iCs w:val="0"/>
                <w:color w:val="000000"/>
                <w:sz w:val="21"/>
                <w:szCs w:val="21"/>
                <w:u w:val="none"/>
              </w:rPr>
            </w:pPr>
            <w:r>
              <w:rPr>
                <w:rFonts w:hint="eastAsia" w:ascii="仿宋_GB2312" w:hAnsi="Arial" w:eastAsia="仿宋_GB2312" w:cs="仿宋_GB2312"/>
                <w:b/>
                <w:bCs/>
                <w:i w:val="0"/>
                <w:iCs w:val="0"/>
                <w:color w:val="000000"/>
                <w:kern w:val="0"/>
                <w:sz w:val="21"/>
                <w:szCs w:val="21"/>
                <w:u w:val="none"/>
                <w:lang w:val="en-US" w:eastAsia="zh-CN" w:bidi="ar"/>
              </w:rPr>
              <w:t>二级类</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b/>
                <w:bCs/>
                <w:i w:val="0"/>
                <w:iCs w:val="0"/>
                <w:color w:val="000000"/>
                <w:sz w:val="21"/>
                <w:szCs w:val="21"/>
                <w:u w:val="none"/>
              </w:rPr>
            </w:pPr>
            <w:r>
              <w:rPr>
                <w:rFonts w:hint="eastAsia" w:ascii="仿宋_GB2312" w:hAnsi="Arial" w:eastAsia="仿宋_GB2312" w:cs="仿宋_GB2312"/>
                <w:b/>
                <w:bCs/>
                <w:i w:val="0"/>
                <w:iCs w:val="0"/>
                <w:color w:val="000000"/>
                <w:kern w:val="0"/>
                <w:sz w:val="21"/>
                <w:szCs w:val="21"/>
                <w:u w:val="none"/>
                <w:lang w:val="en-US" w:eastAsia="zh-CN" w:bidi="ar"/>
              </w:rPr>
              <w:t>面积</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left="0" w:leftChars="0" w:firstLine="0" w:firstLineChars="0"/>
              <w:jc w:val="both"/>
              <w:textAlignment w:val="bottom"/>
              <w:rPr>
                <w:rFonts w:hint="eastAsia" w:ascii="仿宋_GB2312" w:hAnsi="Arial" w:eastAsia="仿宋_GB2312" w:cs="仿宋_GB2312"/>
                <w:b/>
                <w:bCs/>
                <w:i w:val="0"/>
                <w:iCs w:val="0"/>
                <w:color w:val="000000"/>
                <w:sz w:val="21"/>
                <w:szCs w:val="21"/>
                <w:u w:val="none"/>
              </w:rPr>
            </w:pPr>
            <w:r>
              <w:rPr>
                <w:rFonts w:hint="eastAsia" w:ascii="仿宋_GB2312" w:hAnsi="Arial" w:eastAsia="仿宋_GB2312" w:cs="仿宋_GB2312"/>
                <w:b/>
                <w:bCs/>
                <w:i w:val="0"/>
                <w:iCs w:val="0"/>
                <w:color w:val="000000"/>
                <w:kern w:val="0"/>
                <w:sz w:val="21"/>
                <w:szCs w:val="21"/>
                <w:u w:val="none"/>
                <w:lang w:val="en-US" w:eastAsia="zh-CN" w:bidi="ar"/>
              </w:rPr>
              <w:t>占国土总面积比例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2321" w:type="dxa"/>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耕地</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水田</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342.18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2321"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hint="eastAsia" w:ascii="仿宋_GB2312" w:hAnsi="Arial" w:eastAsia="仿宋_GB2312" w:cs="仿宋_GB2312"/>
                <w:i w:val="0"/>
                <w:iCs w:val="0"/>
                <w:color w:val="000000"/>
                <w:sz w:val="21"/>
                <w:szCs w:val="21"/>
                <w:u w:val="none"/>
              </w:rPr>
            </w:pP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旱地</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29.19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2321"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hint="eastAsia" w:ascii="仿宋_GB2312" w:hAnsi="Arial" w:eastAsia="仿宋_GB2312" w:cs="仿宋_GB2312"/>
                <w:i w:val="0"/>
                <w:iCs w:val="0"/>
                <w:color w:val="000000"/>
                <w:sz w:val="21"/>
                <w:szCs w:val="21"/>
                <w:u w:val="none"/>
              </w:rPr>
            </w:pP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小计</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371.37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2321" w:type="dxa"/>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园地</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果园</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112.73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2321"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hint="eastAsia" w:ascii="仿宋_GB2312" w:hAnsi="Arial" w:eastAsia="仿宋_GB2312" w:cs="仿宋_GB2312"/>
                <w:i w:val="0"/>
                <w:iCs w:val="0"/>
                <w:color w:val="000000"/>
                <w:sz w:val="21"/>
                <w:szCs w:val="21"/>
                <w:u w:val="none"/>
              </w:rPr>
            </w:pP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茶园</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41.07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2321"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hint="eastAsia" w:ascii="仿宋_GB2312" w:hAnsi="Arial" w:eastAsia="仿宋_GB2312" w:cs="仿宋_GB2312"/>
                <w:i w:val="0"/>
                <w:iCs w:val="0"/>
                <w:color w:val="000000"/>
                <w:sz w:val="21"/>
                <w:szCs w:val="21"/>
                <w:u w:val="none"/>
              </w:rPr>
            </w:pP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其他园地</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31.04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2321"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hint="eastAsia" w:ascii="仿宋_GB2312" w:hAnsi="Arial" w:eastAsia="仿宋_GB2312" w:cs="仿宋_GB2312"/>
                <w:i w:val="0"/>
                <w:iCs w:val="0"/>
                <w:color w:val="000000"/>
                <w:sz w:val="21"/>
                <w:szCs w:val="21"/>
                <w:u w:val="none"/>
              </w:rPr>
            </w:pP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小计</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184.83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2321" w:type="dxa"/>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林地</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乔木林地</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5927.20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67.66%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2321"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hint="eastAsia" w:ascii="仿宋_GB2312" w:hAnsi="Arial" w:eastAsia="仿宋_GB2312" w:cs="仿宋_GB2312"/>
                <w:i w:val="0"/>
                <w:iCs w:val="0"/>
                <w:color w:val="000000"/>
                <w:sz w:val="21"/>
                <w:szCs w:val="21"/>
                <w:u w:val="none"/>
              </w:rPr>
            </w:pP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竹林地</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1121.76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2321"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hint="eastAsia" w:ascii="仿宋_GB2312" w:hAnsi="Arial" w:eastAsia="仿宋_GB2312" w:cs="仿宋_GB2312"/>
                <w:i w:val="0"/>
                <w:iCs w:val="0"/>
                <w:color w:val="000000"/>
                <w:sz w:val="21"/>
                <w:szCs w:val="21"/>
                <w:u w:val="none"/>
              </w:rPr>
            </w:pP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灌木林地</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9.91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2321"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hint="eastAsia" w:ascii="仿宋_GB2312" w:hAnsi="Arial" w:eastAsia="仿宋_GB2312" w:cs="仿宋_GB2312"/>
                <w:i w:val="0"/>
                <w:iCs w:val="0"/>
                <w:color w:val="000000"/>
                <w:sz w:val="21"/>
                <w:szCs w:val="21"/>
                <w:u w:val="none"/>
              </w:rPr>
            </w:pP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其他林地</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694.37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2321"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hint="eastAsia" w:ascii="仿宋_GB2312" w:hAnsi="Arial" w:eastAsia="仿宋_GB2312" w:cs="仿宋_GB2312"/>
                <w:i w:val="0"/>
                <w:iCs w:val="0"/>
                <w:color w:val="000000"/>
                <w:sz w:val="21"/>
                <w:szCs w:val="21"/>
                <w:u w:val="none"/>
              </w:rPr>
            </w:pP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小计</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7753.25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88.51%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2321" w:type="dxa"/>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草地</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其他草地</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23.03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2321"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hint="eastAsia" w:ascii="仿宋_GB2312" w:hAnsi="Arial" w:eastAsia="仿宋_GB2312" w:cs="仿宋_GB2312"/>
                <w:i w:val="0"/>
                <w:iCs w:val="0"/>
                <w:color w:val="000000"/>
                <w:sz w:val="21"/>
                <w:szCs w:val="21"/>
                <w:u w:val="none"/>
              </w:rPr>
            </w:pP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小计</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23.03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2321" w:type="dxa"/>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农业设施建设用地</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农村道路</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62.39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2321"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hint="eastAsia" w:ascii="仿宋_GB2312" w:hAnsi="Arial" w:eastAsia="仿宋_GB2312" w:cs="仿宋_GB2312"/>
                <w:i w:val="0"/>
                <w:iCs w:val="0"/>
                <w:color w:val="000000"/>
                <w:sz w:val="21"/>
                <w:szCs w:val="21"/>
                <w:u w:val="none"/>
              </w:rPr>
            </w:pP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设施农用地</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3.04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2321"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hint="eastAsia" w:ascii="仿宋_GB2312" w:hAnsi="Arial" w:eastAsia="仿宋_GB2312" w:cs="仿宋_GB2312"/>
                <w:i w:val="0"/>
                <w:iCs w:val="0"/>
                <w:color w:val="000000"/>
                <w:sz w:val="21"/>
                <w:szCs w:val="21"/>
                <w:u w:val="none"/>
              </w:rPr>
            </w:pP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小计</w:t>
            </w:r>
          </w:p>
        </w:tc>
        <w:tc>
          <w:tcPr>
            <w:tcW w:w="1531"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65.44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2321" w:type="dxa"/>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hint="default" w:ascii="仿宋_GB2312" w:hAnsi="Arial" w:eastAsia="仿宋_GB2312" w:cs="仿宋_GB2312"/>
                <w:i w:val="0"/>
                <w:iCs w:val="0"/>
                <w:color w:val="000000"/>
                <w:sz w:val="21"/>
                <w:szCs w:val="21"/>
                <w:u w:val="none"/>
                <w:lang w:val="en-US" w:eastAsia="zh-CN"/>
              </w:rPr>
            </w:pPr>
            <w:r>
              <w:rPr>
                <w:rFonts w:hint="eastAsia" w:ascii="仿宋_GB2312" w:hAnsi="Arial" w:eastAsia="仿宋_GB2312" w:cs="仿宋_GB2312"/>
                <w:i w:val="0"/>
                <w:iCs w:val="0"/>
                <w:color w:val="000000"/>
                <w:sz w:val="21"/>
                <w:szCs w:val="21"/>
                <w:u w:val="none"/>
                <w:lang w:val="en-US" w:eastAsia="zh-CN"/>
              </w:rPr>
              <w:t>居住用地</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农村宅基地</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110.84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2321"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hint="eastAsia" w:ascii="仿宋_GB2312" w:hAnsi="Arial" w:eastAsia="仿宋_GB2312" w:cs="仿宋_GB2312"/>
                <w:i w:val="0"/>
                <w:iCs w:val="0"/>
                <w:color w:val="000000"/>
                <w:sz w:val="21"/>
                <w:szCs w:val="21"/>
                <w:u w:val="none"/>
              </w:rPr>
            </w:pP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小计</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110.84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2321" w:type="dxa"/>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ind w:left="0" w:leftChars="0" w:firstLine="0" w:firstLineChars="0"/>
              <w:jc w:val="both"/>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公共管理与公共服务用地</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机关团体用地</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1.47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2321"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hint="eastAsia" w:ascii="仿宋_GB2312" w:hAnsi="Arial" w:eastAsia="仿宋_GB2312" w:cs="仿宋_GB2312"/>
                <w:i w:val="0"/>
                <w:iCs w:val="0"/>
                <w:color w:val="000000"/>
                <w:sz w:val="21"/>
                <w:szCs w:val="21"/>
                <w:u w:val="none"/>
              </w:rPr>
            </w:pP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教育用地</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2.08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2321"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hint="eastAsia" w:ascii="仿宋_GB2312" w:hAnsi="Arial" w:eastAsia="仿宋_GB2312" w:cs="仿宋_GB2312"/>
                <w:i w:val="0"/>
                <w:iCs w:val="0"/>
                <w:color w:val="000000"/>
                <w:sz w:val="21"/>
                <w:szCs w:val="21"/>
                <w:u w:val="none"/>
              </w:rPr>
            </w:pP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医疗卫生用地</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0.23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2321"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hint="eastAsia" w:ascii="仿宋_GB2312" w:hAnsi="Arial" w:eastAsia="仿宋_GB2312" w:cs="仿宋_GB2312"/>
                <w:i w:val="0"/>
                <w:iCs w:val="0"/>
                <w:color w:val="000000"/>
                <w:sz w:val="21"/>
                <w:szCs w:val="21"/>
                <w:u w:val="none"/>
              </w:rPr>
            </w:pP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小计</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3.78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2321" w:type="dxa"/>
            <w:vMerge w:val="restart"/>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商业服务业用地</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商业用地</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0.19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2321" w:type="dxa"/>
            <w:vMerge w:val="continue"/>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rPr>
                <w:rFonts w:hint="eastAsia" w:ascii="仿宋_GB2312" w:hAnsi="Arial" w:eastAsia="仿宋_GB2312" w:cs="仿宋_GB2312"/>
                <w:i w:val="0"/>
                <w:iCs w:val="0"/>
                <w:color w:val="000000"/>
                <w:sz w:val="21"/>
                <w:szCs w:val="21"/>
                <w:u w:val="none"/>
              </w:rPr>
            </w:pP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小计</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0.19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232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工矿用地</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工业用地</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1.58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23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Arial" w:eastAsia="仿宋_GB2312" w:cs="仿宋_GB2312"/>
                <w:i w:val="0"/>
                <w:iCs w:val="0"/>
                <w:color w:val="000000"/>
                <w:sz w:val="21"/>
                <w:szCs w:val="21"/>
                <w:u w:val="none"/>
              </w:rPr>
            </w:pP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采矿用地</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1.81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23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Arial" w:eastAsia="仿宋_GB2312" w:cs="仿宋_GB2312"/>
                <w:i w:val="0"/>
                <w:iCs w:val="0"/>
                <w:color w:val="000000"/>
                <w:sz w:val="21"/>
                <w:szCs w:val="21"/>
                <w:u w:val="none"/>
              </w:rPr>
            </w:pP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小计</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3.39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232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交通运输用地</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公路用地</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51.77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23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Arial" w:eastAsia="仿宋_GB2312" w:cs="仿宋_GB2312"/>
                <w:i w:val="0"/>
                <w:iCs w:val="0"/>
                <w:color w:val="000000"/>
                <w:sz w:val="21"/>
                <w:szCs w:val="21"/>
                <w:u w:val="none"/>
              </w:rPr>
            </w:pP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城镇村道路用地</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1.76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23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Arial" w:eastAsia="仿宋_GB2312" w:cs="仿宋_GB2312"/>
                <w:i w:val="0"/>
                <w:iCs w:val="0"/>
                <w:color w:val="000000"/>
                <w:sz w:val="21"/>
                <w:szCs w:val="21"/>
                <w:u w:val="none"/>
              </w:rPr>
            </w:pP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交通场站用地</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0.02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23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Arial" w:eastAsia="仿宋_GB2312" w:cs="仿宋_GB2312"/>
                <w:i w:val="0"/>
                <w:iCs w:val="0"/>
                <w:color w:val="000000"/>
                <w:sz w:val="21"/>
                <w:szCs w:val="21"/>
                <w:u w:val="none"/>
              </w:rPr>
            </w:pP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小计</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53.54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232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公用设施用地</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供电用地</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0.34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23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Arial" w:eastAsia="仿宋_GB2312" w:cs="仿宋_GB2312"/>
                <w:i w:val="0"/>
                <w:iCs w:val="0"/>
                <w:color w:val="000000"/>
                <w:sz w:val="21"/>
                <w:szCs w:val="21"/>
                <w:u w:val="none"/>
              </w:rPr>
            </w:pP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通信用地</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0.03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23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Arial" w:eastAsia="仿宋_GB2312" w:cs="仿宋_GB2312"/>
                <w:i w:val="0"/>
                <w:iCs w:val="0"/>
                <w:color w:val="000000"/>
                <w:sz w:val="21"/>
                <w:szCs w:val="21"/>
                <w:u w:val="none"/>
              </w:rPr>
            </w:pP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水工设施用地</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2.12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23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Arial" w:eastAsia="仿宋_GB2312" w:cs="仿宋_GB2312"/>
                <w:i w:val="0"/>
                <w:iCs w:val="0"/>
                <w:color w:val="000000"/>
                <w:sz w:val="21"/>
                <w:szCs w:val="21"/>
                <w:u w:val="none"/>
              </w:rPr>
            </w:pP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小计</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2.47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232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绿地与开敞空间用地</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广场用地</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0.25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23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Arial" w:eastAsia="仿宋_GB2312" w:cs="仿宋_GB2312"/>
                <w:i w:val="0"/>
                <w:iCs w:val="0"/>
                <w:color w:val="000000"/>
                <w:sz w:val="21"/>
                <w:szCs w:val="21"/>
                <w:u w:val="none"/>
              </w:rPr>
            </w:pP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小计</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0.25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232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特殊用地</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其他特殊用地</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1.62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23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Arial" w:eastAsia="仿宋_GB2312" w:cs="仿宋_GB2312"/>
                <w:i w:val="0"/>
                <w:iCs w:val="0"/>
                <w:color w:val="000000"/>
                <w:sz w:val="21"/>
                <w:szCs w:val="21"/>
                <w:u w:val="none"/>
              </w:rPr>
            </w:pP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小计</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1.62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4651"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留白用地</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45.94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232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陆地水域</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河流水面</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70.90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23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Arial" w:eastAsia="仿宋_GB2312" w:cs="仿宋_GB2312"/>
                <w:i w:val="0"/>
                <w:iCs w:val="0"/>
                <w:color w:val="000000"/>
                <w:sz w:val="21"/>
                <w:szCs w:val="21"/>
                <w:u w:val="none"/>
              </w:rPr>
            </w:pP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坑塘水面</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20.33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23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Arial" w:eastAsia="仿宋_GB2312" w:cs="仿宋_GB2312"/>
                <w:i w:val="0"/>
                <w:iCs w:val="0"/>
                <w:color w:val="000000"/>
                <w:sz w:val="21"/>
                <w:szCs w:val="21"/>
                <w:u w:val="none"/>
              </w:rPr>
            </w:pP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沟渠</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21.38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23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Arial" w:eastAsia="仿宋_GB2312" w:cs="仿宋_GB2312"/>
                <w:i w:val="0"/>
                <w:iCs w:val="0"/>
                <w:color w:val="000000"/>
                <w:sz w:val="21"/>
                <w:szCs w:val="21"/>
                <w:u w:val="none"/>
              </w:rPr>
            </w:pP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小计</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112.62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232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default" w:ascii="仿宋_GB2312" w:hAnsi="Arial" w:eastAsia="仿宋_GB2312" w:cs="仿宋_GB2312"/>
                <w:i w:val="0"/>
                <w:iCs w:val="0"/>
                <w:color w:val="000000"/>
                <w:sz w:val="21"/>
                <w:szCs w:val="21"/>
                <w:u w:val="none"/>
                <w:lang w:val="en-US" w:eastAsia="zh-CN"/>
              </w:rPr>
            </w:pPr>
            <w:r>
              <w:rPr>
                <w:rFonts w:hint="eastAsia" w:ascii="仿宋_GB2312" w:hAnsi="Arial" w:eastAsia="仿宋_GB2312" w:cs="仿宋_GB2312"/>
                <w:i w:val="0"/>
                <w:iCs w:val="0"/>
                <w:color w:val="000000"/>
                <w:sz w:val="21"/>
                <w:szCs w:val="21"/>
                <w:u w:val="none"/>
                <w:lang w:val="en-US" w:eastAsia="zh-CN"/>
              </w:rPr>
              <w:t>其他土地</w:t>
            </w: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田坎</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27.30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 w:hRule="atLeast"/>
        </w:trPr>
        <w:tc>
          <w:tcPr>
            <w:tcW w:w="232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Arial" w:eastAsia="仿宋_GB2312" w:cs="仿宋_GB2312"/>
                <w:i w:val="0"/>
                <w:iCs w:val="0"/>
                <w:color w:val="000000"/>
                <w:sz w:val="21"/>
                <w:szCs w:val="21"/>
                <w:u w:val="none"/>
              </w:rPr>
            </w:pPr>
          </w:p>
        </w:tc>
        <w:tc>
          <w:tcPr>
            <w:tcW w:w="23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小计</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27.30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 w:hRule="atLeast"/>
        </w:trPr>
        <w:tc>
          <w:tcPr>
            <w:tcW w:w="4651"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合计</w:t>
            </w:r>
          </w:p>
        </w:tc>
        <w:tc>
          <w:tcPr>
            <w:tcW w:w="153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8759.85 </w:t>
            </w:r>
          </w:p>
        </w:tc>
        <w:tc>
          <w:tcPr>
            <w:tcW w:w="22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default" w:ascii="Times New Roman" w:hAnsi="Times New Roman"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 w:hRule="atLeast"/>
        </w:trPr>
        <w:tc>
          <w:tcPr>
            <w:tcW w:w="2321" w:type="dxa"/>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2330" w:type="dxa"/>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1531" w:type="dxa"/>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c>
          <w:tcPr>
            <w:tcW w:w="2247" w:type="dxa"/>
            <w:tcBorders>
              <w:top w:val="nil"/>
              <w:left w:val="nil"/>
              <w:bottom w:val="nil"/>
              <w:right w:val="nil"/>
            </w:tcBorders>
            <w:shd w:val="clear" w:color="auto" w:fill="auto"/>
            <w:noWrap/>
            <w:vAlign w:val="bottom"/>
          </w:tcPr>
          <w:p>
            <w:pPr>
              <w:rPr>
                <w:rFonts w:hint="default" w:ascii="Arial" w:hAnsi="Arial" w:cs="Arial"/>
                <w:i w:val="0"/>
                <w:iCs w:val="0"/>
                <w:color w:val="000000"/>
                <w:sz w:val="20"/>
                <w:szCs w:val="20"/>
                <w:u w:val="none"/>
              </w:rPr>
            </w:pPr>
          </w:p>
        </w:tc>
      </w:tr>
    </w:tbl>
    <w:p>
      <w:pPr>
        <w:pStyle w:val="33"/>
        <w:numPr>
          <w:ilvl w:val="0"/>
          <w:numId w:val="6"/>
        </w:numPr>
        <w:spacing w:before="156" w:beforeLines="50" w:after="156" w:afterLines="50" w:line="520" w:lineRule="exact"/>
        <w:rPr>
          <w:rFonts w:hint="eastAsia" w:ascii="Times New Roman" w:hAnsi="Times New Roman" w:cs="Times New Roman"/>
          <w:bCs w:val="0"/>
          <w:color w:val="auto"/>
          <w:kern w:val="2"/>
          <w:szCs w:val="32"/>
          <w:lang w:val="en-US" w:eastAsia="zh-CN"/>
        </w:rPr>
      </w:pPr>
      <w:bookmarkStart w:id="29" w:name="_Toc6479"/>
      <w:r>
        <w:rPr>
          <w:rFonts w:hint="eastAsia" w:ascii="Times New Roman" w:hAnsi="Times New Roman" w:cs="Times New Roman"/>
          <w:bCs w:val="0"/>
          <w:color w:val="auto"/>
          <w:kern w:val="2"/>
          <w:szCs w:val="32"/>
          <w:lang w:val="en-US" w:eastAsia="zh-CN"/>
        </w:rPr>
        <w:t>上位规划传导与相关规划衔接</w:t>
      </w:r>
    </w:p>
    <w:p>
      <w:pPr>
        <w:numPr>
          <w:ilvl w:val="0"/>
          <w:numId w:val="7"/>
        </w:numPr>
        <w:snapToGrid w:val="0"/>
        <w:spacing w:line="480" w:lineRule="exact"/>
        <w:ind w:firstLine="562"/>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上位规划传导</w:t>
      </w:r>
    </w:p>
    <w:p>
      <w:pPr>
        <w:snapToGrid w:val="0"/>
        <w:spacing w:line="480" w:lineRule="exact"/>
        <w:ind w:firstLine="560"/>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Cs/>
          <w:color w:val="auto"/>
          <w:sz w:val="28"/>
          <w:szCs w:val="28"/>
          <w:lang w:val="en-US" w:eastAsia="zh-CN"/>
        </w:rPr>
        <w:t>《上犹县国土空间总体规划（2021-2035年）》规划传导：平富乡是上犹县西北部地区的绿色农业、休闲旅游型生态乡、重点生态功能区。其职能为：农林产品种植基地；饮用水生态价值提升区；山地休闲旅游区；全乡的政治、经济、文化中心。主导产业定位为：以茶叶、油茶、毛竹为主的农业产业，旅游服务产业。至2035年，圩镇常住人口达到0.3万人。</w:t>
      </w:r>
    </w:p>
    <w:p>
      <w:pPr>
        <w:numPr>
          <w:ilvl w:val="0"/>
          <w:numId w:val="7"/>
        </w:numPr>
        <w:snapToGrid w:val="0"/>
        <w:spacing w:line="480" w:lineRule="exact"/>
        <w:ind w:firstLine="562"/>
        <w:rPr>
          <w:rFonts w:hint="default"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相关规划衔接</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w:t>
      </w:r>
      <w:r>
        <w:rPr>
          <w:rFonts w:hint="default" w:ascii="Times New Roman" w:hAnsi="Times New Roman" w:eastAsia="仿宋_GB2312" w:cs="Times New Roman"/>
          <w:bCs/>
          <w:color w:val="auto"/>
          <w:sz w:val="28"/>
          <w:szCs w:val="28"/>
          <w:lang w:val="en-US" w:eastAsia="zh-CN"/>
        </w:rPr>
        <w:t>上犹县全域旅游发展总体规划</w:t>
      </w:r>
      <w:r>
        <w:rPr>
          <w:rFonts w:hint="eastAsia" w:ascii="Times New Roman" w:hAnsi="Times New Roman" w:eastAsia="仿宋_GB2312" w:cs="Times New Roman"/>
          <w:bCs/>
          <w:color w:val="auto"/>
          <w:sz w:val="28"/>
          <w:szCs w:val="28"/>
          <w:lang w:val="en-US" w:eastAsia="zh-CN"/>
        </w:rPr>
        <w:t>》：根据上犹县旅游资源分布和交通发展趋势，对全域旅游生产力布局进行空间结构规划，整体形成“1152”的空间结构，即“一核一带五区两廊”。一核为阳明湖度假区·康养度假旅游核心，一带为犹江百里画廊山水休闲度假带，五区</w:t>
      </w:r>
    </w:p>
    <w:p>
      <w:pPr>
        <w:snapToGrid w:val="0"/>
        <w:spacing w:line="480" w:lineRule="exact"/>
        <w:ind w:left="0" w:leftChars="0" w:firstLine="0" w:firstLineChars="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为至尊森林·山地休闲运动区、-云上牧场·高山草甸旅游区、客家田园·乡村旅游体验区、犹美之城·城市文化旅游区、时代记忆·历史文化旅游区。两廊为西部生态文化旅游发展通廊、东部休闲度假旅游发展通廊。平富乡处于以营前镇为核心的时光记忆·历史文化旅游区，片区定位为江西省红色文化旅游体验地、赣州市重要的客家文化展示地、上犹西部旅游服务基地。燕子岩冰臼峡谷旅游区是分区的重点项目。</w:t>
      </w:r>
    </w:p>
    <w:p>
      <w:pPr>
        <w:numPr>
          <w:ilvl w:val="0"/>
          <w:numId w:val="7"/>
        </w:numPr>
        <w:snapToGrid w:val="0"/>
        <w:spacing w:line="480" w:lineRule="exact"/>
        <w:ind w:firstLine="562"/>
        <w:rPr>
          <w:rFonts w:hint="default"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已有村庄规划衔接</w:t>
      </w:r>
    </w:p>
    <w:p>
      <w:pPr>
        <w:keepNext w:val="0"/>
        <w:keepLines w:val="0"/>
        <w:pageBreakBefore w:val="0"/>
        <w:widowControl w:val="0"/>
        <w:kinsoku/>
        <w:wordWrap/>
        <w:overflowPunct/>
        <w:topLinePunct w:val="0"/>
        <w:autoSpaceDE/>
        <w:autoSpaceDN/>
        <w:bidi w:val="0"/>
        <w:adjustRightInd/>
        <w:snapToGrid w:val="0"/>
        <w:spacing w:line="480" w:lineRule="exact"/>
        <w:ind w:left="0" w:leftChars="0" w:firstLine="560" w:firstLineChars="200"/>
        <w:textAlignment w:val="auto"/>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《上犹县平富乡上寨村“多规合一”实用性村庄规划（2021-2035）》定位上寨村为农旅型村庄，村庄建设边界规模为16.03公顷。</w:t>
      </w:r>
    </w:p>
    <w:p>
      <w:pPr>
        <w:keepNext w:val="0"/>
        <w:keepLines w:val="0"/>
        <w:pageBreakBefore w:val="0"/>
        <w:widowControl w:val="0"/>
        <w:kinsoku/>
        <w:wordWrap/>
        <w:overflowPunct/>
        <w:topLinePunct w:val="0"/>
        <w:autoSpaceDE/>
        <w:autoSpaceDN/>
        <w:bidi w:val="0"/>
        <w:adjustRightInd/>
        <w:snapToGrid w:val="0"/>
        <w:spacing w:line="480" w:lineRule="exact"/>
        <w:ind w:left="0" w:leftChars="0" w:firstLine="560" w:firstLineChars="200"/>
        <w:textAlignment w:val="auto"/>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《上犹县平富乡庄前村“多规合一”实用性村庄规划（2021-2035）》定位庄前村为以农业生产、生态宜居为主的城郊融合类村庄，村庄建设边界规模为12.85公顷。</w:t>
      </w:r>
    </w:p>
    <w:p>
      <w:pPr>
        <w:keepNext w:val="0"/>
        <w:keepLines w:val="0"/>
        <w:pageBreakBefore w:val="0"/>
        <w:widowControl w:val="0"/>
        <w:kinsoku/>
        <w:wordWrap/>
        <w:overflowPunct/>
        <w:topLinePunct w:val="0"/>
        <w:autoSpaceDE/>
        <w:autoSpaceDN/>
        <w:bidi w:val="0"/>
        <w:adjustRightInd/>
        <w:snapToGrid w:val="0"/>
        <w:spacing w:line="480" w:lineRule="exact"/>
        <w:ind w:left="0" w:leftChars="0" w:firstLine="560" w:firstLineChars="200"/>
        <w:textAlignment w:val="auto"/>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上犹县平富乡信地畲族村“多规合一”实用性村庄规划(2021-2035年)》定位信地村为以生态环境为基础，以产业发展为驱动，以畲乡村落为特色，打造集生态休闲、民宿体验、研学教育和康养度假为一体的少数民族乡村振兴示范村。村庄建设边界规模为13.95公顷。</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p>
    <w:p>
      <w:pPr>
        <w:snapToGrid w:val="0"/>
        <w:spacing w:line="480" w:lineRule="exact"/>
        <w:ind w:firstLine="560"/>
        <w:rPr>
          <w:rFonts w:hint="default" w:ascii="Times New Roman" w:hAnsi="Times New Roman" w:eastAsia="仿宋_GB2312" w:cs="Times New Roman"/>
          <w:bCs/>
          <w:color w:val="auto"/>
          <w:sz w:val="28"/>
          <w:szCs w:val="28"/>
          <w:lang w:val="en-US" w:eastAsia="zh-CN"/>
        </w:rPr>
      </w:pPr>
    </w:p>
    <w:p>
      <w:pPr>
        <w:pStyle w:val="33"/>
        <w:numPr>
          <w:ilvl w:val="0"/>
          <w:numId w:val="0"/>
        </w:numPr>
        <w:spacing w:before="156" w:beforeLines="50" w:after="156" w:afterLines="50" w:line="520" w:lineRule="exact"/>
        <w:jc w:val="both"/>
        <w:rPr>
          <w:rFonts w:hint="eastAsia" w:ascii="Times New Roman" w:hAnsi="Times New Roman" w:cs="Times New Roman"/>
          <w:bCs w:val="0"/>
          <w:color w:val="auto"/>
          <w:kern w:val="2"/>
          <w:szCs w:val="32"/>
          <w:lang w:val="en-US" w:eastAsia="zh-CN"/>
        </w:rPr>
      </w:pPr>
    </w:p>
    <w:p>
      <w:pPr>
        <w:pStyle w:val="33"/>
        <w:numPr>
          <w:ilvl w:val="0"/>
          <w:numId w:val="6"/>
        </w:numPr>
        <w:spacing w:before="156" w:beforeLines="50" w:after="156" w:afterLines="50" w:line="520" w:lineRule="exact"/>
        <w:rPr>
          <w:rFonts w:hint="eastAsia" w:ascii="Times New Roman" w:hAnsi="Times New Roman" w:cs="Times New Roman"/>
          <w:bCs w:val="0"/>
          <w:color w:val="auto"/>
          <w:kern w:val="2"/>
          <w:szCs w:val="32"/>
          <w:lang w:val="en-US" w:eastAsia="zh-CN"/>
        </w:rPr>
      </w:pPr>
      <w:r>
        <w:rPr>
          <w:rFonts w:hint="eastAsia" w:ascii="Times New Roman" w:hAnsi="Times New Roman" w:cs="Times New Roman"/>
          <w:bCs w:val="0"/>
          <w:color w:val="auto"/>
          <w:kern w:val="2"/>
          <w:szCs w:val="32"/>
          <w:lang w:val="en-US" w:eastAsia="zh-CN"/>
        </w:rPr>
        <w:t>问题与风险</w:t>
      </w:r>
      <w:bookmarkEnd w:id="29"/>
    </w:p>
    <w:p>
      <w:pPr>
        <w:snapToGrid w:val="0"/>
        <w:spacing w:line="480" w:lineRule="exact"/>
        <w:ind w:firstLine="562"/>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一、面临问题</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
          <w:bCs w:val="0"/>
          <w:color w:val="auto"/>
          <w:sz w:val="28"/>
          <w:szCs w:val="28"/>
          <w:lang w:val="en-US" w:eastAsia="zh-CN"/>
        </w:rPr>
        <w:t>1、农业空间格局与品质待优化</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平富耕地较少、园地较多，农业格局不够明显，农业品牌化发展不足。由于农业结构调整、城乡发展建设等原因，耕地均存在不同程度的流失，耕地保护压力较大。</w:t>
      </w:r>
    </w:p>
    <w:p>
      <w:pPr>
        <w:numPr>
          <w:ilvl w:val="0"/>
          <w:numId w:val="8"/>
        </w:numPr>
        <w:snapToGrid w:val="0"/>
        <w:spacing w:line="480" w:lineRule="exact"/>
        <w:ind w:firstLine="560"/>
        <w:rPr>
          <w:rFonts w:hint="eastAsia" w:ascii="Times New Roman" w:hAnsi="Times New Roman" w:eastAsia="仿宋_GB2312" w:cs="Times New Roman"/>
          <w:b/>
          <w:bCs w:val="0"/>
          <w:color w:val="auto"/>
          <w:sz w:val="28"/>
          <w:szCs w:val="28"/>
          <w:lang w:val="en-US" w:eastAsia="zh-CN"/>
        </w:rPr>
      </w:pPr>
      <w:r>
        <w:rPr>
          <w:rFonts w:hint="eastAsia" w:ascii="Times New Roman" w:hAnsi="Times New Roman" w:eastAsia="仿宋_GB2312" w:cs="Times New Roman"/>
          <w:b/>
          <w:bCs w:val="0"/>
          <w:color w:val="auto"/>
          <w:sz w:val="28"/>
          <w:szCs w:val="28"/>
          <w:lang w:val="en-US" w:eastAsia="zh-CN"/>
        </w:rPr>
        <w:t>生态空间需要加强保护与修复</w:t>
      </w:r>
    </w:p>
    <w:p>
      <w:pPr>
        <w:numPr>
          <w:ilvl w:val="0"/>
          <w:numId w:val="0"/>
        </w:numPr>
        <w:snapToGrid w:val="0"/>
        <w:spacing w:line="480" w:lineRule="exact"/>
        <w:ind w:firstLine="560" w:firstLineChars="20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平富乡群山环绕，林地较多，生态红线和公益林较多，生态空间需要加强保护，平富河沿线以及工矿开发破坏的山林要加强生态修复。</w:t>
      </w:r>
    </w:p>
    <w:p>
      <w:pPr>
        <w:numPr>
          <w:ilvl w:val="0"/>
          <w:numId w:val="8"/>
        </w:numPr>
        <w:snapToGrid w:val="0"/>
        <w:spacing w:line="480" w:lineRule="exact"/>
        <w:ind w:left="0" w:leftChars="0" w:firstLine="562" w:firstLineChars="200"/>
        <w:rPr>
          <w:rFonts w:hint="eastAsia" w:ascii="Times New Roman" w:hAnsi="Times New Roman" w:eastAsia="仿宋_GB2312" w:cs="Times New Roman"/>
          <w:b/>
          <w:bCs w:val="0"/>
          <w:color w:val="auto"/>
          <w:sz w:val="28"/>
          <w:szCs w:val="28"/>
          <w:lang w:val="en-US" w:eastAsia="zh-CN"/>
        </w:rPr>
      </w:pPr>
      <w:r>
        <w:rPr>
          <w:rFonts w:hint="eastAsia" w:ascii="Times New Roman" w:hAnsi="Times New Roman" w:eastAsia="仿宋_GB2312" w:cs="Times New Roman"/>
          <w:b/>
          <w:bCs w:val="0"/>
          <w:color w:val="auto"/>
          <w:sz w:val="28"/>
          <w:szCs w:val="28"/>
          <w:lang w:val="en-US" w:eastAsia="zh-CN"/>
        </w:rPr>
        <w:t>城乡服务设施与人居环境品质有待提升。</w:t>
      </w:r>
    </w:p>
    <w:p>
      <w:pPr>
        <w:numPr>
          <w:ilvl w:val="0"/>
          <w:numId w:val="0"/>
        </w:numPr>
        <w:snapToGrid w:val="0"/>
        <w:spacing w:line="480" w:lineRule="exact"/>
        <w:ind w:firstLine="560" w:firstLineChars="20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集镇绿地与开敞空间和地方特色空间建设不足，城乡文化底蕴尚未彰显；乡村公共服务、市政基础设施配套存在短板，旅游服务设施配套不足；部分村庄道路通而不畅；解决各类乡村发展瓶颈、提升人居环境品质的需求日益迫切。</w:t>
      </w:r>
    </w:p>
    <w:p>
      <w:pPr>
        <w:snapToGrid w:val="0"/>
        <w:spacing w:line="480" w:lineRule="exact"/>
        <w:ind w:firstLine="562"/>
        <w:rPr>
          <w:rFonts w:hint="default"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二、风险问题</w:t>
      </w:r>
    </w:p>
    <w:p>
      <w:pPr>
        <w:snapToGrid w:val="0"/>
        <w:spacing w:line="480" w:lineRule="exact"/>
        <w:ind w:firstLine="560"/>
        <w:rPr>
          <w:rFonts w:hint="eastAsia" w:ascii="Times New Roman" w:hAnsi="Times New Roman" w:eastAsia="仿宋_GB2312" w:cs="Times New Roman"/>
          <w:b/>
          <w:bCs w:val="0"/>
          <w:color w:val="auto"/>
          <w:sz w:val="28"/>
          <w:szCs w:val="28"/>
          <w:lang w:val="en-US" w:eastAsia="zh-CN"/>
        </w:rPr>
      </w:pPr>
      <w:r>
        <w:rPr>
          <w:rFonts w:hint="eastAsia" w:ascii="Times New Roman" w:hAnsi="Times New Roman" w:eastAsia="仿宋_GB2312" w:cs="Times New Roman"/>
          <w:b/>
          <w:bCs w:val="0"/>
          <w:color w:val="auto"/>
          <w:sz w:val="28"/>
          <w:szCs w:val="28"/>
          <w:lang w:val="en-US" w:eastAsia="zh-CN"/>
        </w:rPr>
        <w:t>1、城乡安全韧性面临风险</w:t>
      </w:r>
    </w:p>
    <w:p>
      <w:pPr>
        <w:snapToGrid w:val="0"/>
        <w:spacing w:line="480" w:lineRule="exact"/>
        <w:ind w:firstLine="560"/>
        <w:rPr>
          <w:rFonts w:hint="eastAsia" w:ascii="Times New Roman" w:hAnsi="Times New Roman" w:eastAsia="仿宋_GB2312"/>
          <w:bCs/>
          <w:color w:val="auto"/>
          <w:sz w:val="28"/>
          <w:szCs w:val="28"/>
          <w:highlight w:val="none"/>
        </w:rPr>
      </w:pPr>
      <w:r>
        <w:rPr>
          <w:rFonts w:hint="eastAsia" w:ascii="Times New Roman" w:hAnsi="Times New Roman" w:eastAsia="仿宋_GB2312" w:cs="Times New Roman"/>
          <w:bCs/>
          <w:color w:val="auto"/>
          <w:sz w:val="28"/>
          <w:szCs w:val="28"/>
          <w:lang w:val="en-US" w:eastAsia="zh-CN"/>
        </w:rPr>
        <w:t>平富乡水资源时空分布不均，存在一定的洪涝灾害风险平富乡降水量年内分配不均，主要集中在4-9月，平富河穿乡域而过，汛期来临时可能会出现一定的洪涝灾害。但现有防洪体系较为薄弱。城乡消防安全救援范围覆盖有限，仅有消防大队一处消防站点可用。平富乡地处山区，地质灾害点较多，当前乡域地质灾害防治尚未消除全部隐患，防洪排涝设施尚未全线达标，抵御风险能力不足。</w:t>
      </w:r>
    </w:p>
    <w:p>
      <w:pPr>
        <w:numPr>
          <w:ilvl w:val="0"/>
          <w:numId w:val="9"/>
        </w:numPr>
        <w:snapToGrid w:val="0"/>
        <w:spacing w:line="480" w:lineRule="exact"/>
        <w:ind w:firstLine="560"/>
        <w:rPr>
          <w:rFonts w:hint="eastAsia" w:ascii="Times New Roman" w:hAnsi="Times New Roman" w:eastAsia="仿宋_GB2312" w:cs="Times New Roman"/>
          <w:b/>
          <w:bCs w:val="0"/>
          <w:color w:val="auto"/>
          <w:sz w:val="28"/>
          <w:szCs w:val="28"/>
          <w:lang w:val="en-US" w:eastAsia="zh-CN"/>
        </w:rPr>
      </w:pPr>
      <w:r>
        <w:rPr>
          <w:rFonts w:hint="eastAsia" w:ascii="Times New Roman" w:hAnsi="Times New Roman" w:eastAsia="仿宋_GB2312" w:cs="Times New Roman"/>
          <w:b/>
          <w:bCs w:val="0"/>
          <w:color w:val="auto"/>
          <w:sz w:val="28"/>
          <w:szCs w:val="28"/>
          <w:lang w:val="en-US" w:eastAsia="zh-CN"/>
        </w:rPr>
        <w:t>生态环境保护面临风险</w:t>
      </w:r>
    </w:p>
    <w:p>
      <w:pPr>
        <w:snapToGrid w:val="0"/>
        <w:spacing w:line="480" w:lineRule="exact"/>
        <w:ind w:firstLine="560"/>
        <w:rPr>
          <w:rFonts w:hint="eastAsia" w:ascii="Times New Roman" w:hAnsi="Times New Roman" w:eastAsia="仿宋_GB2312" w:cs="Times New Roman"/>
          <w:bCs/>
          <w:sz w:val="28"/>
          <w:szCs w:val="28"/>
          <w:lang w:val="en-US" w:eastAsia="zh-CN"/>
        </w:rPr>
      </w:pPr>
      <w:r>
        <w:rPr>
          <w:rFonts w:hint="eastAsia" w:ascii="Times New Roman" w:hAnsi="Times New Roman" w:eastAsia="仿宋_GB2312" w:cs="Times New Roman"/>
          <w:bCs/>
          <w:sz w:val="28"/>
          <w:szCs w:val="28"/>
          <w:lang w:val="en-US" w:eastAsia="zh-CN"/>
        </w:rPr>
        <w:t>山水林田草等不同类型的生态系统都具有十分复杂的生态功能，随着城乡建设活动的开展，生态环境质量和资源要素保护面临风险。城乡生活、工业生产、能源利用、交通运输等领域发展对大气环境、水环境、土壤环境均构成一定影响。矿产开发及森林火灾等对森林资源造成破坏，平富乡乡域范围内有多处矿产开发破坏生态的情况发生，且有森林火灾等自然灾害的发生风险，容易造成巨大损失，必须加强管控及应急防护措施。</w: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pStyle w:val="33"/>
        <w:numPr>
          <w:ilvl w:val="0"/>
          <w:numId w:val="6"/>
        </w:numPr>
        <w:spacing w:before="156" w:beforeLines="50" w:after="156" w:afterLines="50" w:line="520" w:lineRule="exact"/>
        <w:rPr>
          <w:rFonts w:hint="default" w:ascii="Times New Roman" w:hAnsi="Times New Roman" w:cs="Times New Roman"/>
          <w:bCs w:val="0"/>
          <w:color w:val="auto"/>
          <w:kern w:val="2"/>
          <w:szCs w:val="32"/>
          <w:lang w:val="en-US" w:eastAsia="zh-CN"/>
        </w:rPr>
      </w:pPr>
      <w:bookmarkStart w:id="30" w:name="_Toc26474"/>
      <w:r>
        <w:rPr>
          <w:rFonts w:hint="eastAsia" w:ascii="Times New Roman" w:hAnsi="Times New Roman" w:cs="Times New Roman"/>
          <w:bCs w:val="0"/>
          <w:color w:val="auto"/>
          <w:kern w:val="2"/>
          <w:szCs w:val="32"/>
          <w:lang w:val="en-US" w:eastAsia="zh-CN"/>
        </w:rPr>
        <w:t>机遇与挑战</w:t>
      </w:r>
      <w:bookmarkEnd w:id="30"/>
    </w:p>
    <w:p>
      <w:pPr>
        <w:snapToGrid w:val="0"/>
        <w:spacing w:line="480" w:lineRule="exact"/>
        <w:ind w:firstLine="562"/>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一、发展机遇</w:t>
      </w:r>
    </w:p>
    <w:p>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Times New Roman" w:hAnsi="Times New Roman" w:eastAsia="仿宋_GB2312" w:cs="Times New Roman"/>
          <w:b/>
          <w:bCs w:val="0"/>
          <w:color w:val="auto"/>
          <w:sz w:val="28"/>
          <w:szCs w:val="28"/>
          <w:highlight w:val="none"/>
          <w:lang w:val="en-US" w:eastAsia="zh-CN"/>
        </w:rPr>
      </w:pPr>
      <w:r>
        <w:rPr>
          <w:rFonts w:hint="eastAsia" w:ascii="Times New Roman" w:hAnsi="Times New Roman" w:eastAsia="仿宋_GB2312" w:cs="Times New Roman"/>
          <w:b/>
          <w:bCs w:val="0"/>
          <w:color w:val="auto"/>
          <w:sz w:val="28"/>
          <w:szCs w:val="28"/>
          <w:highlight w:val="none"/>
          <w:lang w:val="en-US" w:eastAsia="zh-CN"/>
        </w:rPr>
        <w:t>1、在经济双循环下推动产业优化升级的机遇。</w:t>
      </w:r>
    </w:p>
    <w:p>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Times New Roman" w:hAnsi="Times New Roman" w:eastAsia="仿宋_GB2312" w:cs="Times New Roman"/>
          <w:bCs/>
          <w:color w:val="0000FF"/>
          <w:sz w:val="28"/>
          <w:szCs w:val="28"/>
          <w:highlight w:val="none"/>
          <w:lang w:val="en-US" w:eastAsia="zh-CN"/>
        </w:rPr>
      </w:pPr>
      <w:r>
        <w:rPr>
          <w:rFonts w:hint="eastAsia" w:ascii="Times New Roman" w:hAnsi="Times New Roman" w:eastAsia="仿宋_GB2312" w:cs="Times New Roman"/>
          <w:bCs/>
          <w:sz w:val="28"/>
          <w:szCs w:val="28"/>
          <w:lang w:val="en-US" w:eastAsia="zh-CN"/>
        </w:rPr>
        <w:t>对接粤港澳大湾区和赣州市的市场需求，发挥农林资源优势，加强平富乡农林产业产品化、特色化打造，加强农业产业强链延链发展，推动平富乡产业优化升级。</w:t>
      </w:r>
    </w:p>
    <w:p>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Times New Roman" w:hAnsi="Times New Roman" w:eastAsia="仿宋_GB2312" w:cs="Times New Roman"/>
          <w:b/>
          <w:bCs w:val="0"/>
          <w:color w:val="auto"/>
          <w:sz w:val="28"/>
          <w:szCs w:val="28"/>
          <w:highlight w:val="none"/>
          <w:lang w:val="en-US" w:eastAsia="zh-CN"/>
        </w:rPr>
      </w:pPr>
      <w:r>
        <w:rPr>
          <w:rFonts w:hint="eastAsia" w:ascii="Times New Roman" w:hAnsi="Times New Roman" w:eastAsia="仿宋_GB2312" w:cs="Times New Roman"/>
          <w:b/>
          <w:bCs w:val="0"/>
          <w:color w:val="auto"/>
          <w:sz w:val="28"/>
          <w:szCs w:val="28"/>
          <w:highlight w:val="none"/>
          <w:lang w:val="en-US" w:eastAsia="zh-CN"/>
        </w:rPr>
        <w:t>2、依托生态文化资源构筑全域旅游发展的机遇。</w:t>
      </w:r>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leftChars="0" w:firstLine="560" w:firstLineChars="200"/>
        <w:textAlignment w:val="auto"/>
        <w:rPr>
          <w:rFonts w:hint="eastAsia" w:ascii="Times New Roman" w:hAnsi="Times New Roman" w:eastAsia="仿宋_GB2312" w:cs="Times New Roman"/>
          <w:bCs/>
          <w:sz w:val="28"/>
          <w:szCs w:val="28"/>
          <w:lang w:val="en-US" w:eastAsia="zh-CN"/>
        </w:rPr>
      </w:pPr>
      <w:r>
        <w:rPr>
          <w:rFonts w:hint="eastAsia" w:ascii="Times New Roman" w:hAnsi="Times New Roman" w:eastAsia="仿宋_GB2312" w:cs="Times New Roman"/>
          <w:bCs/>
          <w:sz w:val="28"/>
          <w:szCs w:val="28"/>
          <w:lang w:val="en-US" w:eastAsia="zh-CN"/>
        </w:rPr>
        <w:t>立足资源优势，把握市场趋势，深入实施上犹全域旅游战略，使上犹县成为赣州市文化旅游新高地、江西知名文化旅游目的地。充分发挥平富乡红色文化、生态优势，发展农业+旅游、农村+旅游的模式，打造文旅融合示范区，上犹县休闲的目的地，乡村旅游示范点。</w:t>
      </w:r>
    </w:p>
    <w:p>
      <w:pPr>
        <w:snapToGrid w:val="0"/>
        <w:spacing w:line="480" w:lineRule="exact"/>
        <w:ind w:firstLine="562"/>
        <w:rPr>
          <w:rFonts w:hint="default"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二、面临挑战</w:t>
      </w:r>
    </w:p>
    <w:p>
      <w:pPr>
        <w:snapToGrid w:val="0"/>
        <w:spacing w:line="480" w:lineRule="exact"/>
        <w:ind w:firstLine="560"/>
        <w:rPr>
          <w:rFonts w:hint="eastAsia" w:ascii="Times New Roman" w:hAnsi="Times New Roman" w:eastAsia="仿宋_GB2312" w:cs="Times New Roman"/>
          <w:b/>
          <w:bCs w:val="0"/>
          <w:color w:val="auto"/>
          <w:sz w:val="28"/>
          <w:szCs w:val="28"/>
          <w:lang w:val="en-US" w:eastAsia="zh-CN"/>
        </w:rPr>
      </w:pPr>
      <w:r>
        <w:rPr>
          <w:rFonts w:hint="eastAsia" w:ascii="Times New Roman" w:hAnsi="Times New Roman" w:eastAsia="仿宋_GB2312" w:cs="Times New Roman"/>
          <w:b/>
          <w:bCs w:val="0"/>
          <w:color w:val="auto"/>
          <w:sz w:val="28"/>
          <w:szCs w:val="28"/>
          <w:lang w:val="en-US" w:eastAsia="zh-CN"/>
        </w:rPr>
        <w:t>1、城乡产业转型发展面临挑战</w:t>
      </w:r>
    </w:p>
    <w:p>
      <w:pPr>
        <w:snapToGrid w:val="0"/>
        <w:spacing w:line="480" w:lineRule="exact"/>
        <w:ind w:firstLine="560"/>
        <w:rPr>
          <w:rFonts w:hint="eastAsia" w:ascii="Times New Roman" w:hAnsi="Times New Roman" w:eastAsia="仿宋_GB2312" w:cs="Times New Roman"/>
          <w:bCs/>
          <w:sz w:val="28"/>
          <w:szCs w:val="28"/>
          <w:lang w:val="en-US" w:eastAsia="zh-CN"/>
        </w:rPr>
      </w:pPr>
      <w:r>
        <w:rPr>
          <w:rFonts w:hint="eastAsia" w:ascii="Times New Roman" w:hAnsi="Times New Roman" w:eastAsia="仿宋_GB2312" w:cs="Times New Roman"/>
          <w:bCs/>
          <w:sz w:val="28"/>
          <w:szCs w:val="28"/>
          <w:lang w:val="en-US" w:eastAsia="zh-CN"/>
        </w:rPr>
        <w:t>平富乡现状仍以农业生产和外出务工为主，农业产业规模化、特色化不足，产业链较短，效益不高；第二产业较少；第三产业处于筑基期，还需要投入较大规模的旅游配套设施建设。如何确定平富乡未来的发展方向，如何加强土地集约节约利用，如何降低水耗、能耗，提高投资效益等多领域将面临更高的要求。</w:t>
      </w:r>
    </w:p>
    <w:p>
      <w:pPr>
        <w:snapToGrid w:val="0"/>
        <w:spacing w:line="480" w:lineRule="exact"/>
        <w:ind w:firstLine="560"/>
        <w:rPr>
          <w:rFonts w:hint="eastAsia" w:ascii="Times New Roman" w:hAnsi="Times New Roman" w:eastAsia="仿宋_GB2312" w:cs="Times New Roman"/>
          <w:b/>
          <w:bCs w:val="0"/>
          <w:color w:val="auto"/>
          <w:sz w:val="28"/>
          <w:szCs w:val="28"/>
          <w:lang w:val="en-US" w:eastAsia="zh-CN"/>
        </w:rPr>
      </w:pPr>
      <w:r>
        <w:rPr>
          <w:rFonts w:hint="eastAsia" w:ascii="Times New Roman" w:hAnsi="Times New Roman" w:eastAsia="仿宋_GB2312" w:cs="Times New Roman"/>
          <w:b/>
          <w:bCs w:val="0"/>
          <w:color w:val="auto"/>
          <w:sz w:val="28"/>
          <w:szCs w:val="28"/>
          <w:lang w:val="en-US" w:eastAsia="zh-CN"/>
        </w:rPr>
        <w:t>2、虹吸效应导致的人口外流加剧</w:t>
      </w:r>
    </w:p>
    <w:p>
      <w:pPr>
        <w:keepNext w:val="0"/>
        <w:keepLines w:val="0"/>
        <w:pageBreakBefore w:val="0"/>
        <w:widowControl w:val="0"/>
        <w:kinsoku/>
        <w:wordWrap/>
        <w:overflowPunct/>
        <w:topLinePunct w:val="0"/>
        <w:autoSpaceDE/>
        <w:autoSpaceDN/>
        <w:bidi w:val="0"/>
        <w:adjustRightInd/>
        <w:snapToGrid w:val="0"/>
        <w:spacing w:line="480" w:lineRule="exact"/>
        <w:ind w:firstLine="560"/>
        <w:textAlignment w:val="auto"/>
        <w:rPr>
          <w:rFonts w:hint="eastAsia" w:ascii="Times New Roman" w:hAnsi="Times New Roman" w:eastAsia="仿宋_GB2312" w:cs="Times New Roman"/>
          <w:b w:val="0"/>
          <w:bCs/>
          <w:color w:val="auto"/>
          <w:sz w:val="28"/>
          <w:szCs w:val="28"/>
          <w:highlight w:val="none"/>
          <w:lang w:val="en-US" w:eastAsia="zh-CN"/>
        </w:rPr>
      </w:pPr>
      <w:r>
        <w:rPr>
          <w:rFonts w:hint="eastAsia" w:ascii="Times New Roman" w:hAnsi="Times New Roman" w:eastAsia="仿宋_GB2312" w:cs="Times New Roman"/>
          <w:bCs/>
          <w:sz w:val="28"/>
          <w:szCs w:val="28"/>
          <w:lang w:val="en-US" w:eastAsia="zh-CN"/>
        </w:rPr>
        <w:t>近年来赣州市经济高速发展，上犹县城城市品质快速提升，东部营前镇中心镇职能逐渐加强，随着区域性交通设施日趋完善，从而产生了较为明显的人口虹吸效应，平富乡人口外流趋势逐年加剧。如何改善乡镇创业、工作和生活环境，提升乡镇集聚效应，吸引外流人口回流已成为当前平富面临的严峻挑战之一。</w:t>
      </w:r>
    </w:p>
    <w:p>
      <w:pPr>
        <w:pStyle w:val="18"/>
        <w:rPr>
          <w:rFonts w:hint="eastAsia"/>
          <w:lang w:val="en-US" w:eastAsia="zh-CN"/>
        </w:rPr>
      </w:pPr>
    </w:p>
    <w:p>
      <w:pPr>
        <w:pStyle w:val="34"/>
        <w:keepNext/>
        <w:keepLines/>
        <w:pageBreakBefore w:val="0"/>
        <w:widowControl w:val="0"/>
        <w:kinsoku/>
        <w:wordWrap/>
        <w:overflowPunct/>
        <w:topLinePunct w:val="0"/>
        <w:autoSpaceDE/>
        <w:autoSpaceDN/>
        <w:bidi w:val="0"/>
        <w:adjustRightInd/>
        <w:snapToGrid/>
        <w:spacing w:before="156" w:beforeLines="50" w:after="156" w:afterLines="50"/>
        <w:ind w:left="0" w:firstLine="0" w:firstLineChars="0"/>
        <w:jc w:val="center"/>
        <w:textAlignment w:val="center"/>
        <w:rPr>
          <w:rFonts w:hint="eastAsia" w:ascii="Times New Roman" w:hAnsi="Times New Roman" w:eastAsia="Arial Unicode MS" w:cs="Times New Roman"/>
          <w:color w:val="auto"/>
          <w:lang w:val="en-US" w:eastAsia="zh-CN"/>
        </w:rPr>
      </w:pPr>
      <w:bookmarkStart w:id="31" w:name="_Toc2500"/>
      <w:r>
        <w:rPr>
          <w:rFonts w:hint="eastAsia" w:ascii="Times New Roman" w:hAnsi="Times New Roman" w:eastAsia="Arial Unicode MS" w:cs="Times New Roman"/>
          <w:color w:val="auto"/>
          <w:lang w:val="en-US" w:eastAsia="zh-CN"/>
        </w:rPr>
        <w:br w:type="column"/>
      </w:r>
      <w:r>
        <w:rPr>
          <w:rFonts w:hint="eastAsia" w:ascii="Times New Roman" w:hAnsi="Times New Roman" w:eastAsia="Arial Unicode MS" w:cs="Times New Roman"/>
          <w:color w:val="auto"/>
          <w:lang w:val="en-US" w:eastAsia="zh-CN"/>
        </w:rPr>
        <w:t>第三章 目标战略与区域协同</w:t>
      </w:r>
      <w:bookmarkEnd w:id="31"/>
    </w:p>
    <w:p>
      <w:pPr>
        <w:pStyle w:val="33"/>
        <w:spacing w:before="156" w:beforeLines="50" w:after="156" w:afterLines="50" w:line="520" w:lineRule="exact"/>
        <w:rPr>
          <w:rFonts w:hint="eastAsia" w:ascii="Times New Roman" w:hAnsi="Times New Roman"/>
          <w:color w:val="auto"/>
          <w:kern w:val="2"/>
          <w:szCs w:val="32"/>
          <w:lang w:val="en-US" w:eastAsia="zh-CN"/>
        </w:rPr>
      </w:pPr>
      <w:bookmarkStart w:id="32" w:name="_Toc31465"/>
      <w:r>
        <w:rPr>
          <w:rFonts w:hint="eastAsia" w:ascii="Times New Roman" w:hAnsi="Times New Roman"/>
          <w:color w:val="auto"/>
          <w:kern w:val="2"/>
          <w:szCs w:val="32"/>
          <w:lang w:val="en-US" w:eastAsia="zh-CN"/>
        </w:rPr>
        <w:t>第一节 发展定位与目标</w:t>
      </w:r>
      <w:bookmarkEnd w:id="32"/>
    </w:p>
    <w:p>
      <w:pPr>
        <w:keepNext w:val="0"/>
        <w:keepLines w:val="0"/>
        <w:pageBreakBefore w:val="0"/>
        <w:widowControl w:val="0"/>
        <w:numPr>
          <w:ilvl w:val="0"/>
          <w:numId w:val="0"/>
        </w:numPr>
        <w:kinsoku/>
        <w:wordWrap/>
        <w:overflowPunct/>
        <w:topLinePunct w:val="0"/>
        <w:autoSpaceDE/>
        <w:autoSpaceDN/>
        <w:bidi w:val="0"/>
        <w:adjustRightInd/>
        <w:snapToGrid w:val="0"/>
        <w:spacing w:line="480" w:lineRule="exact"/>
        <w:ind w:firstLine="560" w:firstLineChars="200"/>
        <w:textAlignment w:val="auto"/>
        <w:rPr>
          <w:rFonts w:hint="eastAsia" w:ascii="Times New Roman" w:hAnsi="Times New Roman" w:eastAsia="仿宋_GB2312" w:cs="Times New Roman"/>
          <w:b/>
          <w:color w:val="auto"/>
          <w:sz w:val="28"/>
          <w:szCs w:val="28"/>
          <w:lang w:val="en-US" w:eastAsia="zh-CN"/>
        </w:rPr>
      </w:pPr>
      <w:r>
        <w:rPr>
          <w:rFonts w:hint="eastAsia" w:ascii="仿宋_GB2312" w:hAnsi="宋体" w:eastAsia="仿宋_GB2312" w:cs="仿宋_GB2312"/>
          <w:color w:val="000000"/>
          <w:kern w:val="0"/>
          <w:sz w:val="28"/>
          <w:szCs w:val="28"/>
          <w:lang w:val="en-US" w:eastAsia="zh-CN" w:bidi="ar"/>
        </w:rPr>
        <w:t>一、</w:t>
      </w:r>
      <w:r>
        <w:rPr>
          <w:rFonts w:hint="eastAsia" w:ascii="Times New Roman" w:hAnsi="Times New Roman" w:eastAsia="仿宋_GB2312" w:cs="Times New Roman"/>
          <w:b/>
          <w:color w:val="auto"/>
          <w:sz w:val="28"/>
          <w:szCs w:val="28"/>
          <w:lang w:val="en-US" w:eastAsia="zh-CN"/>
        </w:rPr>
        <w:t>上位规划及相关规划战略传导</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《上犹县国民经济和社会发展第十四个五年规划和二0三五年远景目标纲要》：平富乡是农业乡镇，产业职能水稻种植、特色种植，乡村旅游。</w:t>
      </w:r>
    </w:p>
    <w:p>
      <w:pPr>
        <w:snapToGrid w:val="0"/>
        <w:spacing w:line="480" w:lineRule="exact"/>
        <w:ind w:firstLine="560"/>
        <w:rPr>
          <w:rFonts w:hint="default"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《上犹县国土空间总体规划（2021-2035年）》：平富乡</w:t>
      </w:r>
      <w:r>
        <w:rPr>
          <w:rFonts w:hint="default" w:ascii="Times New Roman" w:hAnsi="Times New Roman" w:eastAsia="仿宋_GB2312" w:cs="Times New Roman"/>
          <w:bCs/>
          <w:color w:val="auto"/>
          <w:sz w:val="28"/>
          <w:szCs w:val="28"/>
          <w:lang w:val="en-US" w:eastAsia="zh-CN"/>
        </w:rPr>
        <w:t>是上犹县西北部地区的绿色农业、休闲旅游型生态乡、重点生态</w:t>
      </w:r>
      <w:r>
        <w:rPr>
          <w:rFonts w:hint="eastAsia" w:ascii="Times New Roman" w:hAnsi="Times New Roman" w:eastAsia="仿宋_GB2312" w:cs="Times New Roman"/>
          <w:bCs/>
          <w:color w:val="auto"/>
          <w:sz w:val="28"/>
          <w:szCs w:val="28"/>
          <w:lang w:val="en-US" w:eastAsia="zh-CN"/>
        </w:rPr>
        <w:t>功能区。其职能为：农林产品种植基地；饮用水生态价值提升区；山地休闲旅游区；全乡的政治、经济、文化中心。主导产业定位为：以茶叶、油茶、毛竹为主的农业产业，旅游服务产业。至</w:t>
      </w:r>
      <w:r>
        <w:rPr>
          <w:rFonts w:hint="default" w:ascii="Times New Roman" w:hAnsi="Times New Roman" w:eastAsia="仿宋_GB2312" w:cs="Times New Roman"/>
          <w:bCs/>
          <w:color w:val="auto"/>
          <w:sz w:val="28"/>
          <w:szCs w:val="28"/>
          <w:lang w:val="en-US" w:eastAsia="zh-CN"/>
        </w:rPr>
        <w:t>2035</w:t>
      </w:r>
      <w:r>
        <w:rPr>
          <w:rFonts w:hint="eastAsia" w:ascii="Times New Roman" w:hAnsi="Times New Roman" w:eastAsia="仿宋_GB2312" w:cs="Times New Roman"/>
          <w:bCs/>
          <w:color w:val="auto"/>
          <w:sz w:val="28"/>
          <w:szCs w:val="28"/>
          <w:lang w:val="en-US" w:eastAsia="zh-CN"/>
        </w:rPr>
        <w:t>年，圩镇常住人口达到</w:t>
      </w:r>
      <w:r>
        <w:rPr>
          <w:rFonts w:hint="default" w:ascii="Times New Roman" w:hAnsi="Times New Roman" w:eastAsia="仿宋_GB2312" w:cs="Times New Roman"/>
          <w:bCs/>
          <w:color w:val="auto"/>
          <w:sz w:val="28"/>
          <w:szCs w:val="28"/>
          <w:lang w:val="en-US" w:eastAsia="zh-CN"/>
        </w:rPr>
        <w:t>0.3</w:t>
      </w:r>
      <w:r>
        <w:rPr>
          <w:rFonts w:hint="eastAsia" w:ascii="Times New Roman" w:hAnsi="Times New Roman" w:eastAsia="仿宋_GB2312" w:cs="Times New Roman"/>
          <w:bCs/>
          <w:color w:val="auto"/>
          <w:sz w:val="28"/>
          <w:szCs w:val="28"/>
          <w:lang w:val="en-US" w:eastAsia="zh-CN"/>
        </w:rPr>
        <w:t>万人。</w:t>
      </w:r>
    </w:p>
    <w:p>
      <w:pPr>
        <w:snapToGrid w:val="0"/>
        <w:spacing w:line="480" w:lineRule="exact"/>
        <w:ind w:firstLine="562"/>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二、战略定位</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确定本次规划中平富乡总体定位为</w:t>
      </w:r>
      <w:r>
        <w:rPr>
          <w:rFonts w:hint="eastAsia" w:ascii="Times New Roman" w:hAnsi="Times New Roman" w:eastAsia="仿宋_GB2312" w:cs="Times New Roman"/>
          <w:b/>
          <w:bCs w:val="0"/>
          <w:color w:val="auto"/>
          <w:sz w:val="28"/>
          <w:szCs w:val="28"/>
          <w:lang w:val="en-US" w:eastAsia="zh-CN"/>
        </w:rPr>
        <w:t>：以农业种植为基础，生态旅游、温泉康养为特色的生态农旅城镇。</w:t>
      </w:r>
    </w:p>
    <w:p>
      <w:pPr>
        <w:keepNext w:val="0"/>
        <w:keepLines w:val="0"/>
        <w:widowControl/>
        <w:suppressLineNumbers w:val="0"/>
        <w:jc w:val="left"/>
      </w:pPr>
      <w:r>
        <w:rPr>
          <w:rFonts w:hint="eastAsia" w:ascii="Times New Roman" w:hAnsi="Times New Roman" w:eastAsia="仿宋_GB2312" w:cs="Times New Roman"/>
          <w:b/>
          <w:bCs w:val="0"/>
          <w:color w:val="auto"/>
          <w:sz w:val="28"/>
          <w:szCs w:val="28"/>
          <w:lang w:val="en-US" w:eastAsia="zh-CN"/>
        </w:rPr>
        <w:t>1、上犹县农林产品种植基地</w:t>
      </w:r>
    </w:p>
    <w:p>
      <w:pPr>
        <w:snapToGrid w:val="0"/>
        <w:spacing w:line="480" w:lineRule="exact"/>
        <w:ind w:firstLine="560"/>
        <w:rPr>
          <w:rFonts w:hint="default" w:ascii="Times New Roman" w:hAnsi="Times New Roman" w:eastAsia="仿宋_GB2312" w:cs="Times New Roman"/>
          <w:bCs/>
          <w:color w:val="auto"/>
          <w:sz w:val="28"/>
          <w:szCs w:val="28"/>
          <w:lang w:val="en-US" w:eastAsia="zh-CN"/>
        </w:rPr>
      </w:pPr>
      <w:r>
        <w:rPr>
          <w:rFonts w:ascii="仿宋_GB2312" w:hAnsi="宋体" w:eastAsia="仿宋_GB2312" w:cs="仿宋_GB2312"/>
          <w:color w:val="000000"/>
          <w:kern w:val="0"/>
          <w:sz w:val="28"/>
          <w:szCs w:val="28"/>
          <w:lang w:val="en-US" w:eastAsia="zh-CN" w:bidi="ar"/>
        </w:rPr>
        <w:t>加强农业产业化，建设特色农产品基地</w:t>
      </w:r>
      <w:r>
        <w:rPr>
          <w:rFonts w:hint="eastAsia" w:ascii="Times New Roman" w:hAnsi="Times New Roman" w:eastAsia="仿宋_GB2312" w:cs="Times New Roman"/>
          <w:bCs/>
          <w:color w:val="auto"/>
          <w:sz w:val="28"/>
          <w:szCs w:val="28"/>
          <w:lang w:val="en-US" w:eastAsia="zh-CN"/>
        </w:rPr>
        <w:t>。以</w:t>
      </w:r>
      <w:r>
        <w:rPr>
          <w:rFonts w:hint="default" w:ascii="Times New Roman" w:hAnsi="Times New Roman" w:eastAsia="仿宋_GB2312" w:cs="Times New Roman"/>
          <w:bCs/>
          <w:color w:val="auto"/>
          <w:sz w:val="28"/>
          <w:szCs w:val="28"/>
          <w:lang w:val="en-US" w:eastAsia="zh-CN"/>
        </w:rPr>
        <w:t>一村一品</w:t>
      </w:r>
      <w:r>
        <w:rPr>
          <w:rFonts w:hint="eastAsia" w:ascii="Times New Roman" w:hAnsi="Times New Roman" w:eastAsia="仿宋_GB2312" w:cs="Times New Roman"/>
          <w:bCs/>
          <w:color w:val="auto"/>
          <w:sz w:val="28"/>
          <w:szCs w:val="28"/>
          <w:lang w:val="en-US" w:eastAsia="zh-CN"/>
        </w:rPr>
        <w:t>实施农业</w:t>
      </w:r>
      <w:r>
        <w:rPr>
          <w:rFonts w:hint="default" w:ascii="Times New Roman" w:hAnsi="Times New Roman" w:eastAsia="仿宋_GB2312" w:cs="Times New Roman"/>
          <w:bCs/>
          <w:color w:val="auto"/>
          <w:sz w:val="28"/>
          <w:szCs w:val="28"/>
          <w:lang w:val="en-US" w:eastAsia="zh-CN"/>
        </w:rPr>
        <w:t>产业布局</w:t>
      </w:r>
      <w:r>
        <w:rPr>
          <w:rFonts w:hint="eastAsia" w:ascii="Times New Roman" w:hAnsi="Times New Roman" w:eastAsia="仿宋_GB2312" w:cs="Times New Roman"/>
          <w:bCs/>
          <w:color w:val="auto"/>
          <w:sz w:val="28"/>
          <w:szCs w:val="28"/>
          <w:lang w:val="en-US" w:eastAsia="zh-CN"/>
        </w:rPr>
        <w:t>，上寨脐橙</w:t>
      </w:r>
      <w:r>
        <w:rPr>
          <w:rFonts w:hint="default" w:ascii="Times New Roman" w:hAnsi="Times New Roman" w:eastAsia="仿宋_GB2312" w:cs="Times New Roman"/>
          <w:bCs/>
          <w:color w:val="auto"/>
          <w:sz w:val="28"/>
          <w:szCs w:val="28"/>
          <w:lang w:val="en-US" w:eastAsia="zh-CN"/>
        </w:rPr>
        <w:t>和</w:t>
      </w:r>
      <w:r>
        <w:rPr>
          <w:rFonts w:hint="eastAsia" w:ascii="Times New Roman" w:hAnsi="Times New Roman" w:eastAsia="仿宋_GB2312" w:cs="Times New Roman"/>
          <w:bCs/>
          <w:color w:val="auto"/>
          <w:sz w:val="28"/>
          <w:szCs w:val="28"/>
          <w:lang w:val="en-US" w:eastAsia="zh-CN"/>
        </w:rPr>
        <w:t>茶叶</w:t>
      </w:r>
      <w:r>
        <w:rPr>
          <w:rFonts w:hint="default" w:ascii="Times New Roman" w:hAnsi="Times New Roman" w:eastAsia="仿宋_GB2312" w:cs="Times New Roman"/>
          <w:bCs/>
          <w:color w:val="auto"/>
          <w:sz w:val="28"/>
          <w:szCs w:val="28"/>
          <w:lang w:val="en-US" w:eastAsia="zh-CN"/>
        </w:rPr>
        <w:t>基地</w:t>
      </w:r>
      <w:r>
        <w:rPr>
          <w:rFonts w:hint="eastAsia" w:ascii="Times New Roman" w:hAnsi="Times New Roman" w:eastAsia="仿宋_GB2312" w:cs="Times New Roman"/>
          <w:bCs/>
          <w:color w:val="auto"/>
          <w:sz w:val="28"/>
          <w:szCs w:val="28"/>
          <w:lang w:val="en-US" w:eastAsia="zh-CN"/>
        </w:rPr>
        <w:t>、平富</w:t>
      </w:r>
      <w:r>
        <w:rPr>
          <w:rFonts w:hint="default" w:ascii="Times New Roman" w:hAnsi="Times New Roman" w:eastAsia="仿宋_GB2312" w:cs="Times New Roman"/>
          <w:bCs/>
          <w:color w:val="auto"/>
          <w:sz w:val="28"/>
          <w:szCs w:val="28"/>
          <w:lang w:val="en-US" w:eastAsia="zh-CN"/>
        </w:rPr>
        <w:t>村无公害蔬菜基地</w:t>
      </w:r>
      <w:r>
        <w:rPr>
          <w:rFonts w:hint="eastAsia" w:ascii="Times New Roman" w:hAnsi="Times New Roman" w:eastAsia="仿宋_GB2312" w:cs="Times New Roman"/>
          <w:bCs/>
          <w:color w:val="auto"/>
          <w:sz w:val="28"/>
          <w:szCs w:val="28"/>
          <w:lang w:val="en-US" w:eastAsia="zh-CN"/>
        </w:rPr>
        <w:t>、信地</w:t>
      </w:r>
      <w:r>
        <w:rPr>
          <w:rFonts w:hint="default" w:ascii="Times New Roman" w:hAnsi="Times New Roman" w:eastAsia="仿宋_GB2312" w:cs="Times New Roman"/>
          <w:bCs/>
          <w:color w:val="auto"/>
          <w:sz w:val="28"/>
          <w:szCs w:val="28"/>
          <w:lang w:val="en-US" w:eastAsia="zh-CN"/>
        </w:rPr>
        <w:t>村</w:t>
      </w:r>
      <w:r>
        <w:rPr>
          <w:rFonts w:hint="eastAsia" w:ascii="Times New Roman" w:hAnsi="Times New Roman" w:eastAsia="仿宋_GB2312" w:cs="Times New Roman"/>
          <w:bCs/>
          <w:color w:val="auto"/>
          <w:sz w:val="28"/>
          <w:szCs w:val="28"/>
          <w:lang w:val="en-US" w:eastAsia="zh-CN"/>
        </w:rPr>
        <w:t>茶叶</w:t>
      </w:r>
      <w:r>
        <w:rPr>
          <w:rFonts w:hint="default" w:ascii="Times New Roman" w:hAnsi="Times New Roman" w:eastAsia="仿宋_GB2312" w:cs="Times New Roman"/>
          <w:bCs/>
          <w:color w:val="auto"/>
          <w:sz w:val="28"/>
          <w:szCs w:val="28"/>
          <w:lang w:val="en-US" w:eastAsia="zh-CN"/>
        </w:rPr>
        <w:t>基地</w:t>
      </w:r>
      <w:r>
        <w:rPr>
          <w:rFonts w:hint="eastAsia" w:ascii="Times New Roman" w:hAnsi="Times New Roman" w:eastAsia="仿宋_GB2312" w:cs="Times New Roman"/>
          <w:bCs/>
          <w:color w:val="auto"/>
          <w:sz w:val="28"/>
          <w:szCs w:val="28"/>
          <w:lang w:val="en-US" w:eastAsia="zh-CN"/>
        </w:rPr>
        <w:t>、庄坑村毛竹、生姜、横坑村脐橙、黄桃基地等，</w:t>
      </w:r>
      <w:r>
        <w:rPr>
          <w:rFonts w:hint="default" w:ascii="Times New Roman" w:hAnsi="Times New Roman" w:eastAsia="仿宋_GB2312" w:cs="Times New Roman"/>
          <w:bCs/>
          <w:color w:val="auto"/>
          <w:sz w:val="28"/>
          <w:szCs w:val="28"/>
          <w:lang w:val="en-US" w:eastAsia="zh-CN"/>
        </w:rPr>
        <w:t>将</w:t>
      </w:r>
      <w:r>
        <w:rPr>
          <w:rFonts w:hint="eastAsia" w:ascii="Times New Roman" w:hAnsi="Times New Roman" w:eastAsia="仿宋_GB2312" w:cs="Times New Roman"/>
          <w:bCs/>
          <w:color w:val="auto"/>
          <w:sz w:val="28"/>
          <w:szCs w:val="28"/>
          <w:lang w:val="en-US" w:eastAsia="zh-CN"/>
        </w:rPr>
        <w:t>平富乡</w:t>
      </w:r>
      <w:r>
        <w:rPr>
          <w:rFonts w:hint="default" w:ascii="Times New Roman" w:hAnsi="Times New Roman" w:eastAsia="仿宋_GB2312" w:cs="Times New Roman"/>
          <w:bCs/>
          <w:color w:val="auto"/>
          <w:sz w:val="28"/>
          <w:szCs w:val="28"/>
          <w:lang w:val="en-US" w:eastAsia="zh-CN"/>
        </w:rPr>
        <w:t>打造成</w:t>
      </w:r>
      <w:r>
        <w:rPr>
          <w:rFonts w:hint="eastAsia" w:ascii="Times New Roman" w:hAnsi="Times New Roman" w:eastAsia="仿宋_GB2312" w:cs="Times New Roman"/>
          <w:bCs/>
          <w:color w:val="auto"/>
          <w:sz w:val="28"/>
          <w:szCs w:val="28"/>
          <w:lang w:val="en-US" w:eastAsia="zh-CN"/>
        </w:rPr>
        <w:t>特色</w:t>
      </w:r>
      <w:r>
        <w:rPr>
          <w:rFonts w:hint="default" w:ascii="Times New Roman" w:hAnsi="Times New Roman" w:eastAsia="仿宋_GB2312" w:cs="Times New Roman"/>
          <w:bCs/>
          <w:color w:val="auto"/>
          <w:sz w:val="28"/>
          <w:szCs w:val="28"/>
          <w:lang w:val="en-US" w:eastAsia="zh-CN"/>
        </w:rPr>
        <w:t>农</w:t>
      </w:r>
      <w:r>
        <w:rPr>
          <w:rFonts w:hint="eastAsia" w:ascii="Times New Roman" w:hAnsi="Times New Roman" w:eastAsia="仿宋_GB2312" w:cs="Times New Roman"/>
          <w:bCs/>
          <w:color w:val="auto"/>
          <w:sz w:val="28"/>
          <w:szCs w:val="28"/>
          <w:lang w:val="en-US" w:eastAsia="zh-CN"/>
        </w:rPr>
        <w:t>林</w:t>
      </w:r>
      <w:r>
        <w:rPr>
          <w:rFonts w:hint="default" w:ascii="Times New Roman" w:hAnsi="Times New Roman" w:eastAsia="仿宋_GB2312" w:cs="Times New Roman"/>
          <w:bCs/>
          <w:color w:val="auto"/>
          <w:sz w:val="28"/>
          <w:szCs w:val="28"/>
          <w:lang w:val="en-US" w:eastAsia="zh-CN"/>
        </w:rPr>
        <w:t>产品</w:t>
      </w:r>
      <w:r>
        <w:rPr>
          <w:rFonts w:hint="eastAsia" w:ascii="Times New Roman" w:hAnsi="Times New Roman" w:eastAsia="仿宋_GB2312" w:cs="Times New Roman"/>
          <w:bCs/>
          <w:color w:val="auto"/>
          <w:sz w:val="28"/>
          <w:szCs w:val="28"/>
          <w:lang w:val="en-US" w:eastAsia="zh-CN"/>
        </w:rPr>
        <w:t>种植</w:t>
      </w:r>
      <w:r>
        <w:rPr>
          <w:rFonts w:hint="default" w:ascii="Times New Roman" w:hAnsi="Times New Roman" w:eastAsia="仿宋_GB2312" w:cs="Times New Roman"/>
          <w:bCs/>
          <w:color w:val="auto"/>
          <w:sz w:val="28"/>
          <w:szCs w:val="28"/>
          <w:lang w:val="en-US" w:eastAsia="zh-CN"/>
        </w:rPr>
        <w:t>基地</w:t>
      </w:r>
      <w:r>
        <w:rPr>
          <w:rFonts w:hint="eastAsia" w:ascii="Times New Roman" w:hAnsi="Times New Roman" w:eastAsia="仿宋_GB2312" w:cs="Times New Roman"/>
          <w:bCs/>
          <w:color w:val="auto"/>
          <w:sz w:val="28"/>
          <w:szCs w:val="28"/>
          <w:lang w:val="en-US" w:eastAsia="zh-CN"/>
        </w:rPr>
        <w:t>。</w:t>
      </w:r>
    </w:p>
    <w:p>
      <w:pPr>
        <w:keepNext w:val="0"/>
        <w:keepLines w:val="0"/>
        <w:widowControl/>
        <w:suppressLineNumbers w:val="0"/>
        <w:jc w:val="left"/>
        <w:rPr>
          <w:rFonts w:hint="eastAsia" w:ascii="Times New Roman" w:hAnsi="Times New Roman" w:eastAsia="仿宋_GB2312" w:cs="Times New Roman"/>
          <w:b/>
          <w:bCs w:val="0"/>
          <w:color w:val="auto"/>
          <w:sz w:val="28"/>
          <w:szCs w:val="28"/>
          <w:lang w:val="en-US" w:eastAsia="zh-CN"/>
        </w:rPr>
      </w:pPr>
      <w:r>
        <w:rPr>
          <w:rFonts w:hint="eastAsia" w:ascii="Times New Roman" w:hAnsi="Times New Roman" w:eastAsia="仿宋_GB2312" w:cs="Times New Roman"/>
          <w:b/>
          <w:bCs w:val="0"/>
          <w:color w:val="auto"/>
          <w:sz w:val="28"/>
          <w:szCs w:val="28"/>
          <w:lang w:val="en-US" w:eastAsia="zh-CN"/>
        </w:rPr>
        <w:t>2、上犹县生态休闲旅游区</w:t>
      </w:r>
    </w:p>
    <w:p>
      <w:pPr>
        <w:snapToGrid w:val="0"/>
        <w:spacing w:line="480" w:lineRule="exact"/>
        <w:ind w:firstLine="560"/>
        <w:rPr>
          <w:rFonts w:hint="default" w:ascii="Times New Roman" w:hAnsi="Times New Roman" w:eastAsia="仿宋_GB2312" w:cs="Times New Roman"/>
          <w:bCs/>
          <w:color w:val="auto"/>
          <w:sz w:val="28"/>
          <w:szCs w:val="28"/>
          <w:lang w:val="en-US" w:eastAsia="zh-CN"/>
        </w:rPr>
      </w:pPr>
      <w:r>
        <w:rPr>
          <w:rFonts w:hint="eastAsia" w:ascii="仿宋_GB2312" w:hAnsi="宋体" w:eastAsia="仿宋_GB2312" w:cs="仿宋_GB2312"/>
          <w:color w:val="000000"/>
          <w:kern w:val="0"/>
          <w:sz w:val="28"/>
          <w:szCs w:val="28"/>
          <w:lang w:val="en-US" w:eastAsia="zh-CN" w:bidi="ar"/>
        </w:rPr>
        <w:t>依托优质的生态资源，以燕子岩景区为核心，以上寨温泉康养为特色，带动平富乡生态休闲旅游发展</w:t>
      </w:r>
      <w:r>
        <w:rPr>
          <w:rFonts w:hint="eastAsia" w:ascii="Times New Roman" w:hAnsi="Times New Roman" w:eastAsia="仿宋_GB2312" w:cs="Times New Roman"/>
          <w:bCs/>
          <w:color w:val="auto"/>
          <w:sz w:val="28"/>
          <w:szCs w:val="28"/>
          <w:lang w:val="en-US" w:eastAsia="zh-CN"/>
        </w:rPr>
        <w:t>。结合茶叶种植、脐橙种植打造“农业+旅游”，结合上寨村红色文化打造“文化+旅游”，</w:t>
      </w:r>
      <w:r>
        <w:rPr>
          <w:rFonts w:hint="eastAsia" w:ascii="仿宋_GB2312" w:hAnsi="宋体" w:eastAsia="仿宋_GB2312" w:cs="仿宋_GB2312"/>
          <w:color w:val="000000"/>
          <w:kern w:val="0"/>
          <w:sz w:val="28"/>
          <w:szCs w:val="28"/>
          <w:lang w:val="en-US" w:eastAsia="zh-CN" w:bidi="ar"/>
        </w:rPr>
        <w:t>把平富乡打造成上犹县重要的生态</w:t>
      </w:r>
      <w:r>
        <w:rPr>
          <w:rFonts w:hint="default" w:ascii="仿宋_GB2312" w:hAnsi="宋体" w:eastAsia="仿宋_GB2312" w:cs="仿宋_GB2312"/>
          <w:color w:val="000000"/>
          <w:kern w:val="0"/>
          <w:sz w:val="28"/>
          <w:szCs w:val="28"/>
          <w:lang w:val="en-US" w:eastAsia="zh-CN" w:bidi="ar"/>
        </w:rPr>
        <w:t>休闲旅游</w:t>
      </w:r>
      <w:r>
        <w:rPr>
          <w:rFonts w:hint="eastAsia" w:ascii="仿宋_GB2312" w:hAnsi="宋体" w:eastAsia="仿宋_GB2312" w:cs="仿宋_GB2312"/>
          <w:color w:val="000000"/>
          <w:kern w:val="0"/>
          <w:sz w:val="28"/>
          <w:szCs w:val="28"/>
          <w:lang w:val="en-US" w:eastAsia="zh-CN" w:bidi="ar"/>
        </w:rPr>
        <w:t>目的地。</w:t>
      </w:r>
    </w:p>
    <w:p>
      <w:pPr>
        <w:snapToGrid w:val="0"/>
        <w:spacing w:line="480" w:lineRule="exact"/>
        <w:ind w:firstLine="560"/>
        <w:rPr>
          <w:rFonts w:hint="default" w:ascii="Times New Roman" w:hAnsi="Times New Roman" w:eastAsia="仿宋_GB2312" w:cs="Times New Roman"/>
          <w:bCs/>
          <w:color w:val="auto"/>
          <w:sz w:val="28"/>
          <w:szCs w:val="28"/>
          <w:lang w:val="en-US" w:eastAsia="zh-CN"/>
        </w:rPr>
      </w:pPr>
    </w:p>
    <w:p>
      <w:pPr>
        <w:snapToGrid w:val="0"/>
        <w:spacing w:line="480" w:lineRule="exact"/>
        <w:ind w:firstLine="560"/>
        <w:rPr>
          <w:rFonts w:hint="default" w:ascii="Times New Roman" w:hAnsi="Times New Roman" w:eastAsia="仿宋_GB2312" w:cs="Times New Roman"/>
          <w:bCs/>
          <w:color w:val="auto"/>
          <w:sz w:val="28"/>
          <w:szCs w:val="28"/>
          <w:lang w:val="en-US" w:eastAsia="zh-CN"/>
        </w:rPr>
      </w:pPr>
    </w:p>
    <w:p>
      <w:pPr>
        <w:pStyle w:val="33"/>
        <w:spacing w:before="156" w:beforeLines="50" w:after="156" w:afterLines="50" w:line="520" w:lineRule="exact"/>
        <w:rPr>
          <w:rFonts w:hint="eastAsia" w:ascii="Times New Roman" w:hAnsi="Times New Roman" w:cs="Times New Roman"/>
          <w:bCs w:val="0"/>
          <w:color w:val="auto"/>
          <w:kern w:val="2"/>
          <w:szCs w:val="32"/>
          <w:lang w:val="en-US" w:eastAsia="zh-CN"/>
        </w:rPr>
      </w:pPr>
      <w:bookmarkStart w:id="33" w:name="_Toc25682"/>
      <w:r>
        <w:rPr>
          <w:rFonts w:hint="eastAsia" w:ascii="Times New Roman" w:hAnsi="Times New Roman" w:cs="Times New Roman"/>
          <w:bCs w:val="0"/>
          <w:color w:val="auto"/>
          <w:kern w:val="2"/>
          <w:szCs w:val="32"/>
          <w:lang w:val="en-US" w:eastAsia="zh-CN"/>
        </w:rPr>
        <w:t>第二节 国土空间开发保护指标体系</w:t>
      </w:r>
      <w:bookmarkEnd w:id="33"/>
    </w:p>
    <w:p>
      <w:pPr>
        <w:snapToGrid w:val="0"/>
        <w:spacing w:line="480" w:lineRule="exact"/>
        <w:ind w:firstLine="560"/>
        <w:rPr>
          <w:rFonts w:hint="default" w:ascii="Times New Roman" w:hAnsi="Times New Roman" w:eastAsia="仿宋_GB2312" w:cs="Times New Roman"/>
          <w:bCs/>
          <w:color w:val="auto"/>
          <w:sz w:val="28"/>
          <w:szCs w:val="28"/>
          <w:lang w:val="en-US" w:eastAsia="zh-CN"/>
        </w:rPr>
      </w:pPr>
      <w:r>
        <w:rPr>
          <w:rFonts w:hint="default" w:ascii="Times New Roman" w:hAnsi="Times New Roman" w:eastAsia="仿宋_GB2312" w:cs="Times New Roman"/>
          <w:bCs/>
          <w:color w:val="auto"/>
          <w:sz w:val="28"/>
          <w:szCs w:val="28"/>
          <w:lang w:val="en-US" w:eastAsia="zh-CN"/>
        </w:rPr>
        <w:t>落实上位规划的约束性指标要求，从底线管控、结构效率、空间品质等方面提出</w:t>
      </w:r>
      <w:r>
        <w:rPr>
          <w:rFonts w:hint="eastAsia" w:ascii="Times New Roman" w:hAnsi="Times New Roman" w:eastAsia="仿宋_GB2312" w:cs="Times New Roman"/>
          <w:bCs/>
          <w:color w:val="auto"/>
          <w:sz w:val="28"/>
          <w:szCs w:val="28"/>
          <w:lang w:val="en-US" w:eastAsia="zh-CN"/>
        </w:rPr>
        <w:t>上犹平富乡</w:t>
      </w:r>
      <w:r>
        <w:rPr>
          <w:rFonts w:hint="default" w:ascii="Times New Roman" w:hAnsi="Times New Roman" w:eastAsia="仿宋_GB2312" w:cs="Times New Roman"/>
          <w:bCs/>
          <w:color w:val="auto"/>
          <w:sz w:val="28"/>
          <w:szCs w:val="28"/>
          <w:lang w:val="en-US" w:eastAsia="zh-CN"/>
        </w:rPr>
        <w:t>国土空间近期（2025年）和远期（2035年）的国土空间开发保护的约束性、预期性指标。</w:t>
      </w:r>
    </w:p>
    <w:p>
      <w:pPr>
        <w:snapToGrid w:val="0"/>
        <w:spacing w:line="480" w:lineRule="exact"/>
        <w:ind w:firstLine="562"/>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一、规划目标</w:t>
      </w:r>
    </w:p>
    <w:p>
      <w:pPr>
        <w:snapToGrid w:val="0"/>
        <w:spacing w:line="480" w:lineRule="exact"/>
        <w:ind w:firstLine="560"/>
        <w:rPr>
          <w:rFonts w:hint="eastAsia" w:ascii="Times New Roman" w:hAnsi="Times New Roman" w:eastAsia="仿宋_GB2312" w:cs="Times New Roman"/>
          <w:b w:val="0"/>
          <w:bCs/>
          <w:sz w:val="28"/>
          <w:szCs w:val="28"/>
          <w:lang w:val="en-US" w:eastAsia="zh-CN"/>
        </w:rPr>
      </w:pPr>
      <w:r>
        <w:rPr>
          <w:rFonts w:hint="default" w:ascii="Times New Roman" w:hAnsi="Times New Roman" w:eastAsia="仿宋_GB2312" w:cs="Times New Roman"/>
          <w:b w:val="0"/>
          <w:bCs/>
          <w:sz w:val="28"/>
          <w:szCs w:val="28"/>
          <w:lang w:val="en-US" w:eastAsia="zh-CN"/>
        </w:rPr>
        <w:t>以习近平新时代中国特色社会主义思想为指导，落实国家、省、市战略，践行“两山”理论，构建人居环境优美、生态环境良性循环的宜居城市。细化落实</w:t>
      </w:r>
      <w:r>
        <w:rPr>
          <w:rFonts w:hint="eastAsia" w:ascii="Times New Roman" w:hAnsi="Times New Roman" w:eastAsia="仿宋_GB2312" w:cs="Times New Roman"/>
          <w:b w:val="0"/>
          <w:bCs/>
          <w:sz w:val="28"/>
          <w:szCs w:val="28"/>
          <w:lang w:val="en-US" w:eastAsia="zh-CN"/>
        </w:rPr>
        <w:t>赣州市</w:t>
      </w:r>
      <w:r>
        <w:rPr>
          <w:rFonts w:hint="default" w:ascii="Times New Roman" w:hAnsi="Times New Roman" w:eastAsia="仿宋_GB2312" w:cs="Times New Roman"/>
          <w:b w:val="0"/>
          <w:bCs/>
          <w:sz w:val="28"/>
          <w:szCs w:val="28"/>
          <w:lang w:val="en-US" w:eastAsia="zh-CN"/>
        </w:rPr>
        <w:t>、</w:t>
      </w:r>
      <w:r>
        <w:rPr>
          <w:rFonts w:hint="eastAsia" w:ascii="Times New Roman" w:hAnsi="Times New Roman" w:eastAsia="仿宋_GB2312" w:cs="Times New Roman"/>
          <w:b w:val="0"/>
          <w:bCs/>
          <w:sz w:val="28"/>
          <w:szCs w:val="28"/>
          <w:lang w:val="en-US" w:eastAsia="zh-CN"/>
        </w:rPr>
        <w:t>上犹县</w:t>
      </w:r>
      <w:r>
        <w:rPr>
          <w:rFonts w:hint="default" w:ascii="Times New Roman" w:hAnsi="Times New Roman" w:eastAsia="仿宋_GB2312" w:cs="Times New Roman"/>
          <w:b w:val="0"/>
          <w:bCs/>
          <w:sz w:val="28"/>
          <w:szCs w:val="28"/>
          <w:lang w:val="en-US" w:eastAsia="zh-CN"/>
        </w:rPr>
        <w:t>的规划目标要求，把</w:t>
      </w:r>
      <w:r>
        <w:rPr>
          <w:rFonts w:hint="eastAsia" w:ascii="Times New Roman" w:hAnsi="Times New Roman" w:eastAsia="仿宋_GB2312" w:cs="Times New Roman"/>
          <w:b w:val="0"/>
          <w:bCs/>
          <w:sz w:val="28"/>
          <w:szCs w:val="28"/>
          <w:lang w:val="en-US" w:eastAsia="zh-CN"/>
        </w:rPr>
        <w:t>上犹县平富乡</w:t>
      </w:r>
      <w:r>
        <w:rPr>
          <w:rFonts w:hint="default" w:ascii="Times New Roman" w:hAnsi="Times New Roman" w:eastAsia="仿宋_GB2312" w:cs="Times New Roman"/>
          <w:b w:val="0"/>
          <w:bCs/>
          <w:sz w:val="28"/>
          <w:szCs w:val="28"/>
          <w:lang w:val="en-US" w:eastAsia="zh-CN"/>
        </w:rPr>
        <w:t>建设成为</w:t>
      </w:r>
      <w:r>
        <w:rPr>
          <w:rFonts w:hint="eastAsia" w:ascii="Times New Roman" w:hAnsi="Times New Roman" w:eastAsia="仿宋_GB2312" w:cs="Times New Roman"/>
          <w:b w:val="0"/>
          <w:bCs/>
          <w:sz w:val="28"/>
          <w:szCs w:val="28"/>
          <w:lang w:val="en-US" w:eastAsia="zh-CN"/>
        </w:rPr>
        <w:t>生态农旅乡镇</w:t>
      </w:r>
      <w:r>
        <w:rPr>
          <w:rFonts w:hint="default" w:ascii="Times New Roman" w:hAnsi="Times New Roman" w:eastAsia="仿宋_GB2312" w:cs="Times New Roman"/>
          <w:b w:val="0"/>
          <w:bCs/>
          <w:sz w:val="28"/>
          <w:szCs w:val="28"/>
          <w:lang w:val="en-US" w:eastAsia="zh-CN"/>
        </w:rPr>
        <w:t>。统筹</w:t>
      </w:r>
      <w:r>
        <w:rPr>
          <w:rFonts w:hint="eastAsia" w:ascii="Times New Roman" w:hAnsi="Times New Roman" w:eastAsia="仿宋_GB2312" w:cs="Times New Roman"/>
          <w:b w:val="0"/>
          <w:bCs/>
          <w:sz w:val="28"/>
          <w:szCs w:val="28"/>
          <w:lang w:val="en-US" w:eastAsia="zh-CN"/>
        </w:rPr>
        <w:t>平富乡</w:t>
      </w:r>
      <w:r>
        <w:rPr>
          <w:rFonts w:hint="default" w:ascii="Times New Roman" w:hAnsi="Times New Roman" w:eastAsia="仿宋_GB2312" w:cs="Times New Roman"/>
          <w:b w:val="0"/>
          <w:bCs/>
          <w:sz w:val="28"/>
          <w:szCs w:val="28"/>
          <w:lang w:val="en-US" w:eastAsia="zh-CN"/>
        </w:rPr>
        <w:t>国土空间保护开发格局，</w:t>
      </w:r>
      <w:r>
        <w:rPr>
          <w:rFonts w:hint="eastAsia" w:ascii="Times New Roman" w:hAnsi="Times New Roman" w:eastAsia="仿宋_GB2312" w:cs="Times New Roman"/>
          <w:b w:val="0"/>
          <w:bCs/>
          <w:sz w:val="28"/>
          <w:szCs w:val="28"/>
          <w:lang w:val="en-US" w:eastAsia="zh-CN"/>
        </w:rPr>
        <w:t>助力</w:t>
      </w:r>
      <w:r>
        <w:rPr>
          <w:rFonts w:hint="default" w:ascii="Times New Roman" w:hAnsi="Times New Roman" w:eastAsia="仿宋_GB2312" w:cs="Times New Roman"/>
          <w:b w:val="0"/>
          <w:bCs/>
          <w:sz w:val="28"/>
          <w:szCs w:val="28"/>
          <w:lang w:val="en-US" w:eastAsia="zh-CN"/>
        </w:rPr>
        <w:t>高标准美丽中国“江西样板”建设，形成</w:t>
      </w:r>
      <w:r>
        <w:rPr>
          <w:rFonts w:hint="eastAsia" w:ascii="Times New Roman" w:hAnsi="Times New Roman" w:eastAsia="仿宋_GB2312" w:cs="Times New Roman"/>
          <w:b w:val="0"/>
          <w:bCs/>
          <w:sz w:val="28"/>
          <w:szCs w:val="28"/>
          <w:lang w:val="en-US" w:eastAsia="zh-CN"/>
        </w:rPr>
        <w:t>乡域</w:t>
      </w:r>
      <w:r>
        <w:rPr>
          <w:rFonts w:hint="default" w:ascii="Times New Roman" w:hAnsi="Times New Roman" w:eastAsia="仿宋_GB2312" w:cs="Times New Roman"/>
          <w:b w:val="0"/>
          <w:bCs/>
          <w:sz w:val="28"/>
          <w:szCs w:val="28"/>
          <w:lang w:val="en-US" w:eastAsia="zh-CN"/>
        </w:rPr>
        <w:t>农业、生态、</w:t>
      </w:r>
      <w:r>
        <w:rPr>
          <w:rFonts w:hint="eastAsia" w:ascii="Times New Roman" w:hAnsi="Times New Roman" w:eastAsia="仿宋_GB2312" w:cs="Times New Roman"/>
          <w:b w:val="0"/>
          <w:bCs/>
          <w:sz w:val="28"/>
          <w:szCs w:val="28"/>
          <w:lang w:val="en-US" w:eastAsia="zh-CN"/>
        </w:rPr>
        <w:t>乡村空间</w:t>
      </w:r>
      <w:r>
        <w:rPr>
          <w:rFonts w:hint="default" w:ascii="Times New Roman" w:hAnsi="Times New Roman" w:eastAsia="仿宋_GB2312" w:cs="Times New Roman"/>
          <w:b w:val="0"/>
          <w:bCs/>
          <w:sz w:val="28"/>
          <w:szCs w:val="28"/>
          <w:lang w:val="en-US" w:eastAsia="zh-CN"/>
        </w:rPr>
        <w:t>合理协调布局。</w:t>
      </w:r>
      <w:r>
        <w:rPr>
          <w:rFonts w:hint="eastAsia" w:ascii="Times New Roman" w:hAnsi="Times New Roman" w:eastAsia="仿宋_GB2312" w:cs="Times New Roman"/>
          <w:b w:val="0"/>
          <w:bCs/>
          <w:sz w:val="28"/>
          <w:szCs w:val="28"/>
          <w:lang w:val="en-US" w:eastAsia="zh-CN"/>
        </w:rPr>
        <w:t xml:space="preserve"> </w:t>
      </w:r>
    </w:p>
    <w:p>
      <w:pPr>
        <w:snapToGrid w:val="0"/>
        <w:spacing w:line="480" w:lineRule="exact"/>
        <w:ind w:firstLine="560"/>
        <w:rPr>
          <w:rFonts w:hint="default"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2025年目标：</w:t>
      </w:r>
      <w:r>
        <w:rPr>
          <w:rFonts w:hint="default" w:ascii="Times New Roman" w:hAnsi="Times New Roman" w:eastAsia="仿宋_GB2312" w:cs="Times New Roman"/>
          <w:bCs/>
          <w:color w:val="auto"/>
          <w:sz w:val="28"/>
          <w:szCs w:val="28"/>
          <w:lang w:val="en-US" w:eastAsia="zh-CN"/>
        </w:rPr>
        <w:t>农业空间布局得到改善，耕地、永久基本农田、粮食主产区和重要农产品生产保护区规模保持稳定，质量逐步提升，粮食安全保障能力进一步稳固。生态空间格局更加稳定，自然保护地、生态保护红线和国家重点生态功能区得到维护，各类生态要素修复治理有进展，全域生态系统质量和稳定性得到提升。</w:t>
      </w:r>
      <w:r>
        <w:rPr>
          <w:rFonts w:hint="eastAsia" w:ascii="Times New Roman" w:hAnsi="Times New Roman" w:eastAsia="仿宋_GB2312" w:cs="Times New Roman"/>
          <w:bCs/>
          <w:color w:val="auto"/>
          <w:sz w:val="28"/>
          <w:szCs w:val="28"/>
          <w:lang w:val="en-US" w:eastAsia="zh-CN"/>
        </w:rPr>
        <w:t>乡村空间</w:t>
      </w:r>
      <w:r>
        <w:rPr>
          <w:rFonts w:hint="default" w:ascii="Times New Roman" w:hAnsi="Times New Roman" w:eastAsia="仿宋_GB2312" w:cs="Times New Roman"/>
          <w:bCs/>
          <w:color w:val="auto"/>
          <w:sz w:val="28"/>
          <w:szCs w:val="28"/>
          <w:lang w:val="en-US" w:eastAsia="zh-CN"/>
        </w:rPr>
        <w:t>集聚效应逐渐凸显，绿色低碳发展成效明显，城乡人居环境明显改善，与周边城镇的设施协同和产业协调更加深入。</w:t>
      </w:r>
    </w:p>
    <w:p>
      <w:pPr>
        <w:snapToGrid w:val="0"/>
        <w:spacing w:line="480" w:lineRule="exact"/>
        <w:ind w:firstLine="560"/>
        <w:rPr>
          <w:rFonts w:hint="default"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2035年目标：</w:t>
      </w:r>
      <w:r>
        <w:rPr>
          <w:rFonts w:hint="default" w:ascii="Times New Roman" w:hAnsi="Times New Roman" w:eastAsia="仿宋_GB2312" w:cs="Times New Roman"/>
          <w:bCs/>
          <w:color w:val="auto"/>
          <w:sz w:val="28"/>
          <w:szCs w:val="28"/>
          <w:lang w:val="en-US" w:eastAsia="zh-CN"/>
        </w:rPr>
        <w:t>国土空间安全保障能力全面加强，其中粮食安全底线更加巩固，耕地保有量规模不低于</w:t>
      </w:r>
      <w:r>
        <w:rPr>
          <w:rFonts w:hint="eastAsia" w:ascii="Times New Roman" w:hAnsi="Times New Roman" w:eastAsia="仿宋_GB2312" w:cs="Times New Roman"/>
          <w:bCs/>
          <w:color w:val="auto"/>
          <w:sz w:val="28"/>
          <w:szCs w:val="28"/>
          <w:lang w:val="en-US" w:eastAsia="zh-CN"/>
        </w:rPr>
        <w:t>0.556万</w:t>
      </w:r>
      <w:r>
        <w:rPr>
          <w:rFonts w:hint="default" w:ascii="Times New Roman" w:hAnsi="Times New Roman" w:eastAsia="仿宋_GB2312" w:cs="Times New Roman"/>
          <w:bCs/>
          <w:color w:val="auto"/>
          <w:sz w:val="28"/>
          <w:szCs w:val="28"/>
          <w:lang w:val="en-US" w:eastAsia="zh-CN"/>
        </w:rPr>
        <w:t>亩，永久基本农田保护面积不低于</w:t>
      </w:r>
      <w:r>
        <w:rPr>
          <w:rFonts w:hint="eastAsia" w:ascii="Times New Roman" w:hAnsi="Times New Roman" w:eastAsia="仿宋_GB2312" w:cs="Times New Roman"/>
          <w:bCs/>
          <w:color w:val="auto"/>
          <w:sz w:val="28"/>
          <w:szCs w:val="28"/>
          <w:lang w:val="en-US" w:eastAsia="zh-CN"/>
        </w:rPr>
        <w:t>0.524万</w:t>
      </w:r>
      <w:r>
        <w:rPr>
          <w:rFonts w:hint="default" w:ascii="Times New Roman" w:hAnsi="Times New Roman" w:eastAsia="仿宋_GB2312" w:cs="Times New Roman"/>
          <w:bCs/>
          <w:color w:val="auto"/>
          <w:sz w:val="28"/>
          <w:szCs w:val="28"/>
          <w:lang w:val="en-US" w:eastAsia="zh-CN"/>
        </w:rPr>
        <w:t>亩；生态安全底线更加稳定，生态系统质量、稳定性和服务功能不断增强。国土空间绿色发展水平持续提高，</w:t>
      </w:r>
      <w:r>
        <w:rPr>
          <w:rFonts w:hint="eastAsia" w:ascii="Times New Roman" w:hAnsi="Times New Roman" w:eastAsia="仿宋_GB2312" w:cs="Times New Roman"/>
          <w:bCs/>
          <w:color w:val="auto"/>
          <w:sz w:val="28"/>
          <w:szCs w:val="28"/>
          <w:lang w:val="en-US" w:eastAsia="zh-CN"/>
        </w:rPr>
        <w:t>乡村空间</w:t>
      </w:r>
      <w:r>
        <w:rPr>
          <w:rFonts w:hint="default" w:ascii="Times New Roman" w:hAnsi="Times New Roman" w:eastAsia="仿宋_GB2312" w:cs="Times New Roman"/>
          <w:bCs/>
          <w:color w:val="auto"/>
          <w:sz w:val="28"/>
          <w:szCs w:val="28"/>
          <w:lang w:val="en-US" w:eastAsia="zh-CN"/>
        </w:rPr>
        <w:t>开发更加绿色、集聚、高效；乡</w:t>
      </w:r>
      <w:r>
        <w:rPr>
          <w:rFonts w:hint="eastAsia" w:ascii="Times New Roman" w:hAnsi="Times New Roman" w:eastAsia="仿宋_GB2312" w:cs="Times New Roman"/>
          <w:bCs/>
          <w:color w:val="auto"/>
          <w:sz w:val="28"/>
          <w:szCs w:val="28"/>
          <w:lang w:val="en-US" w:eastAsia="zh-CN"/>
        </w:rPr>
        <w:t>村</w:t>
      </w:r>
      <w:r>
        <w:rPr>
          <w:rFonts w:hint="default" w:ascii="Times New Roman" w:hAnsi="Times New Roman" w:eastAsia="仿宋_GB2312" w:cs="Times New Roman"/>
          <w:bCs/>
          <w:color w:val="auto"/>
          <w:sz w:val="28"/>
          <w:szCs w:val="28"/>
          <w:lang w:val="en-US" w:eastAsia="zh-CN"/>
        </w:rPr>
        <w:t>结构体系更加协调；节约集约、绿色低碳的资源利用体系和生产生活方式基本建成。国土空间开放韧性</w:t>
      </w:r>
      <w:r>
        <w:rPr>
          <w:rFonts w:hint="eastAsia" w:ascii="Times New Roman" w:hAnsi="Times New Roman" w:eastAsia="仿宋_GB2312" w:cs="Times New Roman"/>
          <w:bCs/>
          <w:color w:val="auto"/>
          <w:sz w:val="28"/>
          <w:szCs w:val="28"/>
          <w:lang w:val="en-US" w:eastAsia="zh-CN"/>
        </w:rPr>
        <w:t>水平显著提升</w:t>
      </w:r>
      <w:r>
        <w:rPr>
          <w:rFonts w:hint="default" w:ascii="Times New Roman" w:hAnsi="Times New Roman" w:eastAsia="仿宋_GB2312" w:cs="Times New Roman"/>
          <w:bCs/>
          <w:color w:val="auto"/>
          <w:sz w:val="28"/>
          <w:szCs w:val="28"/>
          <w:lang w:val="en-US" w:eastAsia="zh-CN"/>
        </w:rPr>
        <w:t>，综合交通网络更加完善，内外双向开放取得新突破；水利、能源、防灾减灾等基础设施体系进一步完善，应对各类灾害的风险防范能力明显提升。国土空间人居环境品质稳步提升，城乡基本公共服务体系更加健全均衡，民生保障能力得到大幅提升，城乡人居环境明显改善；历史文化保护体系全面建成，魅力空间体系全面建立，山水生态和地域文化特色全面彰显。国土空间治理能力实现现代化，建立体系健全、责权明晰、传导有效的国土空间规划体系，基本实现国土空间治理体系和治理能力现代化。</w:t>
      </w:r>
    </w:p>
    <w:p>
      <w:pPr>
        <w:snapToGrid w:val="0"/>
        <w:spacing w:line="480" w:lineRule="exact"/>
        <w:ind w:firstLine="560"/>
        <w:rPr>
          <w:rFonts w:hint="default" w:ascii="Times New Roman" w:hAnsi="Times New Roman" w:eastAsia="仿宋_GB2312" w:cs="Times New Roman"/>
          <w:bCs/>
          <w:sz w:val="28"/>
          <w:szCs w:val="28"/>
          <w:lang w:val="en-US" w:eastAsia="zh-CN"/>
        </w:rPr>
      </w:pPr>
      <w:r>
        <w:rPr>
          <w:rFonts w:hint="eastAsia" w:ascii="Times New Roman" w:hAnsi="Times New Roman" w:eastAsia="仿宋_GB2312" w:cs="Times New Roman"/>
          <w:bCs/>
          <w:color w:val="auto"/>
          <w:sz w:val="28"/>
          <w:szCs w:val="28"/>
          <w:lang w:val="en-US" w:eastAsia="zh-CN"/>
        </w:rPr>
        <w:t>2050年目标：</w:t>
      </w:r>
      <w:r>
        <w:rPr>
          <w:rFonts w:hint="default" w:ascii="Times New Roman" w:hAnsi="Times New Roman" w:eastAsia="仿宋_GB2312" w:cs="Times New Roman"/>
          <w:bCs/>
          <w:sz w:val="28"/>
          <w:szCs w:val="28"/>
          <w:lang w:val="en-US" w:eastAsia="zh-CN"/>
        </w:rPr>
        <w:t>全面实现绿色转型发展、创新发展，高标准建成社会主义现代化</w:t>
      </w:r>
      <w:r>
        <w:rPr>
          <w:rFonts w:hint="eastAsia" w:ascii="Times New Roman" w:hAnsi="Times New Roman" w:eastAsia="仿宋_GB2312" w:cs="Times New Roman"/>
          <w:bCs/>
          <w:sz w:val="28"/>
          <w:szCs w:val="28"/>
          <w:lang w:val="en-US" w:eastAsia="zh-CN"/>
        </w:rPr>
        <w:t>城镇</w:t>
      </w:r>
      <w:r>
        <w:rPr>
          <w:rFonts w:hint="default" w:ascii="Times New Roman" w:hAnsi="Times New Roman" w:eastAsia="仿宋_GB2312" w:cs="Times New Roman"/>
          <w:bCs/>
          <w:sz w:val="28"/>
          <w:szCs w:val="28"/>
          <w:lang w:val="en-US" w:eastAsia="zh-CN"/>
        </w:rPr>
        <w:t>，形成生态优越、均衡开放、集约高效、宜居安全、魅力突出的国土空间保护开发新局面，国土空间治理体系和治理能力全面现代化。</w:t>
      </w:r>
    </w:p>
    <w:p>
      <w:pPr>
        <w:snapToGrid w:val="0"/>
        <w:spacing w:line="480" w:lineRule="exact"/>
        <w:ind w:firstLine="562"/>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二、指标体系</w:t>
      </w:r>
    </w:p>
    <w:p>
      <w:pPr>
        <w:snapToGrid w:val="0"/>
        <w:spacing w:line="480" w:lineRule="exact"/>
        <w:ind w:firstLine="560"/>
        <w:rPr>
          <w:rFonts w:hint="default" w:ascii="Times New Roman" w:hAnsi="Times New Roman" w:eastAsia="仿宋_GB2312" w:cs="Times New Roman"/>
          <w:bCs/>
          <w:sz w:val="28"/>
          <w:szCs w:val="28"/>
          <w:lang w:val="en-US" w:eastAsia="zh-CN"/>
        </w:rPr>
      </w:pPr>
      <w:r>
        <w:rPr>
          <w:rFonts w:hint="default" w:ascii="Times New Roman" w:hAnsi="Times New Roman" w:eastAsia="仿宋_GB2312" w:cs="Times New Roman"/>
          <w:bCs/>
          <w:sz w:val="28"/>
          <w:szCs w:val="28"/>
          <w:lang w:val="en-US" w:eastAsia="zh-CN"/>
        </w:rPr>
        <w:t>落实上位规划的约束性指标要求，从底线管控、结构效率、空间品质等方面提出</w:t>
      </w:r>
      <w:r>
        <w:rPr>
          <w:rFonts w:hint="eastAsia" w:ascii="Times New Roman" w:hAnsi="Times New Roman" w:eastAsia="仿宋_GB2312" w:cs="Times New Roman"/>
          <w:bCs/>
          <w:sz w:val="28"/>
          <w:szCs w:val="28"/>
          <w:lang w:val="en-US" w:eastAsia="zh-CN"/>
        </w:rPr>
        <w:t>平富乡</w:t>
      </w:r>
      <w:r>
        <w:rPr>
          <w:rFonts w:hint="default" w:ascii="Times New Roman" w:hAnsi="Times New Roman" w:eastAsia="仿宋_GB2312" w:cs="Times New Roman"/>
          <w:bCs/>
          <w:sz w:val="28"/>
          <w:szCs w:val="28"/>
          <w:lang w:val="en-US" w:eastAsia="zh-CN"/>
        </w:rPr>
        <w:t>国土空间近期（2025年）和远期（2035年）的国土空间开发保护的约束性、预期性指标。</w:t>
      </w:r>
    </w:p>
    <w:p>
      <w:pPr>
        <w:pStyle w:val="30"/>
        <w:spacing w:before="0" w:beforeLines="0" w:after="0" w:afterLines="0"/>
        <w:rPr>
          <w:rFonts w:hint="eastAsia" w:ascii="Times New Roman" w:hAnsi="Times New Roman" w:eastAsia="仿宋_GB2312"/>
          <w:color w:val="auto"/>
          <w:highlight w:val="none"/>
          <w:lang w:val="en-US" w:eastAsia="zh-CN"/>
        </w:rPr>
      </w:pPr>
      <w:r>
        <w:rPr>
          <w:rFonts w:hint="eastAsia" w:ascii="Times New Roman" w:hAnsi="Times New Roman" w:eastAsia="仿宋_GB2312"/>
          <w:color w:val="auto"/>
          <w:highlight w:val="none"/>
          <w:lang w:val="en-US" w:eastAsia="zh-CN"/>
        </w:rPr>
        <w:t>表3-1 规划指标体系表</w:t>
      </w:r>
    </w:p>
    <w:tbl>
      <w:tblPr>
        <w:tblStyle w:val="19"/>
        <w:tblW w:w="887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760"/>
        <w:gridCol w:w="2493"/>
        <w:gridCol w:w="987"/>
        <w:gridCol w:w="806"/>
        <w:gridCol w:w="816"/>
        <w:gridCol w:w="1117"/>
        <w:gridCol w:w="1151"/>
        <w:gridCol w:w="7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38" w:hRule="atLeast"/>
          <w:tblHeader/>
        </w:trPr>
        <w:tc>
          <w:tcPr>
            <w:tcW w:w="76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bCs w:val="0"/>
                <w:color w:val="auto"/>
                <w:highlight w:val="none"/>
                <w:lang w:bidi="ar"/>
              </w:rPr>
            </w:pPr>
            <w:r>
              <w:rPr>
                <w:rFonts w:hint="eastAsia" w:ascii="Times New Roman" w:hAnsi="Times New Roman" w:eastAsia="仿宋_GB2312" w:cs="Times New Roman"/>
                <w:b/>
                <w:bCs w:val="0"/>
                <w:color w:val="auto"/>
                <w:highlight w:val="none"/>
                <w:lang w:bidi="ar"/>
              </w:rPr>
              <w:t>编号</w:t>
            </w:r>
          </w:p>
        </w:tc>
        <w:tc>
          <w:tcPr>
            <w:tcW w:w="249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bCs w:val="0"/>
                <w:color w:val="auto"/>
                <w:highlight w:val="none"/>
                <w:lang w:bidi="ar"/>
              </w:rPr>
            </w:pPr>
            <w:r>
              <w:rPr>
                <w:rFonts w:hint="eastAsia" w:ascii="Times New Roman" w:hAnsi="Times New Roman" w:eastAsia="仿宋_GB2312" w:cs="Times New Roman"/>
                <w:b/>
                <w:bCs w:val="0"/>
                <w:color w:val="auto"/>
                <w:highlight w:val="none"/>
                <w:lang w:bidi="ar"/>
              </w:rPr>
              <w:t>指标项</w:t>
            </w:r>
          </w:p>
        </w:tc>
        <w:tc>
          <w:tcPr>
            <w:tcW w:w="98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bCs w:val="0"/>
                <w:color w:val="auto"/>
                <w:highlight w:val="none"/>
                <w:lang w:bidi="ar"/>
              </w:rPr>
            </w:pPr>
            <w:r>
              <w:rPr>
                <w:rFonts w:hint="eastAsia" w:ascii="Times New Roman" w:hAnsi="Times New Roman" w:eastAsia="仿宋_GB2312" w:cs="Times New Roman"/>
                <w:b/>
                <w:bCs w:val="0"/>
                <w:color w:val="auto"/>
                <w:highlight w:val="none"/>
                <w:lang w:bidi="ar"/>
              </w:rPr>
              <w:t>指标属性</w:t>
            </w:r>
          </w:p>
        </w:tc>
        <w:tc>
          <w:tcPr>
            <w:tcW w:w="80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bCs w:val="0"/>
                <w:color w:val="auto"/>
                <w:highlight w:val="none"/>
                <w:lang w:bidi="ar"/>
              </w:rPr>
            </w:pPr>
            <w:r>
              <w:rPr>
                <w:rFonts w:hint="eastAsia" w:ascii="Times New Roman" w:hAnsi="Times New Roman" w:eastAsia="仿宋_GB2312" w:cs="Times New Roman"/>
                <w:b/>
                <w:bCs w:val="0"/>
                <w:color w:val="auto"/>
                <w:highlight w:val="none"/>
                <w:lang w:bidi="ar"/>
              </w:rPr>
              <w:t>范围</w:t>
            </w:r>
          </w:p>
        </w:tc>
        <w:tc>
          <w:tcPr>
            <w:tcW w:w="81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bCs w:val="0"/>
                <w:color w:val="auto"/>
                <w:highlight w:val="none"/>
                <w:lang w:bidi="ar"/>
              </w:rPr>
            </w:pPr>
            <w:r>
              <w:rPr>
                <w:rFonts w:hint="eastAsia" w:ascii="Times New Roman" w:hAnsi="Times New Roman" w:eastAsia="仿宋_GB2312" w:cs="Times New Roman"/>
                <w:b/>
                <w:bCs w:val="0"/>
                <w:color w:val="auto"/>
                <w:highlight w:val="none"/>
                <w:lang w:bidi="ar"/>
              </w:rPr>
              <w:t>规划基期年</w:t>
            </w:r>
          </w:p>
        </w:tc>
        <w:tc>
          <w:tcPr>
            <w:tcW w:w="111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bCs w:val="0"/>
                <w:color w:val="auto"/>
                <w:highlight w:val="none"/>
                <w:lang w:bidi="ar"/>
              </w:rPr>
            </w:pPr>
            <w:r>
              <w:rPr>
                <w:rFonts w:hint="eastAsia" w:ascii="Times New Roman" w:hAnsi="Times New Roman" w:eastAsia="仿宋_GB2312" w:cs="Times New Roman"/>
                <w:b/>
                <w:bCs w:val="0"/>
                <w:color w:val="auto"/>
                <w:highlight w:val="none"/>
                <w:lang w:bidi="ar"/>
              </w:rPr>
              <w:t>规划近期年</w:t>
            </w:r>
          </w:p>
        </w:tc>
        <w:tc>
          <w:tcPr>
            <w:tcW w:w="1151"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bCs w:val="0"/>
                <w:color w:val="auto"/>
                <w:highlight w:val="none"/>
                <w:lang w:bidi="ar"/>
              </w:rPr>
            </w:pPr>
            <w:r>
              <w:rPr>
                <w:rFonts w:hint="eastAsia" w:ascii="Times New Roman" w:hAnsi="Times New Roman" w:eastAsia="仿宋_GB2312" w:cs="Times New Roman"/>
                <w:b/>
                <w:bCs w:val="0"/>
                <w:color w:val="auto"/>
                <w:highlight w:val="none"/>
                <w:lang w:bidi="ar"/>
              </w:rPr>
              <w:t>规划目标年</w:t>
            </w:r>
          </w:p>
        </w:tc>
        <w:tc>
          <w:tcPr>
            <w:tcW w:w="74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bCs w:val="0"/>
                <w:color w:val="auto"/>
                <w:highlight w:val="none"/>
                <w:lang w:bidi="ar"/>
              </w:rPr>
            </w:pPr>
            <w:r>
              <w:rPr>
                <w:rFonts w:hint="eastAsia" w:ascii="Times New Roman" w:hAnsi="Times New Roman" w:eastAsia="仿宋_GB2312" w:cs="Times New Roman"/>
                <w:b/>
                <w:bCs w:val="0"/>
                <w:color w:val="auto"/>
                <w:highlight w:val="none"/>
                <w:lang w:bidi="ar"/>
              </w:rPr>
              <w:t>目标年-基期年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7" w:hRule="atLeast"/>
        </w:trPr>
        <w:tc>
          <w:tcPr>
            <w:tcW w:w="8877" w:type="dxa"/>
            <w:gridSpan w:val="8"/>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一、底线管控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17" w:hRule="atLeast"/>
        </w:trPr>
        <w:tc>
          <w:tcPr>
            <w:tcW w:w="76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1</w:t>
            </w:r>
          </w:p>
        </w:tc>
        <w:tc>
          <w:tcPr>
            <w:tcW w:w="249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耕地保有量</w:t>
            </w:r>
            <w:r>
              <w:rPr>
                <w:rFonts w:hint="eastAsia" w:ascii="Times New Roman" w:hAnsi="Times New Roman" w:eastAsia="仿宋_GB2312" w:cs="Times New Roman"/>
                <w:b w:val="0"/>
                <w:bCs/>
                <w:color w:val="auto"/>
                <w:highlight w:val="none"/>
                <w:lang w:eastAsia="zh-CN" w:bidi="ar"/>
              </w:rPr>
              <w:t>（</w:t>
            </w:r>
            <w:r>
              <w:rPr>
                <w:rFonts w:hint="eastAsia" w:ascii="Times New Roman" w:hAnsi="Times New Roman" w:eastAsia="仿宋_GB2312" w:cs="Times New Roman"/>
                <w:b w:val="0"/>
                <w:bCs/>
                <w:color w:val="auto"/>
                <w:highlight w:val="none"/>
                <w:lang w:val="en-US" w:eastAsia="zh-CN" w:bidi="ar"/>
              </w:rPr>
              <w:t>h㎡</w:t>
            </w:r>
            <w:r>
              <w:rPr>
                <w:rFonts w:hint="eastAsia" w:ascii="Times New Roman" w:hAnsi="Times New Roman" w:eastAsia="仿宋_GB2312" w:cs="Times New Roman"/>
                <w:b w:val="0"/>
                <w:bCs/>
                <w:color w:val="auto"/>
                <w:highlight w:val="none"/>
                <w:lang w:eastAsia="zh-CN" w:bidi="ar"/>
              </w:rPr>
              <w:t>）</w:t>
            </w:r>
          </w:p>
        </w:tc>
        <w:tc>
          <w:tcPr>
            <w:tcW w:w="98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约束性</w:t>
            </w:r>
          </w:p>
        </w:tc>
        <w:tc>
          <w:tcPr>
            <w:tcW w:w="80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乡域</w:t>
            </w:r>
          </w:p>
        </w:tc>
        <w:tc>
          <w:tcPr>
            <w:tcW w:w="81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w:t>
            </w:r>
          </w:p>
        </w:tc>
        <w:tc>
          <w:tcPr>
            <w:tcW w:w="111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≥370.70</w:t>
            </w:r>
          </w:p>
        </w:tc>
        <w:tc>
          <w:tcPr>
            <w:tcW w:w="1151"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≥370.70</w:t>
            </w:r>
          </w:p>
        </w:tc>
        <w:tc>
          <w:tcPr>
            <w:tcW w:w="74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7" w:hRule="atLeast"/>
        </w:trPr>
        <w:tc>
          <w:tcPr>
            <w:tcW w:w="76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2</w:t>
            </w:r>
          </w:p>
        </w:tc>
        <w:tc>
          <w:tcPr>
            <w:tcW w:w="249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永久基本农田保护面积</w:t>
            </w:r>
            <w:r>
              <w:rPr>
                <w:rFonts w:hint="eastAsia" w:ascii="Times New Roman" w:hAnsi="Times New Roman" w:eastAsia="仿宋_GB2312" w:cs="Times New Roman"/>
                <w:b w:val="0"/>
                <w:bCs/>
                <w:color w:val="auto"/>
                <w:highlight w:val="none"/>
                <w:lang w:eastAsia="zh-CN" w:bidi="ar"/>
              </w:rPr>
              <w:t>（</w:t>
            </w:r>
            <w:r>
              <w:rPr>
                <w:rFonts w:hint="eastAsia" w:ascii="Times New Roman" w:hAnsi="Times New Roman" w:eastAsia="仿宋_GB2312" w:cs="Times New Roman"/>
                <w:b w:val="0"/>
                <w:bCs/>
                <w:color w:val="auto"/>
                <w:highlight w:val="none"/>
                <w:lang w:val="en-US" w:eastAsia="zh-CN" w:bidi="ar"/>
              </w:rPr>
              <w:t>h㎡</w:t>
            </w:r>
            <w:r>
              <w:rPr>
                <w:rFonts w:hint="eastAsia" w:ascii="Times New Roman" w:hAnsi="Times New Roman" w:eastAsia="仿宋_GB2312" w:cs="Times New Roman"/>
                <w:b w:val="0"/>
                <w:bCs/>
                <w:color w:val="auto"/>
                <w:highlight w:val="none"/>
                <w:lang w:eastAsia="zh-CN" w:bidi="ar"/>
              </w:rPr>
              <w:t>）</w:t>
            </w:r>
          </w:p>
        </w:tc>
        <w:tc>
          <w:tcPr>
            <w:tcW w:w="98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约束性</w:t>
            </w:r>
          </w:p>
        </w:tc>
        <w:tc>
          <w:tcPr>
            <w:tcW w:w="80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乡域</w:t>
            </w:r>
          </w:p>
        </w:tc>
        <w:tc>
          <w:tcPr>
            <w:tcW w:w="81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w:t>
            </w:r>
          </w:p>
        </w:tc>
        <w:tc>
          <w:tcPr>
            <w:tcW w:w="111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default"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≥349.35</w:t>
            </w:r>
          </w:p>
        </w:tc>
        <w:tc>
          <w:tcPr>
            <w:tcW w:w="1151"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default"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≥349.35</w:t>
            </w:r>
          </w:p>
        </w:tc>
        <w:tc>
          <w:tcPr>
            <w:tcW w:w="74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6" w:hRule="atLeast"/>
        </w:trPr>
        <w:tc>
          <w:tcPr>
            <w:tcW w:w="76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3</w:t>
            </w:r>
          </w:p>
        </w:tc>
        <w:tc>
          <w:tcPr>
            <w:tcW w:w="249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jc w:val="both"/>
              <w:rPr>
                <w:rFonts w:hint="eastAsia" w:ascii="Times New Roman" w:hAnsi="Times New Roman" w:eastAsia="仿宋_GB2312" w:cs="Times New Roman"/>
                <w:b w:val="0"/>
                <w:bCs/>
                <w:color w:val="auto"/>
                <w:highlight w:val="none"/>
                <w:lang w:eastAsia="zh-CN" w:bidi="ar"/>
              </w:rPr>
            </w:pPr>
            <w:r>
              <w:rPr>
                <w:rFonts w:hint="eastAsia" w:ascii="Times New Roman" w:hAnsi="Times New Roman" w:eastAsia="仿宋_GB2312" w:cs="Times New Roman"/>
                <w:b w:val="0"/>
                <w:bCs/>
                <w:color w:val="auto"/>
                <w:highlight w:val="none"/>
                <w:lang w:bidi="ar"/>
              </w:rPr>
              <w:t>生态保护红线面积</w:t>
            </w:r>
            <w:r>
              <w:rPr>
                <w:rFonts w:hint="eastAsia" w:ascii="Times New Roman" w:hAnsi="Times New Roman" w:eastAsia="仿宋_GB2312" w:cs="Times New Roman"/>
                <w:b w:val="0"/>
                <w:bCs/>
                <w:color w:val="auto"/>
                <w:highlight w:val="none"/>
                <w:lang w:eastAsia="zh-CN" w:bidi="ar"/>
              </w:rPr>
              <w:t>（</w:t>
            </w:r>
            <w:r>
              <w:rPr>
                <w:rFonts w:hint="eastAsia" w:ascii="Times New Roman" w:hAnsi="Times New Roman" w:eastAsia="仿宋_GB2312" w:cs="Times New Roman"/>
                <w:b w:val="0"/>
                <w:bCs/>
                <w:color w:val="auto"/>
                <w:highlight w:val="none"/>
                <w:lang w:val="en-US" w:eastAsia="zh-CN" w:bidi="ar"/>
              </w:rPr>
              <w:t>h㎡</w:t>
            </w:r>
            <w:r>
              <w:rPr>
                <w:rFonts w:hint="eastAsia" w:ascii="Times New Roman" w:hAnsi="Times New Roman" w:eastAsia="仿宋_GB2312" w:cs="Times New Roman"/>
                <w:b w:val="0"/>
                <w:bCs/>
                <w:color w:val="auto"/>
                <w:highlight w:val="none"/>
                <w:lang w:eastAsia="zh-CN" w:bidi="ar"/>
              </w:rPr>
              <w:t>）</w:t>
            </w:r>
          </w:p>
        </w:tc>
        <w:tc>
          <w:tcPr>
            <w:tcW w:w="98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约束性</w:t>
            </w:r>
          </w:p>
        </w:tc>
        <w:tc>
          <w:tcPr>
            <w:tcW w:w="80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乡域</w:t>
            </w:r>
          </w:p>
        </w:tc>
        <w:tc>
          <w:tcPr>
            <w:tcW w:w="81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w:t>
            </w:r>
          </w:p>
        </w:tc>
        <w:tc>
          <w:tcPr>
            <w:tcW w:w="111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≥2820.15</w:t>
            </w:r>
          </w:p>
        </w:tc>
        <w:tc>
          <w:tcPr>
            <w:tcW w:w="1151"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jc w:val="both"/>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≥2820.15</w:t>
            </w:r>
          </w:p>
        </w:tc>
        <w:tc>
          <w:tcPr>
            <w:tcW w:w="74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7" w:hRule="atLeast"/>
        </w:trPr>
        <w:tc>
          <w:tcPr>
            <w:tcW w:w="76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4</w:t>
            </w:r>
          </w:p>
        </w:tc>
        <w:tc>
          <w:tcPr>
            <w:tcW w:w="249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城镇开发边界</w:t>
            </w:r>
            <w:r>
              <w:rPr>
                <w:rFonts w:hint="eastAsia" w:ascii="Times New Roman" w:hAnsi="Times New Roman" w:eastAsia="仿宋_GB2312" w:cs="Times New Roman"/>
                <w:b w:val="0"/>
                <w:bCs/>
                <w:color w:val="auto"/>
                <w:highlight w:val="none"/>
                <w:lang w:eastAsia="zh-CN" w:bidi="ar"/>
              </w:rPr>
              <w:t>（</w:t>
            </w:r>
            <w:r>
              <w:rPr>
                <w:rFonts w:hint="eastAsia" w:ascii="Times New Roman" w:hAnsi="Times New Roman" w:eastAsia="仿宋_GB2312" w:cs="Times New Roman"/>
                <w:b w:val="0"/>
                <w:bCs/>
                <w:color w:val="auto"/>
                <w:highlight w:val="none"/>
                <w:lang w:val="en-US" w:eastAsia="zh-CN" w:bidi="ar"/>
              </w:rPr>
              <w:t>h㎡</w:t>
            </w:r>
            <w:r>
              <w:rPr>
                <w:rFonts w:hint="eastAsia" w:ascii="Times New Roman" w:hAnsi="Times New Roman" w:eastAsia="仿宋_GB2312" w:cs="Times New Roman"/>
                <w:b w:val="0"/>
                <w:bCs/>
                <w:color w:val="auto"/>
                <w:highlight w:val="none"/>
                <w:lang w:eastAsia="zh-CN" w:bidi="ar"/>
              </w:rPr>
              <w:t>）</w:t>
            </w:r>
          </w:p>
        </w:tc>
        <w:tc>
          <w:tcPr>
            <w:tcW w:w="98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约束性</w:t>
            </w:r>
          </w:p>
        </w:tc>
        <w:tc>
          <w:tcPr>
            <w:tcW w:w="80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乡域</w:t>
            </w:r>
          </w:p>
        </w:tc>
        <w:tc>
          <w:tcPr>
            <w:tcW w:w="81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w:t>
            </w:r>
          </w:p>
        </w:tc>
        <w:tc>
          <w:tcPr>
            <w:tcW w:w="111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≤37.91</w:t>
            </w:r>
          </w:p>
        </w:tc>
        <w:tc>
          <w:tcPr>
            <w:tcW w:w="1151"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≤37.91</w:t>
            </w:r>
          </w:p>
        </w:tc>
        <w:tc>
          <w:tcPr>
            <w:tcW w:w="74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7" w:hRule="atLeast"/>
        </w:trPr>
        <w:tc>
          <w:tcPr>
            <w:tcW w:w="76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ind w:firstLine="0" w:firstLineChars="0"/>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val="en-US" w:eastAsia="zh-CN" w:bidi="ar"/>
              </w:rPr>
              <w:t>5</w:t>
            </w:r>
          </w:p>
        </w:tc>
        <w:tc>
          <w:tcPr>
            <w:tcW w:w="249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ind w:firstLine="0" w:firstLineChars="0"/>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val="en-US" w:eastAsia="zh-CN" w:bidi="ar"/>
              </w:rPr>
              <w:t>村庄建设边界</w:t>
            </w:r>
            <w:r>
              <w:rPr>
                <w:rFonts w:hint="eastAsia" w:ascii="Times New Roman" w:hAnsi="Times New Roman" w:eastAsia="仿宋_GB2312" w:cs="Times New Roman"/>
                <w:b w:val="0"/>
                <w:bCs/>
                <w:color w:val="auto"/>
                <w:highlight w:val="none"/>
                <w:lang w:eastAsia="zh-CN" w:bidi="ar"/>
              </w:rPr>
              <w:t>（</w:t>
            </w:r>
            <w:r>
              <w:rPr>
                <w:rFonts w:hint="eastAsia" w:ascii="Times New Roman" w:hAnsi="Times New Roman" w:eastAsia="仿宋_GB2312" w:cs="Times New Roman"/>
                <w:b w:val="0"/>
                <w:bCs/>
                <w:color w:val="auto"/>
                <w:highlight w:val="none"/>
                <w:lang w:val="en-US" w:eastAsia="zh-CN" w:bidi="ar"/>
              </w:rPr>
              <w:t>h㎡</w:t>
            </w:r>
            <w:r>
              <w:rPr>
                <w:rFonts w:hint="eastAsia" w:ascii="Times New Roman" w:hAnsi="Times New Roman" w:eastAsia="仿宋_GB2312" w:cs="Times New Roman"/>
                <w:b w:val="0"/>
                <w:bCs/>
                <w:color w:val="auto"/>
                <w:highlight w:val="none"/>
                <w:lang w:eastAsia="zh-CN" w:bidi="ar"/>
              </w:rPr>
              <w:t>）</w:t>
            </w:r>
          </w:p>
        </w:tc>
        <w:tc>
          <w:tcPr>
            <w:tcW w:w="98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ind w:firstLine="0" w:firstLineChars="0"/>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约束性</w:t>
            </w:r>
          </w:p>
        </w:tc>
        <w:tc>
          <w:tcPr>
            <w:tcW w:w="80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ind w:firstLine="0" w:firstLineChars="0"/>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乡域</w:t>
            </w:r>
          </w:p>
        </w:tc>
        <w:tc>
          <w:tcPr>
            <w:tcW w:w="81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default"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144.14</w:t>
            </w:r>
          </w:p>
        </w:tc>
        <w:tc>
          <w:tcPr>
            <w:tcW w:w="111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default"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136.95</w:t>
            </w:r>
          </w:p>
        </w:tc>
        <w:tc>
          <w:tcPr>
            <w:tcW w:w="1151"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default"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136.95</w:t>
            </w:r>
          </w:p>
        </w:tc>
        <w:tc>
          <w:tcPr>
            <w:tcW w:w="74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default"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-7.19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7" w:hRule="atLeast"/>
        </w:trPr>
        <w:tc>
          <w:tcPr>
            <w:tcW w:w="76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ind w:firstLine="0" w:firstLineChars="0"/>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val="en-US" w:eastAsia="zh-CN" w:bidi="ar"/>
              </w:rPr>
              <w:t>6</w:t>
            </w:r>
          </w:p>
        </w:tc>
        <w:tc>
          <w:tcPr>
            <w:tcW w:w="249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ind w:firstLine="0" w:firstLineChars="0"/>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val="en-US" w:eastAsia="zh-CN" w:bidi="ar"/>
              </w:rPr>
              <w:t>村庄建设用地规划规模</w:t>
            </w:r>
            <w:r>
              <w:rPr>
                <w:rFonts w:hint="eastAsia" w:ascii="Times New Roman" w:hAnsi="Times New Roman" w:eastAsia="仿宋_GB2312" w:cs="Times New Roman"/>
                <w:b w:val="0"/>
                <w:bCs/>
                <w:color w:val="auto"/>
                <w:highlight w:val="none"/>
                <w:lang w:eastAsia="zh-CN" w:bidi="ar"/>
              </w:rPr>
              <w:t>（</w:t>
            </w:r>
            <w:r>
              <w:rPr>
                <w:rFonts w:hint="eastAsia" w:ascii="Times New Roman" w:hAnsi="Times New Roman" w:eastAsia="仿宋_GB2312" w:cs="Times New Roman"/>
                <w:b w:val="0"/>
                <w:bCs/>
                <w:color w:val="auto"/>
                <w:highlight w:val="none"/>
                <w:lang w:val="en-US" w:eastAsia="zh-CN" w:bidi="ar"/>
              </w:rPr>
              <w:t>h㎡</w:t>
            </w:r>
            <w:r>
              <w:rPr>
                <w:rFonts w:hint="eastAsia" w:ascii="Times New Roman" w:hAnsi="Times New Roman" w:eastAsia="仿宋_GB2312" w:cs="Times New Roman"/>
                <w:b w:val="0"/>
                <w:bCs/>
                <w:color w:val="auto"/>
                <w:highlight w:val="none"/>
                <w:lang w:eastAsia="zh-CN" w:bidi="ar"/>
              </w:rPr>
              <w:t>）</w:t>
            </w:r>
          </w:p>
        </w:tc>
        <w:tc>
          <w:tcPr>
            <w:tcW w:w="98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ind w:firstLine="0" w:firstLineChars="0"/>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约束性</w:t>
            </w:r>
          </w:p>
        </w:tc>
        <w:tc>
          <w:tcPr>
            <w:tcW w:w="80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ind w:firstLine="0" w:firstLineChars="0"/>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乡域</w:t>
            </w:r>
          </w:p>
        </w:tc>
        <w:tc>
          <w:tcPr>
            <w:tcW w:w="81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144.14</w:t>
            </w:r>
          </w:p>
        </w:tc>
        <w:tc>
          <w:tcPr>
            <w:tcW w:w="111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144.14</w:t>
            </w:r>
          </w:p>
        </w:tc>
        <w:tc>
          <w:tcPr>
            <w:tcW w:w="1151"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144.14</w:t>
            </w:r>
          </w:p>
        </w:tc>
        <w:tc>
          <w:tcPr>
            <w:tcW w:w="74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default"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7" w:hRule="atLeast"/>
        </w:trPr>
        <w:tc>
          <w:tcPr>
            <w:tcW w:w="76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eastAsia="zh-CN" w:bidi="ar"/>
              </w:rPr>
            </w:pPr>
            <w:r>
              <w:rPr>
                <w:rFonts w:hint="eastAsia" w:ascii="Times New Roman" w:hAnsi="Times New Roman" w:eastAsia="仿宋_GB2312" w:cs="Times New Roman"/>
                <w:b w:val="0"/>
                <w:bCs/>
                <w:color w:val="auto"/>
                <w:highlight w:val="none"/>
                <w:lang w:val="en-US" w:eastAsia="zh-CN" w:bidi="ar"/>
              </w:rPr>
              <w:t>7</w:t>
            </w:r>
          </w:p>
        </w:tc>
        <w:tc>
          <w:tcPr>
            <w:tcW w:w="249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水域空间保有量</w:t>
            </w:r>
            <w:r>
              <w:rPr>
                <w:rFonts w:hint="eastAsia" w:ascii="Times New Roman" w:hAnsi="Times New Roman" w:eastAsia="仿宋_GB2312" w:cs="Times New Roman"/>
                <w:b w:val="0"/>
                <w:bCs/>
                <w:color w:val="auto"/>
                <w:highlight w:val="none"/>
                <w:lang w:eastAsia="zh-CN" w:bidi="ar"/>
              </w:rPr>
              <w:t>（</w:t>
            </w:r>
            <w:r>
              <w:rPr>
                <w:rFonts w:hint="eastAsia" w:ascii="Times New Roman" w:hAnsi="Times New Roman" w:eastAsia="仿宋_GB2312" w:cs="Times New Roman"/>
                <w:b w:val="0"/>
                <w:bCs/>
                <w:color w:val="auto"/>
                <w:highlight w:val="none"/>
                <w:lang w:val="en-US" w:eastAsia="zh-CN" w:bidi="ar"/>
              </w:rPr>
              <w:t>h㎡</w:t>
            </w:r>
            <w:r>
              <w:rPr>
                <w:rFonts w:hint="eastAsia" w:ascii="Times New Roman" w:hAnsi="Times New Roman" w:eastAsia="仿宋_GB2312" w:cs="Times New Roman"/>
                <w:b w:val="0"/>
                <w:bCs/>
                <w:color w:val="auto"/>
                <w:highlight w:val="none"/>
                <w:lang w:eastAsia="zh-CN" w:bidi="ar"/>
              </w:rPr>
              <w:t>）</w:t>
            </w:r>
          </w:p>
        </w:tc>
        <w:tc>
          <w:tcPr>
            <w:tcW w:w="98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预期性</w:t>
            </w:r>
          </w:p>
        </w:tc>
        <w:tc>
          <w:tcPr>
            <w:tcW w:w="80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乡域</w:t>
            </w:r>
          </w:p>
        </w:tc>
        <w:tc>
          <w:tcPr>
            <w:tcW w:w="81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112.62</w:t>
            </w:r>
          </w:p>
        </w:tc>
        <w:tc>
          <w:tcPr>
            <w:tcW w:w="111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112.62</w:t>
            </w:r>
          </w:p>
        </w:tc>
        <w:tc>
          <w:tcPr>
            <w:tcW w:w="1151"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ind w:firstLine="0" w:firstLineChars="0"/>
              <w:rPr>
                <w:rFonts w:hint="default"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113.26</w:t>
            </w:r>
          </w:p>
        </w:tc>
        <w:tc>
          <w:tcPr>
            <w:tcW w:w="74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ind w:firstLine="0" w:firstLineChars="0"/>
              <w:rPr>
                <w:rFonts w:hint="default"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0.64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38" w:hRule="atLeast"/>
        </w:trPr>
        <w:tc>
          <w:tcPr>
            <w:tcW w:w="76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eastAsia="zh-CN" w:bidi="ar"/>
              </w:rPr>
            </w:pPr>
            <w:r>
              <w:rPr>
                <w:rFonts w:hint="eastAsia" w:ascii="Times New Roman" w:hAnsi="Times New Roman" w:eastAsia="仿宋_GB2312" w:cs="Times New Roman"/>
                <w:b w:val="0"/>
                <w:bCs/>
                <w:color w:val="auto"/>
                <w:highlight w:val="none"/>
                <w:lang w:val="en-US" w:eastAsia="zh-CN" w:bidi="ar"/>
              </w:rPr>
              <w:t>8</w:t>
            </w:r>
          </w:p>
        </w:tc>
        <w:tc>
          <w:tcPr>
            <w:tcW w:w="249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自然保护地陆域面积占陆域国土面积比例（%）</w:t>
            </w:r>
          </w:p>
        </w:tc>
        <w:tc>
          <w:tcPr>
            <w:tcW w:w="98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预期性</w:t>
            </w:r>
          </w:p>
        </w:tc>
        <w:tc>
          <w:tcPr>
            <w:tcW w:w="80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乡域</w:t>
            </w:r>
          </w:p>
        </w:tc>
        <w:tc>
          <w:tcPr>
            <w:tcW w:w="81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0</w:t>
            </w:r>
          </w:p>
        </w:tc>
        <w:tc>
          <w:tcPr>
            <w:tcW w:w="111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23.53%</w:t>
            </w:r>
          </w:p>
        </w:tc>
        <w:tc>
          <w:tcPr>
            <w:tcW w:w="1151"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23.53%</w:t>
            </w:r>
          </w:p>
        </w:tc>
        <w:tc>
          <w:tcPr>
            <w:tcW w:w="74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7" w:hRule="atLeast"/>
        </w:trPr>
        <w:tc>
          <w:tcPr>
            <w:tcW w:w="76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eastAsia="zh-CN" w:bidi="ar"/>
              </w:rPr>
            </w:pPr>
            <w:r>
              <w:rPr>
                <w:rFonts w:hint="eastAsia" w:ascii="Times New Roman" w:hAnsi="Times New Roman" w:eastAsia="仿宋_GB2312" w:cs="Times New Roman"/>
                <w:b w:val="0"/>
                <w:bCs/>
                <w:color w:val="auto"/>
                <w:highlight w:val="none"/>
                <w:lang w:val="en-US" w:eastAsia="zh-CN" w:bidi="ar"/>
              </w:rPr>
              <w:t>9</w:t>
            </w:r>
          </w:p>
        </w:tc>
        <w:tc>
          <w:tcPr>
            <w:tcW w:w="249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自然和文化遗产（处）</w:t>
            </w:r>
          </w:p>
        </w:tc>
        <w:tc>
          <w:tcPr>
            <w:tcW w:w="98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预期性</w:t>
            </w:r>
          </w:p>
        </w:tc>
        <w:tc>
          <w:tcPr>
            <w:tcW w:w="80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乡域</w:t>
            </w:r>
          </w:p>
        </w:tc>
        <w:tc>
          <w:tcPr>
            <w:tcW w:w="81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5</w:t>
            </w:r>
          </w:p>
        </w:tc>
        <w:tc>
          <w:tcPr>
            <w:tcW w:w="111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5</w:t>
            </w:r>
          </w:p>
        </w:tc>
        <w:tc>
          <w:tcPr>
            <w:tcW w:w="1151"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5</w:t>
            </w:r>
          </w:p>
        </w:tc>
        <w:tc>
          <w:tcPr>
            <w:tcW w:w="74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38" w:hRule="atLeast"/>
        </w:trPr>
        <w:tc>
          <w:tcPr>
            <w:tcW w:w="76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default" w:ascii="Times New Roman" w:hAnsi="Times New Roman" w:eastAsia="仿宋_GB2312" w:cs="Times New Roman"/>
                <w:b w:val="0"/>
                <w:bCs/>
                <w:color w:val="auto"/>
                <w:highlight w:val="none"/>
                <w:lang w:val="en-US" w:eastAsia="zh-CN" w:bidi="ar"/>
              </w:rPr>
            </w:pPr>
            <w:r>
              <w:rPr>
                <w:rFonts w:hint="eastAsia" w:ascii="Times New Roman" w:hAnsi="Times New Roman" w:eastAsia="仿宋_GB2312" w:cs="Times New Roman"/>
                <w:b w:val="0"/>
                <w:bCs/>
                <w:color w:val="auto"/>
                <w:highlight w:val="none"/>
                <w:lang w:val="en-US" w:eastAsia="zh-CN" w:bidi="ar"/>
              </w:rPr>
              <w:t>10</w:t>
            </w:r>
          </w:p>
        </w:tc>
        <w:tc>
          <w:tcPr>
            <w:tcW w:w="249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永久基本农田储备区面积</w:t>
            </w:r>
            <w:r>
              <w:rPr>
                <w:rFonts w:hint="eastAsia" w:ascii="Times New Roman" w:hAnsi="Times New Roman" w:eastAsia="仿宋_GB2312" w:cs="Times New Roman"/>
                <w:b w:val="0"/>
                <w:bCs/>
                <w:color w:val="auto"/>
                <w:highlight w:val="none"/>
                <w:lang w:eastAsia="zh-CN" w:bidi="ar"/>
              </w:rPr>
              <w:t>（</w:t>
            </w:r>
            <w:r>
              <w:rPr>
                <w:rFonts w:hint="eastAsia" w:ascii="Times New Roman" w:hAnsi="Times New Roman" w:eastAsia="仿宋_GB2312" w:cs="Times New Roman"/>
                <w:b w:val="0"/>
                <w:bCs/>
                <w:color w:val="auto"/>
                <w:highlight w:val="none"/>
                <w:lang w:val="en-US" w:eastAsia="zh-CN" w:bidi="ar"/>
              </w:rPr>
              <w:t>h㎡</w:t>
            </w:r>
            <w:r>
              <w:rPr>
                <w:rFonts w:hint="eastAsia" w:ascii="Times New Roman" w:hAnsi="Times New Roman" w:eastAsia="仿宋_GB2312" w:cs="Times New Roman"/>
                <w:b w:val="0"/>
                <w:bCs/>
                <w:color w:val="auto"/>
                <w:highlight w:val="none"/>
                <w:lang w:eastAsia="zh-CN" w:bidi="ar"/>
              </w:rPr>
              <w:t>）</w:t>
            </w:r>
          </w:p>
        </w:tc>
        <w:tc>
          <w:tcPr>
            <w:tcW w:w="98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预期性</w:t>
            </w:r>
          </w:p>
        </w:tc>
        <w:tc>
          <w:tcPr>
            <w:tcW w:w="80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乡域</w:t>
            </w:r>
          </w:p>
        </w:tc>
        <w:tc>
          <w:tcPr>
            <w:tcW w:w="81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w:t>
            </w:r>
          </w:p>
        </w:tc>
        <w:tc>
          <w:tcPr>
            <w:tcW w:w="111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default"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≥3.47</w:t>
            </w:r>
          </w:p>
        </w:tc>
        <w:tc>
          <w:tcPr>
            <w:tcW w:w="1151"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≥3.47</w:t>
            </w:r>
          </w:p>
        </w:tc>
        <w:tc>
          <w:tcPr>
            <w:tcW w:w="74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default"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3.47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7" w:hRule="atLeast"/>
        </w:trPr>
        <w:tc>
          <w:tcPr>
            <w:tcW w:w="8877" w:type="dxa"/>
            <w:gridSpan w:val="8"/>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二、结构效率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7" w:hRule="atLeast"/>
        </w:trPr>
        <w:tc>
          <w:tcPr>
            <w:tcW w:w="76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default" w:ascii="Times New Roman" w:hAnsi="Times New Roman" w:eastAsia="仿宋_GB2312" w:cs="Times New Roman"/>
                <w:b w:val="0"/>
                <w:bCs/>
                <w:color w:val="auto"/>
                <w:highlight w:val="none"/>
                <w:lang w:val="en-US" w:eastAsia="zh-CN" w:bidi="ar"/>
              </w:rPr>
            </w:pPr>
            <w:r>
              <w:rPr>
                <w:rFonts w:hint="eastAsia" w:ascii="Times New Roman" w:hAnsi="Times New Roman" w:eastAsia="仿宋_GB2312" w:cs="Times New Roman"/>
                <w:b w:val="0"/>
                <w:bCs/>
                <w:color w:val="auto"/>
                <w:highlight w:val="none"/>
                <w:lang w:val="en-US" w:eastAsia="zh-CN" w:bidi="ar"/>
              </w:rPr>
              <w:t>11</w:t>
            </w:r>
          </w:p>
        </w:tc>
        <w:tc>
          <w:tcPr>
            <w:tcW w:w="249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default" w:ascii="Times New Roman" w:hAnsi="Times New Roman" w:eastAsia="仿宋_GB2312" w:cs="Times New Roman"/>
                <w:b w:val="0"/>
                <w:bCs/>
                <w:color w:val="auto"/>
                <w:highlight w:val="none"/>
                <w:lang w:val="en-US" w:eastAsia="zh-CN" w:bidi="ar"/>
              </w:rPr>
            </w:pPr>
            <w:r>
              <w:rPr>
                <w:rFonts w:hint="eastAsia" w:ascii="Times New Roman" w:hAnsi="Times New Roman" w:eastAsia="仿宋_GB2312" w:cs="Times New Roman"/>
                <w:b w:val="0"/>
                <w:bCs/>
                <w:color w:val="auto"/>
                <w:highlight w:val="none"/>
                <w:lang w:val="en-US" w:eastAsia="zh-CN" w:bidi="ar"/>
              </w:rPr>
              <w:t>户籍人口</w:t>
            </w:r>
            <w:r>
              <w:rPr>
                <w:rFonts w:hint="eastAsia" w:ascii="Times New Roman" w:hAnsi="Times New Roman" w:eastAsia="仿宋_GB2312" w:cs="Times New Roman"/>
                <w:b w:val="0"/>
                <w:bCs/>
                <w:color w:val="auto"/>
                <w:highlight w:val="none"/>
                <w:lang w:bidi="ar"/>
              </w:rPr>
              <w:t>（万人）</w:t>
            </w:r>
          </w:p>
        </w:tc>
        <w:tc>
          <w:tcPr>
            <w:tcW w:w="98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预期性</w:t>
            </w:r>
          </w:p>
        </w:tc>
        <w:tc>
          <w:tcPr>
            <w:tcW w:w="80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乡域</w:t>
            </w:r>
          </w:p>
        </w:tc>
        <w:tc>
          <w:tcPr>
            <w:tcW w:w="81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1.30</w:t>
            </w:r>
          </w:p>
        </w:tc>
        <w:tc>
          <w:tcPr>
            <w:tcW w:w="111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default"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1.33</w:t>
            </w:r>
          </w:p>
        </w:tc>
        <w:tc>
          <w:tcPr>
            <w:tcW w:w="1151"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default"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1.39</w:t>
            </w:r>
          </w:p>
        </w:tc>
        <w:tc>
          <w:tcPr>
            <w:tcW w:w="74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default"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7" w:hRule="atLeast"/>
        </w:trPr>
        <w:tc>
          <w:tcPr>
            <w:tcW w:w="760" w:type="dxa"/>
            <w:vMerge w:val="restart"/>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default" w:ascii="Times New Roman" w:hAnsi="Times New Roman" w:eastAsia="仿宋_GB2312" w:cs="Times New Roman"/>
                <w:b w:val="0"/>
                <w:bCs/>
                <w:color w:val="auto"/>
                <w:highlight w:val="none"/>
                <w:lang w:val="en-US" w:eastAsia="zh-CN" w:bidi="ar"/>
              </w:rPr>
            </w:pPr>
            <w:r>
              <w:rPr>
                <w:rFonts w:hint="eastAsia" w:ascii="Times New Roman" w:hAnsi="Times New Roman" w:eastAsia="仿宋_GB2312" w:cs="Times New Roman"/>
                <w:b w:val="0"/>
                <w:bCs/>
                <w:color w:val="auto"/>
                <w:highlight w:val="none"/>
                <w:lang w:val="en-US" w:eastAsia="zh-CN" w:bidi="ar"/>
              </w:rPr>
              <w:t>12</w:t>
            </w:r>
          </w:p>
        </w:tc>
        <w:tc>
          <w:tcPr>
            <w:tcW w:w="2493" w:type="dxa"/>
            <w:vMerge w:val="restart"/>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常住人口规模（万人）</w:t>
            </w:r>
          </w:p>
        </w:tc>
        <w:tc>
          <w:tcPr>
            <w:tcW w:w="987" w:type="dxa"/>
            <w:vMerge w:val="restart"/>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预期性</w:t>
            </w:r>
          </w:p>
        </w:tc>
        <w:tc>
          <w:tcPr>
            <w:tcW w:w="80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乡域</w:t>
            </w:r>
          </w:p>
        </w:tc>
        <w:tc>
          <w:tcPr>
            <w:tcW w:w="81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0.60</w:t>
            </w:r>
          </w:p>
        </w:tc>
        <w:tc>
          <w:tcPr>
            <w:tcW w:w="111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0.55</w:t>
            </w:r>
          </w:p>
        </w:tc>
        <w:tc>
          <w:tcPr>
            <w:tcW w:w="1151"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0.5</w:t>
            </w:r>
          </w:p>
        </w:tc>
        <w:tc>
          <w:tcPr>
            <w:tcW w:w="74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7" w:hRule="atLeast"/>
        </w:trPr>
        <w:tc>
          <w:tcPr>
            <w:tcW w:w="760" w:type="dxa"/>
            <w:vMerge w:val="continue"/>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p>
        </w:tc>
        <w:tc>
          <w:tcPr>
            <w:tcW w:w="2493" w:type="dxa"/>
            <w:vMerge w:val="continue"/>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p>
        </w:tc>
        <w:tc>
          <w:tcPr>
            <w:tcW w:w="987" w:type="dxa"/>
            <w:vMerge w:val="continue"/>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p>
        </w:tc>
        <w:tc>
          <w:tcPr>
            <w:tcW w:w="80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集镇</w:t>
            </w:r>
          </w:p>
        </w:tc>
        <w:tc>
          <w:tcPr>
            <w:tcW w:w="81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0.12</w:t>
            </w:r>
          </w:p>
        </w:tc>
        <w:tc>
          <w:tcPr>
            <w:tcW w:w="111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0.16</w:t>
            </w:r>
          </w:p>
        </w:tc>
        <w:tc>
          <w:tcPr>
            <w:tcW w:w="1151"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0.2</w:t>
            </w:r>
          </w:p>
        </w:tc>
        <w:tc>
          <w:tcPr>
            <w:tcW w:w="74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0.08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70" w:hRule="atLeast"/>
        </w:trPr>
        <w:tc>
          <w:tcPr>
            <w:tcW w:w="76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eastAsia="zh-CN" w:bidi="ar"/>
              </w:rPr>
            </w:pPr>
            <w:r>
              <w:rPr>
                <w:rFonts w:hint="eastAsia" w:ascii="Times New Roman" w:hAnsi="Times New Roman" w:eastAsia="仿宋_GB2312" w:cs="Times New Roman"/>
                <w:b w:val="0"/>
                <w:bCs/>
                <w:color w:val="auto"/>
                <w:highlight w:val="none"/>
                <w:lang w:bidi="ar"/>
              </w:rPr>
              <w:t>1</w:t>
            </w:r>
            <w:r>
              <w:rPr>
                <w:rFonts w:hint="eastAsia" w:ascii="Times New Roman" w:hAnsi="Times New Roman" w:eastAsia="仿宋_GB2312" w:cs="Times New Roman"/>
                <w:b w:val="0"/>
                <w:bCs/>
                <w:color w:val="auto"/>
                <w:highlight w:val="none"/>
                <w:lang w:val="en-US" w:eastAsia="zh-CN" w:bidi="ar"/>
              </w:rPr>
              <w:t>3</w:t>
            </w:r>
          </w:p>
        </w:tc>
        <w:tc>
          <w:tcPr>
            <w:tcW w:w="249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人均城镇建设用地面积（平方米）</w:t>
            </w:r>
          </w:p>
        </w:tc>
        <w:tc>
          <w:tcPr>
            <w:tcW w:w="98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约束性</w:t>
            </w:r>
          </w:p>
        </w:tc>
        <w:tc>
          <w:tcPr>
            <w:tcW w:w="80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ind w:firstLine="0" w:firstLineChars="0"/>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集镇</w:t>
            </w:r>
          </w:p>
        </w:tc>
        <w:tc>
          <w:tcPr>
            <w:tcW w:w="81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ind w:firstLine="0" w:firstLineChars="0"/>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w:t>
            </w:r>
          </w:p>
        </w:tc>
        <w:tc>
          <w:tcPr>
            <w:tcW w:w="111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ind w:firstLine="0" w:firstLineChars="0"/>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168.29</w:t>
            </w:r>
          </w:p>
        </w:tc>
        <w:tc>
          <w:tcPr>
            <w:tcW w:w="1151"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ind w:firstLine="0" w:firstLineChars="0"/>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 xml:space="preserve"> 130.90</w:t>
            </w:r>
          </w:p>
        </w:tc>
        <w:tc>
          <w:tcPr>
            <w:tcW w:w="74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ind w:firstLine="0" w:firstLineChars="0"/>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38" w:hRule="atLeast"/>
        </w:trPr>
        <w:tc>
          <w:tcPr>
            <w:tcW w:w="76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eastAsia="zh-CN" w:bidi="ar"/>
              </w:rPr>
            </w:pPr>
            <w:r>
              <w:rPr>
                <w:rFonts w:hint="eastAsia" w:ascii="Times New Roman" w:hAnsi="Times New Roman" w:eastAsia="仿宋_GB2312" w:cs="Times New Roman"/>
                <w:b w:val="0"/>
                <w:bCs/>
                <w:color w:val="auto"/>
                <w:highlight w:val="none"/>
                <w:lang w:bidi="ar"/>
              </w:rPr>
              <w:t>1</w:t>
            </w:r>
            <w:r>
              <w:rPr>
                <w:rFonts w:hint="eastAsia" w:ascii="Times New Roman" w:hAnsi="Times New Roman" w:eastAsia="仿宋_GB2312" w:cs="Times New Roman"/>
                <w:b w:val="0"/>
                <w:bCs/>
                <w:color w:val="auto"/>
                <w:highlight w:val="none"/>
                <w:lang w:val="en-US" w:eastAsia="zh-CN" w:bidi="ar"/>
              </w:rPr>
              <w:t>4</w:t>
            </w:r>
          </w:p>
        </w:tc>
        <w:tc>
          <w:tcPr>
            <w:tcW w:w="249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人均应急避难场所面积（平方米）</w:t>
            </w:r>
          </w:p>
        </w:tc>
        <w:tc>
          <w:tcPr>
            <w:tcW w:w="98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预期性</w:t>
            </w:r>
          </w:p>
        </w:tc>
        <w:tc>
          <w:tcPr>
            <w:tcW w:w="80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集镇</w:t>
            </w:r>
          </w:p>
        </w:tc>
        <w:tc>
          <w:tcPr>
            <w:tcW w:w="81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0.5</w:t>
            </w:r>
          </w:p>
        </w:tc>
        <w:tc>
          <w:tcPr>
            <w:tcW w:w="111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w:t>
            </w:r>
          </w:p>
        </w:tc>
        <w:tc>
          <w:tcPr>
            <w:tcW w:w="1151"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1.5</w:t>
            </w:r>
          </w:p>
        </w:tc>
        <w:tc>
          <w:tcPr>
            <w:tcW w:w="74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7" w:hRule="atLeast"/>
        </w:trPr>
        <w:tc>
          <w:tcPr>
            <w:tcW w:w="8877" w:type="dxa"/>
            <w:gridSpan w:val="8"/>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三、空间品质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38" w:hRule="atLeast"/>
        </w:trPr>
        <w:tc>
          <w:tcPr>
            <w:tcW w:w="76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eastAsia="zh-CN" w:bidi="ar"/>
              </w:rPr>
            </w:pPr>
            <w:r>
              <w:rPr>
                <w:rFonts w:hint="eastAsia" w:ascii="Times New Roman" w:hAnsi="Times New Roman" w:eastAsia="仿宋_GB2312" w:cs="Times New Roman"/>
                <w:b w:val="0"/>
                <w:bCs/>
                <w:color w:val="auto"/>
                <w:highlight w:val="none"/>
                <w:lang w:bidi="ar"/>
              </w:rPr>
              <w:t>1</w:t>
            </w:r>
            <w:r>
              <w:rPr>
                <w:rFonts w:hint="eastAsia" w:ascii="Times New Roman" w:hAnsi="Times New Roman" w:eastAsia="仿宋_GB2312" w:cs="Times New Roman"/>
                <w:b w:val="0"/>
                <w:bCs/>
                <w:color w:val="auto"/>
                <w:highlight w:val="none"/>
                <w:lang w:val="en-US" w:eastAsia="zh-CN" w:bidi="ar"/>
              </w:rPr>
              <w:t>5</w:t>
            </w:r>
          </w:p>
        </w:tc>
        <w:tc>
          <w:tcPr>
            <w:tcW w:w="249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公园绿地、广场步行5分钟覆盖率（%）</w:t>
            </w:r>
          </w:p>
        </w:tc>
        <w:tc>
          <w:tcPr>
            <w:tcW w:w="98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约束性</w:t>
            </w:r>
          </w:p>
        </w:tc>
        <w:tc>
          <w:tcPr>
            <w:tcW w:w="80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集镇</w:t>
            </w:r>
          </w:p>
        </w:tc>
        <w:tc>
          <w:tcPr>
            <w:tcW w:w="81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w:t>
            </w:r>
          </w:p>
        </w:tc>
        <w:tc>
          <w:tcPr>
            <w:tcW w:w="111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40%</w:t>
            </w:r>
          </w:p>
        </w:tc>
        <w:tc>
          <w:tcPr>
            <w:tcW w:w="1151"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90%</w:t>
            </w:r>
          </w:p>
        </w:tc>
        <w:tc>
          <w:tcPr>
            <w:tcW w:w="74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38" w:hRule="atLeast"/>
        </w:trPr>
        <w:tc>
          <w:tcPr>
            <w:tcW w:w="760" w:type="dxa"/>
            <w:vMerge w:val="restart"/>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eastAsia="zh-CN" w:bidi="ar"/>
              </w:rPr>
            </w:pPr>
            <w:r>
              <w:rPr>
                <w:rFonts w:hint="eastAsia" w:ascii="Times New Roman" w:hAnsi="Times New Roman" w:eastAsia="仿宋_GB2312" w:cs="Times New Roman"/>
                <w:b w:val="0"/>
                <w:bCs/>
                <w:color w:val="auto"/>
                <w:highlight w:val="none"/>
                <w:lang w:bidi="ar"/>
              </w:rPr>
              <w:t>1</w:t>
            </w:r>
            <w:r>
              <w:rPr>
                <w:rFonts w:hint="eastAsia" w:ascii="Times New Roman" w:hAnsi="Times New Roman" w:eastAsia="仿宋_GB2312" w:cs="Times New Roman"/>
                <w:b w:val="0"/>
                <w:bCs/>
                <w:color w:val="auto"/>
                <w:highlight w:val="none"/>
                <w:lang w:val="en-US" w:eastAsia="zh-CN" w:bidi="ar"/>
              </w:rPr>
              <w:t>6</w:t>
            </w:r>
          </w:p>
        </w:tc>
        <w:tc>
          <w:tcPr>
            <w:tcW w:w="249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卫生等社区公共服务设施15分钟步行可达覆盖率（%）</w:t>
            </w:r>
          </w:p>
        </w:tc>
        <w:tc>
          <w:tcPr>
            <w:tcW w:w="987" w:type="dxa"/>
            <w:vMerge w:val="restart"/>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预期性</w:t>
            </w:r>
          </w:p>
        </w:tc>
        <w:tc>
          <w:tcPr>
            <w:tcW w:w="806" w:type="dxa"/>
            <w:vMerge w:val="restart"/>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集镇</w:t>
            </w:r>
          </w:p>
        </w:tc>
        <w:tc>
          <w:tcPr>
            <w:tcW w:w="81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60%</w:t>
            </w:r>
          </w:p>
        </w:tc>
        <w:tc>
          <w:tcPr>
            <w:tcW w:w="1117" w:type="dxa"/>
            <w:vMerge w:val="restart"/>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w:t>
            </w:r>
          </w:p>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p>
        </w:tc>
        <w:tc>
          <w:tcPr>
            <w:tcW w:w="1151"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80%</w:t>
            </w:r>
          </w:p>
        </w:tc>
        <w:tc>
          <w:tcPr>
            <w:tcW w:w="74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38" w:hRule="atLeast"/>
        </w:trPr>
        <w:tc>
          <w:tcPr>
            <w:tcW w:w="760" w:type="dxa"/>
            <w:vMerge w:val="continue"/>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p>
        </w:tc>
        <w:tc>
          <w:tcPr>
            <w:tcW w:w="249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养老等社区公共服务设施15分钟步行可达覆盖率（%）</w:t>
            </w:r>
          </w:p>
        </w:tc>
        <w:tc>
          <w:tcPr>
            <w:tcW w:w="987" w:type="dxa"/>
            <w:vMerge w:val="continue"/>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p>
        </w:tc>
        <w:tc>
          <w:tcPr>
            <w:tcW w:w="806" w:type="dxa"/>
            <w:vMerge w:val="continue"/>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p>
        </w:tc>
        <w:tc>
          <w:tcPr>
            <w:tcW w:w="81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50%</w:t>
            </w:r>
          </w:p>
        </w:tc>
        <w:tc>
          <w:tcPr>
            <w:tcW w:w="1117" w:type="dxa"/>
            <w:vMerge w:val="continue"/>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p>
        </w:tc>
        <w:tc>
          <w:tcPr>
            <w:tcW w:w="1151"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90%</w:t>
            </w:r>
          </w:p>
        </w:tc>
        <w:tc>
          <w:tcPr>
            <w:tcW w:w="74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38" w:hRule="atLeast"/>
        </w:trPr>
        <w:tc>
          <w:tcPr>
            <w:tcW w:w="760" w:type="dxa"/>
            <w:vMerge w:val="continue"/>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p>
        </w:tc>
        <w:tc>
          <w:tcPr>
            <w:tcW w:w="249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教育等社区公共服务设施15分钟步行可达覆盖率（%）</w:t>
            </w:r>
          </w:p>
        </w:tc>
        <w:tc>
          <w:tcPr>
            <w:tcW w:w="987" w:type="dxa"/>
            <w:vMerge w:val="continue"/>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p>
        </w:tc>
        <w:tc>
          <w:tcPr>
            <w:tcW w:w="806" w:type="dxa"/>
            <w:vMerge w:val="continue"/>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p>
        </w:tc>
        <w:tc>
          <w:tcPr>
            <w:tcW w:w="81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75%</w:t>
            </w:r>
          </w:p>
        </w:tc>
        <w:tc>
          <w:tcPr>
            <w:tcW w:w="1117" w:type="dxa"/>
            <w:vMerge w:val="continue"/>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p>
        </w:tc>
        <w:tc>
          <w:tcPr>
            <w:tcW w:w="1151"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90%</w:t>
            </w:r>
          </w:p>
        </w:tc>
        <w:tc>
          <w:tcPr>
            <w:tcW w:w="74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38" w:hRule="atLeast"/>
        </w:trPr>
        <w:tc>
          <w:tcPr>
            <w:tcW w:w="760" w:type="dxa"/>
            <w:vMerge w:val="continue"/>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p>
        </w:tc>
        <w:tc>
          <w:tcPr>
            <w:tcW w:w="249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文化等社区公共服务设施15分钟步行可达覆盖率（%）</w:t>
            </w:r>
          </w:p>
        </w:tc>
        <w:tc>
          <w:tcPr>
            <w:tcW w:w="987" w:type="dxa"/>
            <w:vMerge w:val="continue"/>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p>
        </w:tc>
        <w:tc>
          <w:tcPr>
            <w:tcW w:w="806" w:type="dxa"/>
            <w:vMerge w:val="continue"/>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p>
        </w:tc>
        <w:tc>
          <w:tcPr>
            <w:tcW w:w="81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58%</w:t>
            </w:r>
          </w:p>
        </w:tc>
        <w:tc>
          <w:tcPr>
            <w:tcW w:w="1117" w:type="dxa"/>
            <w:vMerge w:val="continue"/>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p>
        </w:tc>
        <w:tc>
          <w:tcPr>
            <w:tcW w:w="1151"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90%</w:t>
            </w:r>
          </w:p>
        </w:tc>
        <w:tc>
          <w:tcPr>
            <w:tcW w:w="74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38" w:hRule="atLeast"/>
        </w:trPr>
        <w:tc>
          <w:tcPr>
            <w:tcW w:w="760" w:type="dxa"/>
            <w:vMerge w:val="continue"/>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p>
        </w:tc>
        <w:tc>
          <w:tcPr>
            <w:tcW w:w="249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体育等社区公共服务设施15分钟步行可达覆盖率（%）</w:t>
            </w:r>
          </w:p>
        </w:tc>
        <w:tc>
          <w:tcPr>
            <w:tcW w:w="987" w:type="dxa"/>
            <w:vMerge w:val="continue"/>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p>
        </w:tc>
        <w:tc>
          <w:tcPr>
            <w:tcW w:w="806" w:type="dxa"/>
            <w:vMerge w:val="continue"/>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p>
        </w:tc>
        <w:tc>
          <w:tcPr>
            <w:tcW w:w="81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66%</w:t>
            </w:r>
          </w:p>
        </w:tc>
        <w:tc>
          <w:tcPr>
            <w:tcW w:w="1117" w:type="dxa"/>
            <w:vMerge w:val="continue"/>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p>
        </w:tc>
        <w:tc>
          <w:tcPr>
            <w:tcW w:w="1151"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90%</w:t>
            </w:r>
          </w:p>
        </w:tc>
        <w:tc>
          <w:tcPr>
            <w:tcW w:w="74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73" w:hRule="atLeast"/>
        </w:trPr>
        <w:tc>
          <w:tcPr>
            <w:tcW w:w="76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eastAsia="zh-CN" w:bidi="ar"/>
              </w:rPr>
            </w:pPr>
            <w:r>
              <w:rPr>
                <w:rFonts w:hint="eastAsia" w:ascii="Times New Roman" w:hAnsi="Times New Roman" w:eastAsia="仿宋_GB2312" w:cs="Times New Roman"/>
                <w:b w:val="0"/>
                <w:bCs/>
                <w:color w:val="auto"/>
                <w:highlight w:val="none"/>
                <w:lang w:bidi="ar"/>
              </w:rPr>
              <w:t>1</w:t>
            </w:r>
            <w:r>
              <w:rPr>
                <w:rFonts w:hint="eastAsia" w:ascii="Times New Roman" w:hAnsi="Times New Roman" w:eastAsia="仿宋_GB2312" w:cs="Times New Roman"/>
                <w:b w:val="0"/>
                <w:bCs/>
                <w:color w:val="auto"/>
                <w:highlight w:val="none"/>
                <w:lang w:val="en-US" w:eastAsia="zh-CN" w:bidi="ar"/>
              </w:rPr>
              <w:t>7</w:t>
            </w:r>
          </w:p>
        </w:tc>
        <w:tc>
          <w:tcPr>
            <w:tcW w:w="249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每千人口医疗卫生机构床位数（张）</w:t>
            </w:r>
          </w:p>
        </w:tc>
        <w:tc>
          <w:tcPr>
            <w:tcW w:w="98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预期性</w:t>
            </w:r>
          </w:p>
        </w:tc>
        <w:tc>
          <w:tcPr>
            <w:tcW w:w="80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乡域</w:t>
            </w:r>
          </w:p>
        </w:tc>
        <w:tc>
          <w:tcPr>
            <w:tcW w:w="81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1.5</w:t>
            </w:r>
          </w:p>
        </w:tc>
        <w:tc>
          <w:tcPr>
            <w:tcW w:w="111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2.5</w:t>
            </w:r>
          </w:p>
        </w:tc>
        <w:tc>
          <w:tcPr>
            <w:tcW w:w="1151"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3.5</w:t>
            </w:r>
          </w:p>
        </w:tc>
        <w:tc>
          <w:tcPr>
            <w:tcW w:w="74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17" w:hRule="atLeast"/>
        </w:trPr>
        <w:tc>
          <w:tcPr>
            <w:tcW w:w="76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eastAsia="zh-CN" w:bidi="ar"/>
              </w:rPr>
            </w:pPr>
            <w:r>
              <w:rPr>
                <w:rFonts w:hint="eastAsia" w:ascii="Times New Roman" w:hAnsi="Times New Roman" w:eastAsia="仿宋_GB2312" w:cs="Times New Roman"/>
                <w:b w:val="0"/>
                <w:bCs/>
                <w:color w:val="auto"/>
                <w:highlight w:val="none"/>
                <w:lang w:bidi="ar"/>
              </w:rPr>
              <w:t>1</w:t>
            </w:r>
            <w:r>
              <w:rPr>
                <w:rFonts w:hint="eastAsia" w:ascii="Times New Roman" w:hAnsi="Times New Roman" w:eastAsia="仿宋_GB2312" w:cs="Times New Roman"/>
                <w:b w:val="0"/>
                <w:bCs/>
                <w:color w:val="auto"/>
                <w:highlight w:val="none"/>
                <w:lang w:val="en-US" w:eastAsia="zh-CN" w:bidi="ar"/>
              </w:rPr>
              <w:t>8</w:t>
            </w:r>
          </w:p>
        </w:tc>
        <w:tc>
          <w:tcPr>
            <w:tcW w:w="249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人均公园绿地面积（平方米）</w:t>
            </w:r>
          </w:p>
        </w:tc>
        <w:tc>
          <w:tcPr>
            <w:tcW w:w="98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预期性</w:t>
            </w:r>
          </w:p>
        </w:tc>
        <w:tc>
          <w:tcPr>
            <w:tcW w:w="80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集镇</w:t>
            </w:r>
          </w:p>
        </w:tc>
        <w:tc>
          <w:tcPr>
            <w:tcW w:w="81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w:t>
            </w:r>
          </w:p>
        </w:tc>
        <w:tc>
          <w:tcPr>
            <w:tcW w:w="111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default"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0.0</w:t>
            </w:r>
          </w:p>
        </w:tc>
        <w:tc>
          <w:tcPr>
            <w:tcW w:w="1151"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default"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0.32</w:t>
            </w:r>
          </w:p>
        </w:tc>
        <w:tc>
          <w:tcPr>
            <w:tcW w:w="74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default"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0.32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7" w:hRule="atLeast"/>
        </w:trPr>
        <w:tc>
          <w:tcPr>
            <w:tcW w:w="76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eastAsia="zh-CN" w:bidi="ar"/>
              </w:rPr>
            </w:pPr>
            <w:r>
              <w:rPr>
                <w:rFonts w:hint="eastAsia" w:ascii="Times New Roman" w:hAnsi="Times New Roman" w:eastAsia="仿宋_GB2312" w:cs="Times New Roman"/>
                <w:b w:val="0"/>
                <w:bCs/>
                <w:color w:val="auto"/>
                <w:highlight w:val="none"/>
                <w:lang w:bidi="ar"/>
              </w:rPr>
              <w:t>1</w:t>
            </w:r>
            <w:r>
              <w:rPr>
                <w:rFonts w:hint="eastAsia" w:ascii="Times New Roman" w:hAnsi="Times New Roman" w:eastAsia="仿宋_GB2312" w:cs="Times New Roman"/>
                <w:b w:val="0"/>
                <w:bCs/>
                <w:color w:val="auto"/>
                <w:highlight w:val="none"/>
                <w:lang w:val="en-US" w:eastAsia="zh-CN" w:bidi="ar"/>
              </w:rPr>
              <w:t>9</w:t>
            </w:r>
          </w:p>
        </w:tc>
        <w:tc>
          <w:tcPr>
            <w:tcW w:w="249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新增生态修复面积（平方公里）</w:t>
            </w:r>
          </w:p>
        </w:tc>
        <w:tc>
          <w:tcPr>
            <w:tcW w:w="98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预期性</w:t>
            </w:r>
          </w:p>
        </w:tc>
        <w:tc>
          <w:tcPr>
            <w:tcW w:w="80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乡域</w:t>
            </w:r>
          </w:p>
        </w:tc>
        <w:tc>
          <w:tcPr>
            <w:tcW w:w="81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w:t>
            </w:r>
          </w:p>
        </w:tc>
        <w:tc>
          <w:tcPr>
            <w:tcW w:w="111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4.07</w:t>
            </w:r>
          </w:p>
        </w:tc>
        <w:tc>
          <w:tcPr>
            <w:tcW w:w="1151"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default"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28.29</w:t>
            </w:r>
          </w:p>
        </w:tc>
        <w:tc>
          <w:tcPr>
            <w:tcW w:w="74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28.29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7" w:hRule="atLeast"/>
        </w:trPr>
        <w:tc>
          <w:tcPr>
            <w:tcW w:w="76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default" w:ascii="Times New Roman" w:hAnsi="Times New Roman" w:eastAsia="仿宋_GB2312" w:cs="Times New Roman"/>
                <w:b w:val="0"/>
                <w:bCs/>
                <w:color w:val="auto"/>
                <w:highlight w:val="none"/>
                <w:lang w:val="en-US" w:eastAsia="zh-CN" w:bidi="ar"/>
              </w:rPr>
            </w:pPr>
            <w:r>
              <w:rPr>
                <w:rFonts w:hint="eastAsia" w:ascii="Times New Roman" w:hAnsi="Times New Roman" w:eastAsia="仿宋_GB2312" w:cs="Times New Roman"/>
                <w:b w:val="0"/>
                <w:bCs/>
                <w:color w:val="auto"/>
                <w:highlight w:val="none"/>
                <w:lang w:val="en-US" w:eastAsia="zh-CN" w:bidi="ar"/>
              </w:rPr>
              <w:t>20</w:t>
            </w:r>
          </w:p>
        </w:tc>
        <w:tc>
          <w:tcPr>
            <w:tcW w:w="249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补充耕地面积（万亩）</w:t>
            </w:r>
          </w:p>
        </w:tc>
        <w:tc>
          <w:tcPr>
            <w:tcW w:w="98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预期性</w:t>
            </w:r>
          </w:p>
        </w:tc>
        <w:tc>
          <w:tcPr>
            <w:tcW w:w="80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乡域 </w:t>
            </w:r>
          </w:p>
        </w:tc>
        <w:tc>
          <w:tcPr>
            <w:tcW w:w="81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w:t>
            </w:r>
          </w:p>
        </w:tc>
        <w:tc>
          <w:tcPr>
            <w:tcW w:w="111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0.04</w:t>
            </w:r>
          </w:p>
        </w:tc>
        <w:tc>
          <w:tcPr>
            <w:tcW w:w="1151"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0.04</w:t>
            </w:r>
          </w:p>
        </w:tc>
        <w:tc>
          <w:tcPr>
            <w:tcW w:w="74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default"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17" w:hRule="atLeast"/>
        </w:trPr>
        <w:tc>
          <w:tcPr>
            <w:tcW w:w="76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default" w:ascii="Times New Roman" w:hAnsi="Times New Roman" w:eastAsia="仿宋_GB2312" w:cs="Times New Roman"/>
                <w:b w:val="0"/>
                <w:bCs/>
                <w:color w:val="auto"/>
                <w:highlight w:val="none"/>
                <w:lang w:val="en-US" w:eastAsia="zh-CN" w:bidi="ar"/>
              </w:rPr>
            </w:pPr>
            <w:r>
              <w:rPr>
                <w:rFonts w:hint="eastAsia" w:ascii="Times New Roman" w:hAnsi="Times New Roman" w:eastAsia="仿宋_GB2312" w:cs="Times New Roman"/>
                <w:b w:val="0"/>
                <w:bCs/>
                <w:color w:val="auto"/>
                <w:highlight w:val="none"/>
                <w:lang w:val="en-US" w:eastAsia="zh-CN" w:bidi="ar"/>
              </w:rPr>
              <w:t>21</w:t>
            </w:r>
          </w:p>
        </w:tc>
        <w:tc>
          <w:tcPr>
            <w:tcW w:w="249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城镇生活垃圾回收利用率（%）</w:t>
            </w:r>
          </w:p>
        </w:tc>
        <w:tc>
          <w:tcPr>
            <w:tcW w:w="98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预期性</w:t>
            </w:r>
          </w:p>
        </w:tc>
        <w:tc>
          <w:tcPr>
            <w:tcW w:w="80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集镇</w:t>
            </w:r>
          </w:p>
        </w:tc>
        <w:tc>
          <w:tcPr>
            <w:tcW w:w="81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30%</w:t>
            </w:r>
          </w:p>
        </w:tc>
        <w:tc>
          <w:tcPr>
            <w:tcW w:w="111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40%</w:t>
            </w:r>
          </w:p>
        </w:tc>
        <w:tc>
          <w:tcPr>
            <w:tcW w:w="1151"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50%</w:t>
            </w:r>
          </w:p>
        </w:tc>
        <w:tc>
          <w:tcPr>
            <w:tcW w:w="74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73" w:hRule="atLeast"/>
        </w:trPr>
        <w:tc>
          <w:tcPr>
            <w:tcW w:w="76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default" w:ascii="Times New Roman" w:hAnsi="Times New Roman" w:eastAsia="仿宋_GB2312" w:cs="Times New Roman"/>
                <w:b w:val="0"/>
                <w:bCs/>
                <w:color w:val="auto"/>
                <w:highlight w:val="none"/>
                <w:lang w:val="en-US" w:eastAsia="zh-CN" w:bidi="ar"/>
              </w:rPr>
            </w:pPr>
            <w:r>
              <w:rPr>
                <w:rFonts w:hint="eastAsia" w:ascii="Times New Roman" w:hAnsi="Times New Roman" w:eastAsia="仿宋_GB2312" w:cs="Times New Roman"/>
                <w:b w:val="0"/>
                <w:bCs/>
                <w:color w:val="auto"/>
                <w:highlight w:val="none"/>
                <w:lang w:val="en-US" w:eastAsia="zh-CN" w:bidi="ar"/>
              </w:rPr>
              <w:t>22</w:t>
            </w:r>
          </w:p>
        </w:tc>
        <w:tc>
          <w:tcPr>
            <w:tcW w:w="249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农村生活垃圾处理率（%）</w:t>
            </w:r>
          </w:p>
        </w:tc>
        <w:tc>
          <w:tcPr>
            <w:tcW w:w="98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预期性</w:t>
            </w:r>
          </w:p>
        </w:tc>
        <w:tc>
          <w:tcPr>
            <w:tcW w:w="80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rPr>
                <w:rFonts w:hint="eastAsia" w:ascii="Times New Roman" w:hAnsi="Times New Roman" w:eastAsia="仿宋_GB2312" w:cs="Times New Roman"/>
                <w:b w:val="0"/>
                <w:bCs/>
                <w:color w:val="auto"/>
                <w:highlight w:val="none"/>
                <w:lang w:bidi="ar"/>
              </w:rPr>
            </w:pPr>
            <w:r>
              <w:rPr>
                <w:rFonts w:hint="eastAsia" w:ascii="Times New Roman" w:hAnsi="Times New Roman" w:eastAsia="仿宋_GB2312" w:cs="Times New Roman"/>
                <w:b w:val="0"/>
                <w:bCs/>
                <w:color w:val="auto"/>
                <w:highlight w:val="none"/>
                <w:lang w:bidi="ar"/>
              </w:rPr>
              <w:t>乡域</w:t>
            </w:r>
          </w:p>
        </w:tc>
        <w:tc>
          <w:tcPr>
            <w:tcW w:w="81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50%</w:t>
            </w:r>
          </w:p>
        </w:tc>
        <w:tc>
          <w:tcPr>
            <w:tcW w:w="111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80%</w:t>
            </w:r>
          </w:p>
        </w:tc>
        <w:tc>
          <w:tcPr>
            <w:tcW w:w="1151"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90%</w:t>
            </w:r>
          </w:p>
        </w:tc>
        <w:tc>
          <w:tcPr>
            <w:tcW w:w="74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40%</w:t>
            </w:r>
          </w:p>
        </w:tc>
      </w:tr>
    </w:tbl>
    <w:p>
      <w:pPr>
        <w:pStyle w:val="30"/>
        <w:spacing w:before="0" w:beforeLines="0" w:after="0" w:afterLines="0"/>
        <w:jc w:val="both"/>
        <w:rPr>
          <w:rFonts w:hint="eastAsia" w:ascii="Times New Roman" w:hAnsi="Times New Roman" w:eastAsia="仿宋_GB2312"/>
          <w:color w:val="auto"/>
          <w:lang w:val="en-US" w:eastAsia="zh-CN"/>
        </w:rPr>
      </w:pPr>
    </w:p>
    <w:p>
      <w:pPr>
        <w:pStyle w:val="33"/>
        <w:spacing w:before="156" w:beforeLines="50" w:after="156" w:afterLines="50" w:line="520" w:lineRule="exact"/>
        <w:rPr>
          <w:rFonts w:hint="eastAsia" w:ascii="Times New Roman" w:hAnsi="Times New Roman" w:cs="Times New Roman"/>
          <w:bCs w:val="0"/>
          <w:color w:val="auto"/>
          <w:kern w:val="2"/>
          <w:szCs w:val="32"/>
          <w:lang w:val="en-US" w:eastAsia="zh-CN"/>
        </w:rPr>
      </w:pPr>
      <w:bookmarkStart w:id="34" w:name="_Toc24895"/>
      <w:r>
        <w:rPr>
          <w:rFonts w:hint="eastAsia" w:ascii="Times New Roman" w:hAnsi="Times New Roman" w:cs="Times New Roman"/>
          <w:bCs w:val="0"/>
          <w:color w:val="auto"/>
          <w:kern w:val="2"/>
          <w:szCs w:val="32"/>
          <w:lang w:val="en-US" w:eastAsia="zh-CN"/>
        </w:rPr>
        <w:t>第三节 国土空间开发保护战略</w:t>
      </w:r>
      <w:bookmarkEnd w:id="34"/>
    </w:p>
    <w:p>
      <w:pPr>
        <w:snapToGrid w:val="0"/>
        <w:spacing w:line="480" w:lineRule="exact"/>
        <w:ind w:firstLine="562"/>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一、生态筑底，促进绿色发展</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落实上位规划确定的“三区三线”成果，整体保护全域农业、生态空间，协调城镇发展与农业保护、生态保护之间的关系。探索绿色发展新路径，合理利用生态资源特色优势，联动文化、旅游产业等新经济，提升生态产品价值。</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强调对耕地与永久基本农田的保护，将粮食安全保障列为国土空间保护与优化的首要目标，从空间、规模、质量等方面全面严格落实耕地保护目标、永久基本农田保护要求，严格限制建设占用，锚固安全底线。</w:t>
      </w:r>
    </w:p>
    <w:p>
      <w:pPr>
        <w:snapToGrid w:val="0"/>
        <w:spacing w:line="480" w:lineRule="exact"/>
        <w:ind w:firstLine="560"/>
        <w:rPr>
          <w:rFonts w:hint="default"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突出底线约束、低碳韧性的发展路径与空间治理模式，把保护生态环境和保障城市安全放在发展的重要位置，严格落实生态保护红线管控要求，统筹生产、生活、生态三类空间布局，提高资源节约集约利用水平。</w:t>
      </w:r>
    </w:p>
    <w:p>
      <w:pPr>
        <w:snapToGrid w:val="0"/>
        <w:spacing w:line="480" w:lineRule="exact"/>
        <w:ind w:firstLine="562"/>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二、开放协同，实现联动发展</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发挥生态价值，借力区域资源，全面参与区域联动发展。强化平富乡作为上犹县生态乡镇职能，充分发挥自身自然、生态、旅游资源等优势，与五指峰乡、营前镇等周边区域形成旅游休闲产业势能的互补，主动对接上犹县城和赣州中心城区，成为服务于上犹县和赣州市的休闲游憩目的地、康养度假的生态后花园。</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加快公共服务设施和基础设施共建共享，充分争取对接区域优势文化、教育、医疗卫生资源，尤其是与营前镇的高等级设施共享互通，补齐平富乡短板，实现联动发展。</w:t>
      </w:r>
    </w:p>
    <w:p>
      <w:pPr>
        <w:snapToGrid w:val="0"/>
        <w:spacing w:line="480" w:lineRule="exact"/>
        <w:ind w:firstLine="562"/>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三、示范引领，推进乡村振兴</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1、加强村庄发展分类指引，构建全域乡村新格局</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基于村庄现状资源禀赋和发展条件，将全域村庄分为集聚发展类、城郊融合类、</w:t>
      </w:r>
      <w:r>
        <w:rPr>
          <w:rFonts w:hint="eastAsia" w:ascii="Times New Roman" w:hAnsi="Times New Roman" w:eastAsia="仿宋_GB2312" w:cs="Times New Roman"/>
          <w:bCs/>
          <w:sz w:val="28"/>
          <w:szCs w:val="28"/>
          <w:lang w:val="en-US" w:eastAsia="zh-CN"/>
        </w:rPr>
        <w:t>整治提升类</w:t>
      </w:r>
      <w:r>
        <w:rPr>
          <w:rFonts w:hint="eastAsia" w:ascii="Times New Roman" w:hAnsi="Times New Roman" w:eastAsia="仿宋_GB2312" w:cs="Times New Roman"/>
          <w:bCs/>
          <w:color w:val="auto"/>
          <w:sz w:val="28"/>
          <w:szCs w:val="28"/>
          <w:lang w:val="en-US" w:eastAsia="zh-CN"/>
        </w:rPr>
        <w:t>共3种类型，全面开展村庄规划，划定村庄建设边界，针对不同类型的村庄分别制定差异化的管控和引导措施，促进全域村庄集约高效、凸显特色的发展，构建全域乡村新格局。</w:t>
      </w:r>
    </w:p>
    <w:p>
      <w:pPr>
        <w:snapToGrid w:val="0"/>
        <w:spacing w:line="480" w:lineRule="exact"/>
        <w:ind w:firstLine="560"/>
        <w:rPr>
          <w:rFonts w:hint="default"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2、落实乡村振兴战略，致力打造“五美”乡村</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落实江西省乡村振兴战略，打造彰显产业兴旺之美、自然生态之美、文明淳朴之美、共建共享之美、和谐有序之美的江西新时代“五美”乡村，统筹乡域城镇和村庄规划建设，保护传统村落和乡村风貌，优化乡村空间结构及职能体系，保障农村一二三产融合发展用地，分类引导建设美丽村庄，助力乡村产业振兴。加强耕地等自然资源保护利用，推进国土综合整治和生态修复。</w:t>
      </w:r>
    </w:p>
    <w:p>
      <w:pPr>
        <w:snapToGrid w:val="0"/>
        <w:spacing w:line="480" w:lineRule="exact"/>
        <w:ind w:firstLine="560"/>
        <w:rPr>
          <w:rFonts w:hint="default"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3、大力发展现代农业，打造上犹</w:t>
      </w:r>
      <w:r>
        <w:rPr>
          <w:rFonts w:hint="default" w:ascii="Times New Roman" w:hAnsi="Times New Roman" w:eastAsia="仿宋_GB2312" w:cs="Times New Roman"/>
          <w:bCs/>
          <w:color w:val="auto"/>
          <w:sz w:val="28"/>
          <w:szCs w:val="28"/>
          <w:lang w:val="en-US" w:eastAsia="zh-CN"/>
        </w:rPr>
        <w:t>绿色有机农产品供应基地</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sz w:val="28"/>
          <w:szCs w:val="28"/>
          <w:lang w:val="en-US" w:eastAsia="zh-CN"/>
        </w:rPr>
        <w:t>围绕提质扩效，着力优化农业产业结构，因地制宜、因势利导，大力推进农业朝产业化、融合化、生态化、品牌化、生产现代化“五化”发展，推动平富精品果业、茶叶、绿色蔬菜等农业产业高质量跨越式可持续发展。深入实施藏粮于地、藏粮于技战略，坚守耕地红线，坚决遏制耕地“非农化”，防止“非粮化”，全力抓好粮食生产，保障粮食安全。积极引导农业产业化龙头企业落户平富，以脐橙种植和茶叶种植为重点，引进其他一批以农业为主导，以三产融合发展为特色的示范项目，将平富</w:t>
      </w:r>
      <w:r>
        <w:rPr>
          <w:rFonts w:hint="default" w:ascii="Times New Roman" w:hAnsi="Times New Roman" w:eastAsia="仿宋_GB2312" w:cs="Times New Roman"/>
          <w:bCs/>
          <w:sz w:val="28"/>
          <w:szCs w:val="28"/>
          <w:lang w:val="en-US" w:eastAsia="zh-CN"/>
        </w:rPr>
        <w:t>打造成</w:t>
      </w:r>
      <w:r>
        <w:rPr>
          <w:rFonts w:hint="eastAsia" w:ascii="Times New Roman" w:hAnsi="Times New Roman" w:eastAsia="仿宋_GB2312" w:cs="Times New Roman"/>
          <w:bCs/>
          <w:sz w:val="28"/>
          <w:szCs w:val="28"/>
          <w:lang w:val="en-US" w:eastAsia="zh-CN"/>
        </w:rPr>
        <w:t>上犹县特色</w:t>
      </w:r>
      <w:r>
        <w:rPr>
          <w:rFonts w:hint="default" w:ascii="Times New Roman" w:hAnsi="Times New Roman" w:eastAsia="仿宋_GB2312" w:cs="Times New Roman"/>
          <w:bCs/>
          <w:sz w:val="28"/>
          <w:szCs w:val="28"/>
          <w:lang w:val="en-US" w:eastAsia="zh-CN"/>
        </w:rPr>
        <w:t>农产品基地</w:t>
      </w:r>
      <w:r>
        <w:rPr>
          <w:rFonts w:hint="eastAsia" w:ascii="Times New Roman" w:hAnsi="Times New Roman" w:eastAsia="仿宋_GB2312" w:cs="Times New Roman"/>
          <w:bCs/>
          <w:color w:val="auto"/>
          <w:sz w:val="28"/>
          <w:szCs w:val="28"/>
          <w:lang w:val="en-US" w:eastAsia="zh-CN"/>
        </w:rPr>
        <w:t>。</w:t>
      </w:r>
    </w:p>
    <w:p>
      <w:pPr>
        <w:snapToGrid w:val="0"/>
        <w:spacing w:line="480" w:lineRule="exact"/>
        <w:ind w:firstLine="562"/>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四、文旅融合，提升地方魅力</w:t>
      </w:r>
    </w:p>
    <w:p>
      <w:pPr>
        <w:snapToGrid w:val="0"/>
        <w:spacing w:line="480" w:lineRule="exact"/>
        <w:ind w:firstLine="560"/>
        <w:rPr>
          <w:rFonts w:hint="eastAsia" w:ascii="Times New Roman" w:hAnsi="Times New Roman" w:eastAsia="仿宋_GB2312" w:cs="Times New Roman"/>
          <w:bCs/>
          <w:sz w:val="28"/>
          <w:szCs w:val="28"/>
          <w:lang w:val="en-US" w:eastAsia="zh-CN"/>
        </w:rPr>
      </w:pPr>
      <w:r>
        <w:rPr>
          <w:rFonts w:hint="eastAsia" w:ascii="Times New Roman" w:hAnsi="Times New Roman" w:eastAsia="仿宋_GB2312" w:cs="Times New Roman"/>
          <w:bCs/>
          <w:sz w:val="28"/>
          <w:szCs w:val="28"/>
          <w:lang w:val="en-US" w:eastAsia="zh-CN"/>
        </w:rPr>
        <w:t>立足于平富乡自身优势资源，深入探索乡村旅游发展新模式，</w:t>
      </w:r>
      <w:r>
        <w:rPr>
          <w:rFonts w:hint="default" w:ascii="Times New Roman" w:hAnsi="Times New Roman" w:eastAsia="仿宋_GB2312" w:cs="Times New Roman"/>
          <w:bCs/>
          <w:sz w:val="28"/>
          <w:szCs w:val="28"/>
          <w:lang w:val="en-US" w:eastAsia="zh-CN"/>
        </w:rPr>
        <w:t>发展特色</w:t>
      </w:r>
      <w:r>
        <w:rPr>
          <w:rFonts w:hint="eastAsia" w:ascii="Times New Roman" w:hAnsi="Times New Roman" w:eastAsia="仿宋_GB2312" w:cs="Times New Roman"/>
          <w:bCs/>
          <w:sz w:val="28"/>
          <w:szCs w:val="28"/>
          <w:lang w:val="en-US" w:eastAsia="zh-CN"/>
        </w:rPr>
        <w:t>生态</w:t>
      </w:r>
      <w:r>
        <w:rPr>
          <w:rFonts w:hint="default" w:ascii="Times New Roman" w:hAnsi="Times New Roman" w:eastAsia="仿宋_GB2312" w:cs="Times New Roman"/>
          <w:bCs/>
          <w:sz w:val="28"/>
          <w:szCs w:val="28"/>
          <w:lang w:val="en-US" w:eastAsia="zh-CN"/>
        </w:rPr>
        <w:t>农旅产业。依托</w:t>
      </w:r>
      <w:r>
        <w:rPr>
          <w:rFonts w:hint="eastAsia" w:ascii="Times New Roman" w:hAnsi="Times New Roman" w:eastAsia="仿宋_GB2312" w:cs="Times New Roman"/>
          <w:bCs/>
          <w:sz w:val="28"/>
          <w:szCs w:val="28"/>
          <w:lang w:val="en-US" w:eastAsia="zh-CN"/>
        </w:rPr>
        <w:t>燕子岩、暖塘温泉、上寨</w:t>
      </w:r>
      <w:r>
        <w:rPr>
          <w:rFonts w:hint="eastAsia" w:ascii="Times New Roman" w:hAnsi="Times New Roman" w:eastAsia="仿宋_GB2312" w:cs="Times New Roman"/>
          <w:bCs/>
          <w:color w:val="auto"/>
          <w:sz w:val="28"/>
          <w:szCs w:val="28"/>
          <w:lang w:val="en-US" w:eastAsia="zh-CN"/>
        </w:rPr>
        <w:t>红三军团旧址群</w:t>
      </w:r>
      <w:r>
        <w:rPr>
          <w:rFonts w:hint="eastAsia" w:ascii="Times New Roman" w:hAnsi="Times New Roman" w:eastAsia="仿宋_GB2312" w:cs="Times New Roman"/>
          <w:bCs/>
          <w:sz w:val="28"/>
          <w:szCs w:val="28"/>
          <w:lang w:val="en-US" w:eastAsia="zh-CN"/>
        </w:rPr>
        <w:t>、信地村茶园</w:t>
      </w:r>
      <w:r>
        <w:rPr>
          <w:rFonts w:hint="default" w:ascii="Times New Roman" w:hAnsi="Times New Roman" w:eastAsia="仿宋_GB2312" w:cs="Times New Roman"/>
          <w:bCs/>
          <w:sz w:val="28"/>
          <w:szCs w:val="28"/>
          <w:lang w:val="en-US" w:eastAsia="zh-CN"/>
        </w:rPr>
        <w:t>等</w:t>
      </w:r>
      <w:r>
        <w:rPr>
          <w:rFonts w:hint="eastAsia" w:ascii="Times New Roman" w:hAnsi="Times New Roman" w:eastAsia="仿宋_GB2312" w:cs="Times New Roman"/>
          <w:bCs/>
          <w:sz w:val="28"/>
          <w:szCs w:val="28"/>
          <w:lang w:val="en-US" w:eastAsia="zh-CN"/>
        </w:rPr>
        <w:t>优质</w:t>
      </w:r>
      <w:r>
        <w:rPr>
          <w:rFonts w:hint="default" w:ascii="Times New Roman" w:hAnsi="Times New Roman" w:eastAsia="仿宋_GB2312" w:cs="Times New Roman"/>
          <w:bCs/>
          <w:sz w:val="28"/>
          <w:szCs w:val="28"/>
          <w:lang w:val="en-US" w:eastAsia="zh-CN"/>
        </w:rPr>
        <w:t>资源</w:t>
      </w:r>
      <w:r>
        <w:rPr>
          <w:rFonts w:hint="eastAsia" w:ascii="Times New Roman" w:hAnsi="Times New Roman" w:eastAsia="仿宋_GB2312" w:cs="Times New Roman"/>
          <w:bCs/>
          <w:sz w:val="28"/>
          <w:szCs w:val="28"/>
          <w:lang w:val="en-US" w:eastAsia="zh-CN"/>
        </w:rPr>
        <w:t>，立足</w:t>
      </w:r>
      <w:r>
        <w:rPr>
          <w:rFonts w:hint="default" w:ascii="Times New Roman" w:hAnsi="Times New Roman" w:eastAsia="仿宋_GB2312" w:cs="Times New Roman"/>
          <w:bCs/>
          <w:sz w:val="28"/>
          <w:szCs w:val="28"/>
          <w:lang w:val="en-US" w:eastAsia="zh-CN"/>
        </w:rPr>
        <w:t>优越的交通</w:t>
      </w:r>
      <w:r>
        <w:rPr>
          <w:rFonts w:hint="eastAsia" w:ascii="Times New Roman" w:hAnsi="Times New Roman" w:eastAsia="仿宋_GB2312" w:cs="Times New Roman"/>
          <w:bCs/>
          <w:sz w:val="28"/>
          <w:szCs w:val="28"/>
          <w:lang w:val="en-US" w:eastAsia="zh-CN"/>
        </w:rPr>
        <w:t>条件</w:t>
      </w:r>
      <w:r>
        <w:rPr>
          <w:rFonts w:hint="default" w:ascii="Times New Roman" w:hAnsi="Times New Roman" w:eastAsia="仿宋_GB2312" w:cs="Times New Roman"/>
          <w:bCs/>
          <w:sz w:val="28"/>
          <w:szCs w:val="28"/>
          <w:lang w:val="en-US" w:eastAsia="zh-CN"/>
        </w:rPr>
        <w:t>，</w:t>
      </w:r>
      <w:r>
        <w:rPr>
          <w:rFonts w:hint="eastAsia" w:ascii="Times New Roman" w:hAnsi="Times New Roman" w:eastAsia="仿宋_GB2312" w:cs="Times New Roman"/>
          <w:bCs/>
          <w:sz w:val="28"/>
          <w:szCs w:val="28"/>
          <w:lang w:val="en-US" w:eastAsia="zh-CN"/>
        </w:rPr>
        <w:t>把生态文化、红色文化和特色农业相结合，推动文旅融合发展，</w:t>
      </w:r>
      <w:r>
        <w:rPr>
          <w:rFonts w:hint="default" w:ascii="Times New Roman" w:hAnsi="Times New Roman" w:eastAsia="仿宋_GB2312" w:cs="Times New Roman"/>
          <w:bCs/>
          <w:sz w:val="28"/>
          <w:szCs w:val="28"/>
          <w:lang w:val="en-US" w:eastAsia="zh-CN"/>
        </w:rPr>
        <w:t>聚</w:t>
      </w:r>
      <w:r>
        <w:rPr>
          <w:rFonts w:hint="eastAsia" w:ascii="Times New Roman" w:hAnsi="Times New Roman" w:eastAsia="仿宋_GB2312" w:cs="Times New Roman"/>
          <w:bCs/>
          <w:sz w:val="28"/>
          <w:szCs w:val="28"/>
          <w:lang w:val="en-US" w:eastAsia="zh-CN"/>
        </w:rPr>
        <w:t>城乡</w:t>
      </w:r>
      <w:r>
        <w:rPr>
          <w:rFonts w:hint="default" w:ascii="Times New Roman" w:hAnsi="Times New Roman" w:eastAsia="仿宋_GB2312" w:cs="Times New Roman"/>
          <w:bCs/>
          <w:sz w:val="28"/>
          <w:szCs w:val="28"/>
          <w:lang w:val="en-US" w:eastAsia="zh-CN"/>
        </w:rPr>
        <w:t>发展合力</w:t>
      </w:r>
      <w:r>
        <w:rPr>
          <w:rFonts w:hint="eastAsia" w:ascii="Times New Roman" w:hAnsi="Times New Roman" w:eastAsia="仿宋_GB2312" w:cs="Times New Roman"/>
          <w:bCs/>
          <w:sz w:val="28"/>
          <w:szCs w:val="28"/>
          <w:lang w:val="en-US" w:eastAsia="zh-CN"/>
        </w:rPr>
        <w:t>、</w:t>
      </w:r>
      <w:r>
        <w:rPr>
          <w:rFonts w:hint="default" w:ascii="Times New Roman" w:hAnsi="Times New Roman" w:eastAsia="仿宋_GB2312" w:cs="Times New Roman"/>
          <w:bCs/>
          <w:sz w:val="28"/>
          <w:szCs w:val="28"/>
          <w:lang w:val="en-US" w:eastAsia="zh-CN"/>
        </w:rPr>
        <w:t>谋乡村振兴新篇的</w:t>
      </w:r>
      <w:r>
        <w:rPr>
          <w:rFonts w:hint="eastAsia" w:ascii="Times New Roman" w:hAnsi="Times New Roman" w:eastAsia="仿宋_GB2312" w:cs="Times New Roman"/>
          <w:bCs/>
          <w:sz w:val="28"/>
          <w:szCs w:val="28"/>
          <w:lang w:val="en-US" w:eastAsia="zh-CN"/>
        </w:rPr>
        <w:t>策略</w:t>
      </w:r>
      <w:r>
        <w:rPr>
          <w:rFonts w:hint="default" w:ascii="Times New Roman" w:hAnsi="Times New Roman" w:eastAsia="仿宋_GB2312" w:cs="Times New Roman"/>
          <w:bCs/>
          <w:sz w:val="28"/>
          <w:szCs w:val="28"/>
          <w:lang w:val="en-US" w:eastAsia="zh-CN"/>
        </w:rPr>
        <w:t>，打造宜居</w:t>
      </w:r>
      <w:r>
        <w:rPr>
          <w:rFonts w:hint="eastAsia" w:ascii="Times New Roman" w:hAnsi="Times New Roman" w:eastAsia="仿宋_GB2312" w:cs="Times New Roman"/>
          <w:bCs/>
          <w:sz w:val="28"/>
          <w:szCs w:val="28"/>
          <w:lang w:val="en-US" w:eastAsia="zh-CN"/>
        </w:rPr>
        <w:t>宜游</w:t>
      </w:r>
      <w:r>
        <w:rPr>
          <w:rFonts w:hint="default" w:ascii="Times New Roman" w:hAnsi="Times New Roman" w:eastAsia="仿宋_GB2312" w:cs="Times New Roman"/>
          <w:bCs/>
          <w:sz w:val="28"/>
          <w:szCs w:val="28"/>
          <w:lang w:val="en-US" w:eastAsia="zh-CN"/>
        </w:rPr>
        <w:t>的特色旅游</w:t>
      </w:r>
      <w:r>
        <w:rPr>
          <w:rFonts w:hint="eastAsia" w:ascii="Times New Roman" w:hAnsi="Times New Roman" w:eastAsia="仿宋_GB2312" w:cs="Times New Roman"/>
          <w:bCs/>
          <w:sz w:val="28"/>
          <w:szCs w:val="28"/>
          <w:lang w:val="en-US" w:eastAsia="zh-CN"/>
        </w:rPr>
        <w:t>乡</w:t>
      </w:r>
      <w:r>
        <w:rPr>
          <w:rFonts w:hint="default" w:ascii="Times New Roman" w:hAnsi="Times New Roman" w:eastAsia="仿宋_GB2312" w:cs="Times New Roman"/>
          <w:bCs/>
          <w:sz w:val="28"/>
          <w:szCs w:val="28"/>
          <w:lang w:val="en-US" w:eastAsia="zh-CN"/>
        </w:rPr>
        <w:t>镇。</w:t>
      </w:r>
    </w:p>
    <w:p>
      <w:pPr>
        <w:snapToGrid w:val="0"/>
        <w:spacing w:line="480" w:lineRule="exact"/>
        <w:ind w:firstLine="562"/>
        <w:rPr>
          <w:rFonts w:hint="default"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五、推动集镇更新，建设美丽集镇</w:t>
      </w:r>
    </w:p>
    <w:p>
      <w:pPr>
        <w:snapToGrid w:val="0"/>
        <w:spacing w:line="480" w:lineRule="exact"/>
        <w:ind w:firstLine="560"/>
        <w:rPr>
          <w:rFonts w:hint="default" w:ascii="Times New Roman" w:hAnsi="Times New Roman" w:eastAsia="仿宋_GB2312" w:cs="Times New Roman"/>
          <w:bCs/>
          <w:sz w:val="28"/>
          <w:szCs w:val="28"/>
          <w:lang w:val="en-US" w:eastAsia="zh-CN"/>
        </w:rPr>
      </w:pPr>
      <w:r>
        <w:rPr>
          <w:rFonts w:hint="eastAsia" w:ascii="Times New Roman" w:hAnsi="Times New Roman" w:eastAsia="仿宋_GB2312" w:cs="Times New Roman"/>
          <w:bCs/>
          <w:sz w:val="28"/>
          <w:szCs w:val="28"/>
          <w:lang w:val="en-US" w:eastAsia="zh-CN"/>
        </w:rPr>
        <w:t>平富集镇公共空间不足，整体品质有待提升。整体性、多样化地推进集镇功能的提升，逐步完善配套公共服务，促进土地资源连片开发。强化交通市政等基础支撑，优化集镇功能布局，以交通为骨，合理组织功能格局，确保有序发展。以功能组团为单元，构建集镇的空间形态，致力建设滨水生态宜居集镇；构建完善的生活服务圈体系，以提升生活品质为目标，构建集镇15分钟生活圈，完善公服配套，增加旅游服务设施配套，建设平富美丽集镇。</w:t>
      </w:r>
    </w:p>
    <w:p>
      <w:pPr>
        <w:pStyle w:val="33"/>
        <w:spacing w:before="156" w:beforeLines="50" w:after="156" w:afterLines="50" w:line="520" w:lineRule="exact"/>
        <w:rPr>
          <w:rFonts w:hint="eastAsia" w:ascii="Times New Roman" w:hAnsi="Times New Roman" w:cs="Times New Roman"/>
          <w:bCs w:val="0"/>
          <w:color w:val="auto"/>
          <w:kern w:val="2"/>
          <w:szCs w:val="32"/>
          <w:lang w:val="en-US" w:eastAsia="zh-CN"/>
        </w:rPr>
      </w:pPr>
      <w:bookmarkStart w:id="35" w:name="_Toc12273"/>
      <w:r>
        <w:rPr>
          <w:rFonts w:hint="eastAsia" w:ascii="Times New Roman" w:hAnsi="Times New Roman" w:cs="Times New Roman"/>
          <w:bCs w:val="0"/>
          <w:color w:val="auto"/>
          <w:kern w:val="2"/>
          <w:szCs w:val="32"/>
          <w:lang w:val="en-US" w:eastAsia="zh-CN"/>
        </w:rPr>
        <w:t>第四节 区域协同发展战略</w:t>
      </w:r>
      <w:bookmarkEnd w:id="35"/>
    </w:p>
    <w:p>
      <w:pPr>
        <w:snapToGrid w:val="0"/>
        <w:spacing w:line="480" w:lineRule="exact"/>
        <w:ind w:firstLine="562"/>
        <w:rPr>
          <w:rFonts w:hint="default"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一、区域空间协同</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1、融入全域旅游发展大格局</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平富乡积极融入上犹县全域旅游战略，与营前镇、水岩乡等乡镇打造南部山水文旅发展区，重点保护与开发生态文化旅游。同时加快区域旅游圈市场共享、设施共建、线路统筹等，共同打造全域旅游魅力空间。</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2、协同周边乡镇实现区域一体化发展</w:t>
      </w:r>
    </w:p>
    <w:p>
      <w:pPr>
        <w:snapToGrid w:val="0"/>
        <w:spacing w:line="480" w:lineRule="exact"/>
        <w:ind w:firstLine="562"/>
        <w:rPr>
          <w:rFonts w:hint="eastAsia" w:ascii="Times New Roman" w:hAnsi="Times New Roman" w:eastAsia="仿宋_GB2312" w:cs="Times New Roman"/>
          <w:bCs/>
          <w:sz w:val="28"/>
          <w:szCs w:val="28"/>
          <w:lang w:val="en-US" w:eastAsia="zh-CN"/>
        </w:rPr>
      </w:pPr>
      <w:r>
        <w:rPr>
          <w:rFonts w:hint="eastAsia" w:ascii="Times New Roman" w:hAnsi="Times New Roman" w:eastAsia="仿宋_GB2312" w:cs="Times New Roman"/>
          <w:bCs/>
          <w:sz w:val="28"/>
          <w:szCs w:val="28"/>
          <w:lang w:val="en-US" w:eastAsia="zh-CN"/>
        </w:rPr>
        <w:t>平富乡借助自身的地理区位优势，对接营前镇的辐射带动，区域互动，实现公共服务设施、基础设施的共建共享。</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3、生态协作，共同构建五指峰生态核心。</w:t>
      </w:r>
    </w:p>
    <w:p>
      <w:pPr>
        <w:snapToGrid w:val="0"/>
        <w:spacing w:line="480" w:lineRule="exact"/>
        <w:ind w:firstLine="560"/>
        <w:rPr>
          <w:rFonts w:hint="eastAsia" w:ascii="Times New Roman" w:hAnsi="Times New Roman" w:eastAsia="仿宋_GB2312" w:cs="Times New Roman"/>
          <w:bCs/>
          <w:sz w:val="28"/>
          <w:szCs w:val="28"/>
          <w:lang w:val="en-US" w:eastAsia="zh-CN"/>
        </w:rPr>
      </w:pPr>
      <w:r>
        <w:rPr>
          <w:rFonts w:hint="eastAsia" w:ascii="Times New Roman" w:hAnsi="Times New Roman" w:eastAsia="仿宋_GB2312" w:cs="Times New Roman"/>
          <w:bCs/>
          <w:sz w:val="28"/>
          <w:szCs w:val="28"/>
          <w:lang w:val="en-US" w:eastAsia="zh-CN"/>
        </w:rPr>
        <w:t>加强五指峰生态核心的保护与修复，增强碳汇能力和生物多样性保护功能。严禁在五指峰国家森林公园自然保护地发展工业、毁林开荒、开山采石等破坏植被和侵占水面行为，加强生态公益林、河湖湿地、河道两岸生态环境保护，严格保护五指峰生态核心区原生原始动植物生态系统体系，最大限度保留原有自然生态系统。适度发展运动休闲、旅游观光功能，打造高品质休闲空间。</w:t>
      </w:r>
    </w:p>
    <w:p>
      <w:pPr>
        <w:snapToGrid w:val="0"/>
        <w:spacing w:line="480" w:lineRule="exact"/>
        <w:ind w:firstLine="562"/>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二、区域交通协同</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加强与区域的交通联系，落实上位规划项目，升级改建G220，提升平富乡对外交通能力。</w:t>
      </w:r>
    </w:p>
    <w:p>
      <w:pPr>
        <w:snapToGrid w:val="0"/>
        <w:spacing w:line="480" w:lineRule="exact"/>
        <w:ind w:firstLine="562"/>
        <w:rPr>
          <w:rFonts w:hint="default"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三、区域基础设施协同</w:t>
      </w:r>
    </w:p>
    <w:p>
      <w:pPr>
        <w:snapToGrid w:val="0"/>
        <w:spacing w:line="480" w:lineRule="exact"/>
        <w:rPr>
          <w:rFonts w:hint="default" w:ascii="Times New Roman" w:hAnsi="Times New Roman" w:eastAsia="仿宋_GB2312" w:cs="Times New Roman"/>
          <w:b w:val="0"/>
          <w:bCs/>
          <w:color w:val="auto"/>
          <w:sz w:val="28"/>
          <w:szCs w:val="28"/>
          <w:highlight w:val="none"/>
          <w:lang w:val="en-US" w:eastAsia="zh-CN"/>
        </w:rPr>
      </w:pPr>
      <w:r>
        <w:rPr>
          <w:rFonts w:hint="eastAsia" w:ascii="Times New Roman" w:hAnsi="Times New Roman" w:eastAsia="仿宋_GB2312" w:cs="Times New Roman"/>
          <w:b w:val="0"/>
          <w:bCs/>
          <w:color w:val="auto"/>
          <w:sz w:val="28"/>
          <w:szCs w:val="28"/>
          <w:lang w:val="en-US" w:eastAsia="zh-CN"/>
        </w:rPr>
        <w:t>基础设施重点加强与营前镇的协同共享。在</w:t>
      </w:r>
      <w:r>
        <w:rPr>
          <w:rFonts w:hint="eastAsia" w:ascii="Times New Roman" w:hAnsi="Times New Roman" w:eastAsia="仿宋_GB2312" w:cs="Times New Roman"/>
          <w:b w:val="0"/>
          <w:bCs/>
          <w:sz w:val="28"/>
          <w:szCs w:val="28"/>
          <w:lang w:val="en-US" w:eastAsia="zh-CN"/>
        </w:rPr>
        <w:t>电力设施上，</w:t>
      </w:r>
      <w:r>
        <w:rPr>
          <w:rFonts w:hint="eastAsia" w:ascii="Times New Roman" w:hAnsi="Times New Roman" w:eastAsia="仿宋_GB2312" w:cs="Times New Roman"/>
          <w:b w:val="0"/>
          <w:bCs/>
          <w:color w:val="auto"/>
          <w:sz w:val="28"/>
          <w:szCs w:val="28"/>
          <w:lang w:val="en-US" w:eastAsia="zh-CN"/>
        </w:rPr>
        <w:t>现状龙潭水电站</w:t>
      </w:r>
      <w:r>
        <w:rPr>
          <w:rFonts w:hint="default" w:ascii="Times New Roman" w:hAnsi="Times New Roman" w:eastAsia="仿宋_GB2312" w:cs="Times New Roman"/>
          <w:b w:val="0"/>
          <w:bCs/>
          <w:color w:val="auto"/>
          <w:sz w:val="28"/>
          <w:szCs w:val="28"/>
          <w:lang w:val="en-US" w:eastAsia="zh-CN"/>
        </w:rPr>
        <w:t>电网经过</w:t>
      </w:r>
      <w:r>
        <w:rPr>
          <w:rFonts w:hint="eastAsia" w:ascii="Times New Roman" w:hAnsi="Times New Roman" w:eastAsia="仿宋_GB2312" w:cs="Times New Roman"/>
          <w:b w:val="0"/>
          <w:bCs/>
          <w:color w:val="auto"/>
          <w:sz w:val="28"/>
          <w:szCs w:val="28"/>
          <w:lang w:val="en-US" w:eastAsia="zh-CN"/>
        </w:rPr>
        <w:t>平富乡</w:t>
      </w:r>
      <w:r>
        <w:rPr>
          <w:rFonts w:hint="default" w:ascii="Times New Roman" w:hAnsi="Times New Roman" w:eastAsia="仿宋_GB2312" w:cs="Times New Roman"/>
          <w:b w:val="0"/>
          <w:bCs/>
          <w:color w:val="auto"/>
          <w:sz w:val="28"/>
          <w:szCs w:val="28"/>
          <w:lang w:val="en-US" w:eastAsia="zh-CN"/>
        </w:rPr>
        <w:t>至</w:t>
      </w:r>
      <w:r>
        <w:rPr>
          <w:rFonts w:hint="eastAsia" w:ascii="Times New Roman" w:hAnsi="Times New Roman" w:eastAsia="仿宋_GB2312" w:cs="Times New Roman"/>
          <w:b w:val="0"/>
          <w:bCs/>
          <w:color w:val="auto"/>
          <w:sz w:val="28"/>
          <w:szCs w:val="28"/>
          <w:lang w:val="en-US" w:eastAsia="zh-CN"/>
        </w:rPr>
        <w:t>营前</w:t>
      </w:r>
      <w:r>
        <w:rPr>
          <w:rFonts w:hint="default" w:ascii="Times New Roman" w:hAnsi="Times New Roman" w:eastAsia="仿宋_GB2312" w:cs="Times New Roman"/>
          <w:b w:val="0"/>
          <w:bCs/>
          <w:color w:val="auto"/>
          <w:sz w:val="28"/>
          <w:szCs w:val="28"/>
          <w:lang w:val="en-US" w:eastAsia="zh-CN"/>
        </w:rPr>
        <w:t>镇，</w:t>
      </w:r>
      <w:r>
        <w:rPr>
          <w:rFonts w:hint="eastAsia" w:ascii="Times New Roman" w:hAnsi="Times New Roman" w:eastAsia="仿宋_GB2312" w:cs="Times New Roman"/>
          <w:b w:val="0"/>
          <w:bCs/>
          <w:color w:val="auto"/>
          <w:sz w:val="28"/>
          <w:szCs w:val="28"/>
          <w:lang w:val="en-US" w:eastAsia="zh-CN"/>
        </w:rPr>
        <w:t>平富乡电力供应接营前镇110kv变电站；</w:t>
      </w:r>
      <w:r>
        <w:rPr>
          <w:rFonts w:hint="eastAsia" w:ascii="Times New Roman" w:hAnsi="Times New Roman" w:eastAsia="仿宋_GB2312" w:cs="Times New Roman"/>
          <w:b w:val="0"/>
          <w:bCs/>
          <w:sz w:val="28"/>
          <w:szCs w:val="28"/>
          <w:lang w:val="en-US" w:eastAsia="zh-CN"/>
        </w:rPr>
        <w:t>供水设施上，平富乡集镇供水由营前镇自来水厂供应；燃气设施上，规划平富乡集镇燃气接营前燃气站。</w:t>
      </w:r>
    </w:p>
    <w:p>
      <w:pPr>
        <w:rPr>
          <w:rFonts w:hint="eastAsia" w:ascii="Times New Roman" w:hAnsi="Times New Roman" w:eastAsia="Arial Unicode MS"/>
          <w:color w:val="auto"/>
          <w:lang w:val="en-US" w:eastAsia="zh-CN"/>
        </w:rPr>
      </w:pPr>
      <w:r>
        <w:rPr>
          <w:rFonts w:hint="eastAsia" w:ascii="Times New Roman" w:hAnsi="Times New Roman" w:eastAsia="Arial Unicode MS"/>
          <w:color w:val="auto"/>
          <w:lang w:val="en-US" w:eastAsia="zh-CN"/>
        </w:rPr>
        <w:br w:type="page"/>
      </w:r>
    </w:p>
    <w:p>
      <w:pPr>
        <w:pStyle w:val="34"/>
        <w:keepNext/>
        <w:keepLines/>
        <w:pageBreakBefore w:val="0"/>
        <w:widowControl w:val="0"/>
        <w:kinsoku/>
        <w:wordWrap/>
        <w:overflowPunct/>
        <w:topLinePunct w:val="0"/>
        <w:autoSpaceDE/>
        <w:autoSpaceDN/>
        <w:bidi w:val="0"/>
        <w:adjustRightInd/>
        <w:snapToGrid/>
        <w:spacing w:before="156" w:beforeLines="50" w:after="156" w:afterLines="50"/>
        <w:ind w:left="0" w:firstLine="0" w:firstLineChars="0"/>
        <w:jc w:val="center"/>
        <w:textAlignment w:val="center"/>
        <w:rPr>
          <w:rFonts w:hint="eastAsia" w:ascii="Times New Roman" w:hAnsi="Times New Roman" w:eastAsia="Arial Unicode MS"/>
          <w:color w:val="auto"/>
          <w:lang w:val="en-US" w:eastAsia="zh-CN"/>
        </w:rPr>
      </w:pPr>
      <w:bookmarkStart w:id="36" w:name="_Toc24734"/>
      <w:r>
        <w:rPr>
          <w:rFonts w:hint="eastAsia" w:ascii="Times New Roman" w:hAnsi="Times New Roman" w:eastAsia="Arial Unicode MS"/>
          <w:color w:val="auto"/>
          <w:lang w:val="en-US" w:eastAsia="zh-CN"/>
        </w:rPr>
        <w:t>第四章 乡域国土空间开发保护格局</w:t>
      </w:r>
      <w:bookmarkEnd w:id="36"/>
    </w:p>
    <w:p>
      <w:pPr>
        <w:pStyle w:val="33"/>
        <w:spacing w:before="156" w:beforeLines="50" w:after="156" w:afterLines="50" w:line="520" w:lineRule="exact"/>
        <w:jc w:val="center"/>
        <w:rPr>
          <w:rFonts w:hint="eastAsia" w:ascii="Times New Roman" w:hAnsi="Times New Roman" w:cs="Times New Roman"/>
          <w:color w:val="auto"/>
          <w:kern w:val="2"/>
          <w:szCs w:val="32"/>
          <w:lang w:val="en-US" w:eastAsia="zh-CN"/>
        </w:rPr>
      </w:pPr>
      <w:bookmarkStart w:id="37" w:name="_Toc28862"/>
      <w:r>
        <w:rPr>
          <w:rFonts w:hint="eastAsia" w:ascii="Times New Roman" w:hAnsi="Times New Roman" w:cs="Times New Roman"/>
          <w:color w:val="auto"/>
          <w:kern w:val="2"/>
          <w:szCs w:val="32"/>
          <w:lang w:val="en-US" w:eastAsia="zh-CN"/>
        </w:rPr>
        <w:t>第一节 落实主体功能区</w:t>
      </w:r>
      <w:bookmarkEnd w:id="37"/>
    </w:p>
    <w:p>
      <w:pPr>
        <w:snapToGrid w:val="0"/>
        <w:spacing w:line="480" w:lineRule="exact"/>
        <w:ind w:firstLine="560"/>
        <w:rPr>
          <w:rFonts w:hint="eastAsia" w:ascii="Times New Roman" w:hAnsi="Times New Roman" w:eastAsia="仿宋_GB2312" w:cs="Times New Roman"/>
          <w:bCs/>
          <w:sz w:val="28"/>
          <w:szCs w:val="28"/>
          <w:lang w:val="en-US" w:eastAsia="zh-CN"/>
        </w:rPr>
      </w:pPr>
      <w:r>
        <w:rPr>
          <w:rFonts w:hint="eastAsia" w:ascii="Times New Roman" w:hAnsi="Times New Roman" w:eastAsia="仿宋_GB2312" w:cs="Times New Roman"/>
          <w:b/>
          <w:bCs w:val="0"/>
          <w:sz w:val="28"/>
          <w:szCs w:val="28"/>
          <w:lang w:val="en-US" w:eastAsia="zh-CN"/>
        </w:rPr>
        <w:t>落实上位规划主体功能区，平富乡属于重点生态功能区</w:t>
      </w:r>
      <w:r>
        <w:rPr>
          <w:rFonts w:hint="eastAsia" w:ascii="Times New Roman" w:hAnsi="Times New Roman" w:eastAsia="仿宋_GB2312" w:cs="Times New Roman"/>
          <w:bCs/>
          <w:sz w:val="28"/>
          <w:szCs w:val="28"/>
          <w:lang w:val="en-US" w:eastAsia="zh-CN"/>
        </w:rPr>
        <w:t>。</w:t>
      </w:r>
    </w:p>
    <w:p>
      <w:pPr>
        <w:snapToGrid w:val="0"/>
        <w:spacing w:line="480" w:lineRule="exact"/>
        <w:ind w:firstLine="560"/>
        <w:rPr>
          <w:rFonts w:hint="eastAsia" w:ascii="Times New Roman" w:hAnsi="Times New Roman" w:eastAsia="仿宋_GB2312" w:cs="Times New Roman"/>
          <w:bCs/>
          <w:sz w:val="28"/>
          <w:szCs w:val="28"/>
          <w:lang w:val="en-US" w:eastAsia="zh-CN"/>
        </w:rPr>
      </w:pPr>
      <w:r>
        <w:rPr>
          <w:rFonts w:hint="eastAsia" w:ascii="Times New Roman" w:hAnsi="Times New Roman" w:eastAsia="仿宋_GB2312" w:cs="Times New Roman"/>
          <w:bCs/>
          <w:sz w:val="28"/>
          <w:szCs w:val="28"/>
          <w:lang w:val="en-US" w:eastAsia="zh-CN"/>
        </w:rPr>
        <w:t>重点保护生态重要区域，对生态脆弱区域开展生态修复，提升生态系统服务功能，构筑生态安全屏障。</w:t>
      </w:r>
    </w:p>
    <w:p>
      <w:pPr>
        <w:pStyle w:val="33"/>
        <w:spacing w:before="156" w:beforeLines="50" w:after="156" w:afterLines="50" w:line="520" w:lineRule="exact"/>
        <w:rPr>
          <w:rFonts w:hint="eastAsia" w:ascii="Times New Roman" w:hAnsi="Times New Roman"/>
          <w:color w:val="auto"/>
          <w:kern w:val="2"/>
          <w:szCs w:val="32"/>
          <w:lang w:val="en-US" w:eastAsia="zh-CN"/>
        </w:rPr>
      </w:pPr>
      <w:bookmarkStart w:id="38" w:name="_Toc23607"/>
      <w:r>
        <w:rPr>
          <w:rFonts w:hint="eastAsia" w:ascii="Times New Roman" w:hAnsi="Times New Roman"/>
          <w:color w:val="auto"/>
          <w:kern w:val="2"/>
          <w:szCs w:val="32"/>
          <w:lang w:val="en-US" w:eastAsia="zh-CN"/>
        </w:rPr>
        <w:t>第二节 落实“三条控制线”</w:t>
      </w:r>
      <w:bookmarkEnd w:id="38"/>
    </w:p>
    <w:p>
      <w:pPr>
        <w:snapToGrid w:val="0"/>
        <w:spacing w:line="480" w:lineRule="exact"/>
        <w:ind w:firstLine="562"/>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一、永久基本农田</w:t>
      </w:r>
    </w:p>
    <w:p>
      <w:pPr>
        <w:snapToGrid w:val="0"/>
        <w:spacing w:line="480" w:lineRule="exact"/>
        <w:ind w:firstLine="560"/>
        <w:rPr>
          <w:rFonts w:hint="default"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1、</w:t>
      </w:r>
      <w:r>
        <w:rPr>
          <w:rFonts w:hint="default" w:ascii="Times New Roman" w:hAnsi="Times New Roman" w:eastAsia="仿宋_GB2312" w:cs="Times New Roman"/>
          <w:bCs/>
          <w:color w:val="auto"/>
          <w:sz w:val="28"/>
          <w:szCs w:val="28"/>
          <w:lang w:val="en-US" w:eastAsia="zh-CN"/>
        </w:rPr>
        <w:t>耕地保护目标落实情况</w:t>
      </w:r>
    </w:p>
    <w:p>
      <w:pPr>
        <w:snapToGrid w:val="0"/>
        <w:spacing w:line="480" w:lineRule="exact"/>
        <w:ind w:firstLine="560"/>
        <w:rPr>
          <w:rFonts w:hint="default" w:ascii="Times New Roman" w:hAnsi="Times New Roman" w:eastAsia="仿宋_GB2312" w:cs="Times New Roman"/>
          <w:bCs/>
          <w:color w:val="auto"/>
          <w:sz w:val="28"/>
          <w:szCs w:val="28"/>
          <w:lang w:val="en-US" w:eastAsia="zh-CN"/>
        </w:rPr>
      </w:pPr>
      <w:r>
        <w:rPr>
          <w:rFonts w:hint="default" w:ascii="Times New Roman" w:hAnsi="Times New Roman" w:eastAsia="仿宋_GB2312" w:cs="Times New Roman"/>
          <w:bCs/>
          <w:color w:val="auto"/>
          <w:sz w:val="28"/>
          <w:szCs w:val="28"/>
          <w:lang w:val="en-US" w:eastAsia="zh-CN"/>
        </w:rPr>
        <w:t>根据2020年国土变更调查统计口径（城镇、村庄不打开统计）数据，</w:t>
      </w:r>
      <w:r>
        <w:rPr>
          <w:rFonts w:hint="eastAsia" w:ascii="Times New Roman" w:hAnsi="Times New Roman" w:eastAsia="仿宋_GB2312" w:cs="Times New Roman"/>
          <w:bCs/>
          <w:color w:val="auto"/>
          <w:sz w:val="28"/>
          <w:szCs w:val="28"/>
          <w:lang w:val="en-US" w:eastAsia="zh-CN"/>
        </w:rPr>
        <w:t>平富乡</w:t>
      </w:r>
      <w:r>
        <w:rPr>
          <w:rFonts w:hint="default" w:ascii="Times New Roman" w:hAnsi="Times New Roman" w:eastAsia="仿宋_GB2312" w:cs="Times New Roman"/>
          <w:bCs/>
          <w:color w:val="auto"/>
          <w:sz w:val="28"/>
          <w:szCs w:val="28"/>
          <w:lang w:val="en-US" w:eastAsia="zh-CN"/>
        </w:rPr>
        <w:t>圈外耕地面积为</w:t>
      </w:r>
      <w:r>
        <w:rPr>
          <w:rFonts w:hint="eastAsia" w:ascii="Times New Roman" w:hAnsi="Times New Roman" w:eastAsia="仿宋_GB2312" w:cs="Times New Roman"/>
          <w:bCs/>
          <w:color w:val="auto"/>
          <w:sz w:val="28"/>
          <w:szCs w:val="28"/>
          <w:lang w:val="en-US" w:eastAsia="zh-CN"/>
        </w:rPr>
        <w:t>371.37</w:t>
      </w:r>
      <w:r>
        <w:rPr>
          <w:rFonts w:hint="default" w:ascii="Times New Roman" w:hAnsi="Times New Roman" w:eastAsia="仿宋_GB2312" w:cs="Times New Roman"/>
          <w:bCs/>
          <w:color w:val="auto"/>
          <w:sz w:val="28"/>
          <w:szCs w:val="28"/>
          <w:lang w:val="en-US" w:eastAsia="zh-CN"/>
        </w:rPr>
        <w:t>公顷（</w:t>
      </w:r>
      <w:r>
        <w:rPr>
          <w:rFonts w:hint="eastAsia" w:ascii="Times New Roman" w:hAnsi="Times New Roman" w:eastAsia="仿宋_GB2312" w:cs="Times New Roman"/>
          <w:bCs/>
          <w:color w:val="auto"/>
          <w:sz w:val="28"/>
          <w:szCs w:val="28"/>
          <w:lang w:val="en-US" w:eastAsia="zh-CN"/>
        </w:rPr>
        <w:t>0.5570</w:t>
      </w:r>
      <w:r>
        <w:rPr>
          <w:rFonts w:hint="default" w:ascii="Times New Roman" w:hAnsi="Times New Roman" w:eastAsia="仿宋_GB2312" w:cs="Times New Roman"/>
          <w:bCs/>
          <w:color w:val="auto"/>
          <w:sz w:val="28"/>
          <w:szCs w:val="28"/>
          <w:lang w:val="en-US" w:eastAsia="zh-CN"/>
        </w:rPr>
        <w:t>万亩），其中水田</w:t>
      </w:r>
      <w:r>
        <w:rPr>
          <w:rFonts w:hint="eastAsia" w:ascii="Times New Roman" w:hAnsi="Times New Roman" w:eastAsia="仿宋_GB2312" w:cs="Times New Roman"/>
          <w:bCs/>
          <w:color w:val="auto"/>
          <w:sz w:val="28"/>
          <w:szCs w:val="28"/>
          <w:lang w:val="en-US" w:eastAsia="zh-CN"/>
        </w:rPr>
        <w:t>342.18</w:t>
      </w:r>
      <w:r>
        <w:rPr>
          <w:rFonts w:hint="default" w:ascii="Times New Roman" w:hAnsi="Times New Roman" w:eastAsia="仿宋_GB2312" w:cs="Times New Roman"/>
          <w:bCs/>
          <w:color w:val="auto"/>
          <w:sz w:val="28"/>
          <w:szCs w:val="28"/>
          <w:lang w:val="en-US" w:eastAsia="zh-CN"/>
        </w:rPr>
        <w:t>公顷（</w:t>
      </w:r>
      <w:r>
        <w:rPr>
          <w:rFonts w:hint="eastAsia" w:ascii="Times New Roman" w:hAnsi="Times New Roman" w:eastAsia="仿宋_GB2312" w:cs="Times New Roman"/>
          <w:bCs/>
          <w:color w:val="auto"/>
          <w:sz w:val="28"/>
          <w:szCs w:val="28"/>
          <w:lang w:val="en-US" w:eastAsia="zh-CN"/>
        </w:rPr>
        <w:t>0.5132</w:t>
      </w:r>
      <w:r>
        <w:rPr>
          <w:rFonts w:hint="default" w:ascii="Times New Roman" w:hAnsi="Times New Roman" w:eastAsia="仿宋_GB2312" w:cs="Times New Roman"/>
          <w:bCs/>
          <w:color w:val="auto"/>
          <w:sz w:val="28"/>
          <w:szCs w:val="28"/>
          <w:lang w:val="en-US" w:eastAsia="zh-CN"/>
        </w:rPr>
        <w:t>万亩），占耕地总面积的</w:t>
      </w:r>
      <w:r>
        <w:rPr>
          <w:rFonts w:hint="eastAsia" w:ascii="Times New Roman" w:hAnsi="Times New Roman" w:eastAsia="仿宋_GB2312" w:cs="Times New Roman"/>
          <w:bCs/>
          <w:color w:val="auto"/>
          <w:sz w:val="28"/>
          <w:szCs w:val="28"/>
          <w:lang w:val="en-US" w:eastAsia="zh-CN"/>
        </w:rPr>
        <w:t>92.14</w:t>
      </w:r>
      <w:r>
        <w:rPr>
          <w:rFonts w:hint="default" w:ascii="Times New Roman" w:hAnsi="Times New Roman" w:eastAsia="仿宋_GB2312" w:cs="Times New Roman"/>
          <w:bCs/>
          <w:color w:val="auto"/>
          <w:sz w:val="28"/>
          <w:szCs w:val="28"/>
          <w:lang w:val="en-US" w:eastAsia="zh-CN"/>
        </w:rPr>
        <w:t>%；旱地</w:t>
      </w:r>
      <w:r>
        <w:rPr>
          <w:rFonts w:hint="eastAsia" w:ascii="Times New Roman" w:hAnsi="Times New Roman" w:eastAsia="仿宋_GB2312" w:cs="Times New Roman"/>
          <w:bCs/>
          <w:color w:val="auto"/>
          <w:sz w:val="28"/>
          <w:szCs w:val="28"/>
          <w:lang w:val="en-US" w:eastAsia="zh-CN"/>
        </w:rPr>
        <w:t>29.19</w:t>
      </w:r>
      <w:r>
        <w:rPr>
          <w:rFonts w:hint="default" w:ascii="Times New Roman" w:hAnsi="Times New Roman" w:eastAsia="仿宋_GB2312" w:cs="Times New Roman"/>
          <w:bCs/>
          <w:color w:val="auto"/>
          <w:sz w:val="28"/>
          <w:szCs w:val="28"/>
          <w:lang w:val="en-US" w:eastAsia="zh-CN"/>
        </w:rPr>
        <w:t>公顷（</w:t>
      </w:r>
      <w:r>
        <w:rPr>
          <w:rFonts w:hint="eastAsia" w:ascii="Times New Roman" w:hAnsi="Times New Roman" w:eastAsia="仿宋_GB2312" w:cs="Times New Roman"/>
          <w:bCs/>
          <w:color w:val="auto"/>
          <w:sz w:val="28"/>
          <w:szCs w:val="28"/>
          <w:lang w:val="en-US" w:eastAsia="zh-CN"/>
        </w:rPr>
        <w:t>0.0437</w:t>
      </w:r>
      <w:r>
        <w:rPr>
          <w:rFonts w:hint="default" w:ascii="Times New Roman" w:hAnsi="Times New Roman" w:eastAsia="仿宋_GB2312" w:cs="Times New Roman"/>
          <w:bCs/>
          <w:color w:val="auto"/>
          <w:sz w:val="28"/>
          <w:szCs w:val="28"/>
          <w:lang w:val="en-US" w:eastAsia="zh-CN"/>
        </w:rPr>
        <w:t>万亩），占耕地总面积的</w:t>
      </w:r>
      <w:r>
        <w:rPr>
          <w:rFonts w:hint="eastAsia" w:ascii="Times New Roman" w:hAnsi="Times New Roman" w:eastAsia="仿宋_GB2312" w:cs="Times New Roman"/>
          <w:bCs/>
          <w:color w:val="auto"/>
          <w:sz w:val="28"/>
          <w:szCs w:val="28"/>
          <w:lang w:val="en-US" w:eastAsia="zh-CN"/>
        </w:rPr>
        <w:t>7.86</w:t>
      </w:r>
      <w:r>
        <w:rPr>
          <w:rFonts w:hint="default" w:ascii="Times New Roman" w:hAnsi="Times New Roman" w:eastAsia="仿宋_GB2312" w:cs="Times New Roman"/>
          <w:bCs/>
          <w:color w:val="auto"/>
          <w:sz w:val="28"/>
          <w:szCs w:val="28"/>
          <w:lang w:val="en-US" w:eastAsia="zh-CN"/>
        </w:rPr>
        <w:t>%。</w:t>
      </w:r>
    </w:p>
    <w:p>
      <w:pPr>
        <w:snapToGrid w:val="0"/>
        <w:spacing w:line="480" w:lineRule="exact"/>
        <w:ind w:firstLine="560"/>
        <w:rPr>
          <w:rFonts w:hint="default"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根据上犹县“三区三线”划定成果</w:t>
      </w:r>
      <w:r>
        <w:rPr>
          <w:rFonts w:hint="default" w:ascii="Times New Roman" w:hAnsi="Times New Roman" w:eastAsia="仿宋_GB2312" w:cs="Times New Roman"/>
          <w:bCs/>
          <w:color w:val="auto"/>
          <w:sz w:val="28"/>
          <w:szCs w:val="28"/>
          <w:lang w:val="en-US" w:eastAsia="zh-CN"/>
        </w:rPr>
        <w:t>统计，</w:t>
      </w:r>
      <w:r>
        <w:rPr>
          <w:rFonts w:hint="eastAsia" w:ascii="Times New Roman" w:hAnsi="Times New Roman" w:eastAsia="仿宋_GB2312" w:cs="Times New Roman"/>
          <w:bCs/>
          <w:color w:val="auto"/>
          <w:sz w:val="28"/>
          <w:szCs w:val="28"/>
          <w:lang w:val="en-US" w:eastAsia="zh-CN"/>
        </w:rPr>
        <w:t>平富乡</w:t>
      </w:r>
      <w:r>
        <w:rPr>
          <w:rFonts w:hint="default" w:ascii="Times New Roman" w:hAnsi="Times New Roman" w:eastAsia="仿宋_GB2312" w:cs="Times New Roman"/>
          <w:bCs/>
          <w:color w:val="auto"/>
          <w:sz w:val="28"/>
          <w:szCs w:val="28"/>
          <w:lang w:val="en-US" w:eastAsia="zh-CN"/>
        </w:rPr>
        <w:t>耕地保护目标为370.69公顷（</w:t>
      </w:r>
      <w:r>
        <w:rPr>
          <w:rFonts w:hint="eastAsia" w:ascii="Times New Roman" w:hAnsi="Times New Roman" w:eastAsia="仿宋_GB2312" w:cs="Times New Roman"/>
          <w:bCs/>
          <w:color w:val="auto"/>
          <w:sz w:val="28"/>
          <w:szCs w:val="28"/>
          <w:lang w:val="en-US" w:eastAsia="zh-CN"/>
        </w:rPr>
        <w:t>0.5560</w:t>
      </w:r>
      <w:r>
        <w:rPr>
          <w:rFonts w:hint="default" w:ascii="Times New Roman" w:hAnsi="Times New Roman" w:eastAsia="仿宋_GB2312" w:cs="Times New Roman"/>
          <w:bCs/>
          <w:color w:val="auto"/>
          <w:sz w:val="28"/>
          <w:szCs w:val="28"/>
          <w:lang w:val="en-US" w:eastAsia="zh-CN"/>
        </w:rPr>
        <w:t>万亩）占圈外耕地总面积99.</w:t>
      </w:r>
      <w:r>
        <w:rPr>
          <w:rFonts w:hint="eastAsia" w:ascii="Times New Roman" w:hAnsi="Times New Roman" w:eastAsia="仿宋_GB2312" w:cs="Times New Roman"/>
          <w:bCs/>
          <w:color w:val="auto"/>
          <w:sz w:val="28"/>
          <w:szCs w:val="28"/>
          <w:lang w:val="en-US" w:eastAsia="zh-CN"/>
        </w:rPr>
        <w:t>82</w:t>
      </w:r>
      <w:r>
        <w:rPr>
          <w:rFonts w:hint="default" w:ascii="Times New Roman" w:hAnsi="Times New Roman" w:eastAsia="仿宋_GB2312" w:cs="Times New Roman"/>
          <w:bCs/>
          <w:color w:val="auto"/>
          <w:sz w:val="28"/>
          <w:szCs w:val="28"/>
          <w:lang w:val="en-US" w:eastAsia="zh-CN"/>
        </w:rPr>
        <w:t>%，详见表4-1。</w:t>
      </w:r>
    </w:p>
    <w:p>
      <w:pPr>
        <w:pStyle w:val="30"/>
        <w:spacing w:before="62" w:beforeLines="20" w:after="62" w:afterLines="20"/>
        <w:rPr>
          <w:rFonts w:hint="eastAsia" w:ascii="Times New Roman" w:hAnsi="Times New Roman" w:eastAsia="仿宋_GB2312"/>
          <w:color w:val="auto"/>
        </w:rPr>
      </w:pPr>
      <w:r>
        <w:rPr>
          <w:rFonts w:hint="eastAsia" w:ascii="Times New Roman" w:hAnsi="Times New Roman" w:eastAsia="仿宋_GB2312"/>
          <w:color w:val="auto"/>
        </w:rPr>
        <w:t>表4-1 纳入耕保目标的圈外耕地分布情况表</w:t>
      </w:r>
    </w:p>
    <w:p>
      <w:pPr>
        <w:pStyle w:val="26"/>
        <w:spacing w:line="480" w:lineRule="exact"/>
        <w:ind w:firstLine="482"/>
        <w:jc w:val="right"/>
        <w:rPr>
          <w:rFonts w:hint="default" w:ascii="Times New Roman" w:hAnsi="Times New Roman" w:eastAsia="仿宋_GB2312" w:cs="Times New Roman"/>
          <w:b/>
          <w:color w:val="auto"/>
          <w:sz w:val="24"/>
          <w:szCs w:val="24"/>
        </w:rPr>
      </w:pPr>
      <w:r>
        <w:rPr>
          <w:rFonts w:hint="default" w:ascii="Times New Roman" w:hAnsi="Times New Roman" w:eastAsia="仿宋_GB2312" w:cs="Times New Roman"/>
          <w:bCs/>
          <w:color w:val="auto"/>
          <w:kern w:val="0"/>
          <w:sz w:val="21"/>
          <w:szCs w:val="24"/>
          <w:lang w:val="en-US" w:eastAsia="zh-CN" w:bidi="en-US"/>
        </w:rPr>
        <w:t>单位：亩（0.00）</w:t>
      </w:r>
    </w:p>
    <w:tbl>
      <w:tblPr>
        <w:tblStyle w:val="19"/>
        <w:tblW w:w="4890" w:type="pct"/>
        <w:jc w:val="center"/>
        <w:tblLayout w:type="autofit"/>
        <w:tblCellMar>
          <w:top w:w="0" w:type="dxa"/>
          <w:left w:w="108" w:type="dxa"/>
          <w:bottom w:w="0" w:type="dxa"/>
          <w:right w:w="108" w:type="dxa"/>
        </w:tblCellMar>
      </w:tblPr>
      <w:tblGrid>
        <w:gridCol w:w="2956"/>
        <w:gridCol w:w="1266"/>
        <w:gridCol w:w="1371"/>
        <w:gridCol w:w="1371"/>
        <w:gridCol w:w="1371"/>
      </w:tblGrid>
      <w:tr>
        <w:tblPrEx>
          <w:tblCellMar>
            <w:top w:w="0" w:type="dxa"/>
            <w:left w:w="108" w:type="dxa"/>
            <w:bottom w:w="0" w:type="dxa"/>
            <w:right w:w="108" w:type="dxa"/>
          </w:tblCellMar>
        </w:tblPrEx>
        <w:trPr>
          <w:trHeight w:val="819" w:hRule="atLeast"/>
          <w:tblHeader/>
          <w:jc w:val="center"/>
        </w:trPr>
        <w:tc>
          <w:tcPr>
            <w:tcW w:w="2204" w:type="pct"/>
            <w:tcBorders>
              <w:top w:val="single" w:color="auto" w:sz="4" w:space="0"/>
              <w:left w:val="single" w:color="auto" w:sz="4" w:space="0"/>
              <w:bottom w:val="single" w:color="auto" w:sz="4" w:space="0"/>
              <w:right w:val="single" w:color="auto" w:sz="4" w:space="0"/>
            </w:tcBorders>
            <w:noWrap/>
            <w:vAlign w:val="center"/>
            <mc:AlternateContent>
              <mc:Choice Requires="wpsCustomData">
                <wpsCustomData:diagonals>
                  <wpsCustomData:diagonal from="10000" to="30000">
                    <wpsCustomData:border w:val="single" w:color="auto" w:sz="4" w:space="0"/>
                  </wpsCustomData:diagonal>
                </wpsCustomData:diagonals>
              </mc:Choice>
            </mc:AlternateContent>
          </w:tcPr>
          <w:p>
            <w:pPr>
              <w:pStyle w:val="31"/>
              <w:rPr>
                <w:rFonts w:hint="eastAsia" w:ascii="Times New Roman" w:hAnsi="Times New Roman" w:eastAsia="仿宋_GB2312"/>
                <w:b/>
                <w:bCs w:val="0"/>
                <w:color w:val="auto"/>
                <w:lang w:val="en-US" w:eastAsia="zh-CN" w:bidi="ar"/>
              </w:rPr>
            </w:pPr>
          </w:p>
          <w:p>
            <w:pPr>
              <w:pStyle w:val="31"/>
              <mc:AlternateContent>
                <mc:Choice Requires="wpsCustomData">
                  <wpsCustomData:diagonalParaType/>
                </mc:Choice>
              </mc:AlternateContent>
              <w:rPr>
                <w:rFonts w:hint="default" w:ascii="Times New Roman" w:hAnsi="Times New Roman" w:eastAsia="仿宋_GB2312"/>
                <w:b/>
                <w:bCs w:val="0"/>
                <w:color w:val="auto"/>
                <w:lang w:val="en-US" w:eastAsia="zh-CN" w:bidi="ar"/>
              </w:rPr>
            </w:pPr>
            <w:r>
              <w:rPr>
                <w:rFonts w:hint="eastAsia" w:ascii="Times New Roman" w:hAnsi="Times New Roman" w:eastAsia="仿宋_GB2312"/>
                <w:b/>
                <w:bCs w:val="0"/>
                <w:color w:val="auto"/>
                <w:lang w:val="en-US" w:eastAsia="zh-CN" w:bidi="ar"/>
              </w:rPr>
              <w:t>乡镇名称</w:t>
            </w:r>
          </w:p>
          <w:p>
            <w:pPr>
              <w:pStyle w:val="31"/>
              <w:rPr>
                <w:rFonts w:hint="default" w:ascii="Times New Roman" w:hAnsi="Times New Roman" w:eastAsia="仿宋_GB2312"/>
                <w:b/>
                <w:bCs w:val="0"/>
                <w:color w:val="auto"/>
                <w:lang w:val="en-US" w:eastAsia="zh-CN" w:bidi="ar"/>
              </w:rPr>
            </w:pPr>
            <w:r>
              <w:rPr>
                <w:rFonts w:hint="eastAsia" w:ascii="Times New Roman" w:hAnsi="Times New Roman" w:eastAsia="仿宋_GB2312"/>
                <w:b/>
                <w:bCs w:val="0"/>
                <w:color w:val="auto"/>
                <w:lang w:val="en-US" w:eastAsia="zh-CN" w:bidi="ar"/>
              </w:rPr>
              <w:t>地类名称</w:t>
            </w:r>
          </w:p>
        </w:tc>
        <w:tc>
          <w:tcPr>
            <w:tcW w:w="705" w:type="pct"/>
            <w:tcBorders>
              <w:top w:val="single" w:color="auto" w:sz="4" w:space="0"/>
              <w:left w:val="nil"/>
              <w:bottom w:val="single" w:color="auto" w:sz="4" w:space="0"/>
              <w:right w:val="single" w:color="auto" w:sz="4" w:space="0"/>
            </w:tcBorders>
            <w:noWrap/>
            <w:vAlign w:val="center"/>
          </w:tcPr>
          <w:p>
            <w:pPr>
              <w:pStyle w:val="31"/>
              <w:rPr>
                <w:rFonts w:hint="eastAsia" w:ascii="Times New Roman" w:hAnsi="Times New Roman" w:eastAsia="仿宋_GB2312"/>
                <w:b/>
                <w:bCs w:val="0"/>
                <w:color w:val="auto"/>
                <w:lang w:val="en-US" w:eastAsia="zh-CN" w:bidi="ar"/>
              </w:rPr>
            </w:pPr>
            <w:r>
              <w:rPr>
                <w:rFonts w:hint="eastAsia" w:ascii="Times New Roman" w:hAnsi="Times New Roman" w:eastAsia="仿宋_GB2312"/>
                <w:b/>
                <w:bCs w:val="0"/>
                <w:color w:val="auto"/>
                <w:lang w:val="en-US" w:eastAsia="zh-CN" w:bidi="ar"/>
              </w:rPr>
              <w:t>旱地</w:t>
            </w:r>
          </w:p>
        </w:tc>
        <w:tc>
          <w:tcPr>
            <w:tcW w:w="744" w:type="pct"/>
            <w:tcBorders>
              <w:top w:val="single" w:color="auto" w:sz="4" w:space="0"/>
              <w:left w:val="nil"/>
              <w:bottom w:val="single" w:color="auto" w:sz="4" w:space="0"/>
              <w:right w:val="single" w:color="auto" w:sz="4" w:space="0"/>
            </w:tcBorders>
            <w:noWrap/>
            <w:vAlign w:val="center"/>
          </w:tcPr>
          <w:p>
            <w:pPr>
              <w:pStyle w:val="31"/>
              <w:rPr>
                <w:rFonts w:hint="eastAsia" w:ascii="Times New Roman" w:hAnsi="Times New Roman" w:eastAsia="仿宋_GB2312"/>
                <w:b/>
                <w:bCs w:val="0"/>
                <w:color w:val="auto"/>
                <w:lang w:val="en-US" w:eastAsia="zh-CN" w:bidi="ar"/>
              </w:rPr>
            </w:pPr>
            <w:r>
              <w:rPr>
                <w:rFonts w:hint="eastAsia" w:ascii="Times New Roman" w:hAnsi="Times New Roman" w:eastAsia="仿宋_GB2312"/>
                <w:b/>
                <w:bCs w:val="0"/>
                <w:color w:val="auto"/>
                <w:lang w:val="en-US" w:eastAsia="zh-CN" w:bidi="ar"/>
              </w:rPr>
              <w:t>水田</w:t>
            </w:r>
          </w:p>
        </w:tc>
        <w:tc>
          <w:tcPr>
            <w:tcW w:w="677" w:type="pct"/>
            <w:tcBorders>
              <w:top w:val="single" w:color="auto" w:sz="4" w:space="0"/>
              <w:left w:val="nil"/>
              <w:bottom w:val="single" w:color="auto" w:sz="4" w:space="0"/>
              <w:right w:val="single" w:color="auto" w:sz="4" w:space="0"/>
            </w:tcBorders>
            <w:noWrap/>
            <w:vAlign w:val="center"/>
          </w:tcPr>
          <w:p>
            <w:pPr>
              <w:pStyle w:val="31"/>
              <w:rPr>
                <w:rFonts w:hint="eastAsia" w:ascii="Times New Roman" w:hAnsi="Times New Roman" w:eastAsia="仿宋_GB2312"/>
                <w:b/>
                <w:bCs w:val="0"/>
                <w:color w:val="auto"/>
                <w:lang w:val="en-US" w:eastAsia="zh-CN" w:bidi="ar"/>
              </w:rPr>
            </w:pPr>
            <w:r>
              <w:rPr>
                <w:rFonts w:hint="eastAsia" w:ascii="Times New Roman" w:hAnsi="Times New Roman" w:eastAsia="仿宋_GB2312"/>
                <w:b/>
                <w:bCs w:val="0"/>
                <w:color w:val="auto"/>
                <w:lang w:val="en-US" w:eastAsia="zh-CN" w:bidi="ar"/>
              </w:rPr>
              <w:t>总计</w:t>
            </w:r>
          </w:p>
        </w:tc>
        <w:tc>
          <w:tcPr>
            <w:tcW w:w="668" w:type="pct"/>
            <w:tcBorders>
              <w:top w:val="single" w:color="auto" w:sz="4" w:space="0"/>
              <w:left w:val="nil"/>
              <w:bottom w:val="single" w:color="auto" w:sz="4" w:space="0"/>
              <w:right w:val="single" w:color="auto" w:sz="4" w:space="0"/>
            </w:tcBorders>
            <w:noWrap/>
            <w:vAlign w:val="center"/>
          </w:tcPr>
          <w:p>
            <w:pPr>
              <w:pStyle w:val="31"/>
              <w:rPr>
                <w:rFonts w:hint="eastAsia" w:ascii="Times New Roman" w:hAnsi="Times New Roman" w:eastAsia="仿宋_GB2312"/>
                <w:b/>
                <w:bCs w:val="0"/>
                <w:color w:val="auto"/>
                <w:lang w:val="en-US" w:eastAsia="zh-CN" w:bidi="ar"/>
              </w:rPr>
            </w:pPr>
            <w:r>
              <w:rPr>
                <w:rFonts w:hint="eastAsia" w:ascii="Times New Roman" w:hAnsi="Times New Roman" w:eastAsia="仿宋_GB2312"/>
                <w:b/>
                <w:bCs w:val="0"/>
                <w:color w:val="auto"/>
                <w:lang w:val="en-US" w:eastAsia="zh-CN" w:bidi="ar"/>
              </w:rPr>
              <w:t>占比</w:t>
            </w:r>
          </w:p>
        </w:tc>
      </w:tr>
      <w:tr>
        <w:tblPrEx>
          <w:tblCellMar>
            <w:top w:w="0" w:type="dxa"/>
            <w:left w:w="108" w:type="dxa"/>
            <w:bottom w:w="0" w:type="dxa"/>
            <w:right w:w="108" w:type="dxa"/>
          </w:tblCellMar>
        </w:tblPrEx>
        <w:trPr>
          <w:trHeight w:val="342" w:hRule="atLeast"/>
          <w:jc w:val="center"/>
        </w:trPr>
        <w:tc>
          <w:tcPr>
            <w:tcW w:w="2204" w:type="pct"/>
            <w:tcBorders>
              <w:top w:val="nil"/>
              <w:left w:val="single" w:color="auto" w:sz="4" w:space="0"/>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b w:val="0"/>
                <w:bCs/>
                <w:color w:val="auto"/>
                <w:sz w:val="21"/>
                <w:szCs w:val="21"/>
                <w:lang w:bidi="ar"/>
              </w:rPr>
            </w:pPr>
            <w:r>
              <w:rPr>
                <w:rFonts w:hint="eastAsia" w:ascii="仿宋_GB2312" w:hAnsi="仿宋_GB2312" w:eastAsia="仿宋_GB2312" w:cs="仿宋_GB2312"/>
                <w:i w:val="0"/>
                <w:iCs w:val="0"/>
                <w:color w:val="000000"/>
                <w:kern w:val="0"/>
                <w:sz w:val="21"/>
                <w:szCs w:val="21"/>
                <w:u w:val="none"/>
                <w:lang w:val="en-US" w:eastAsia="zh-CN" w:bidi="ar"/>
              </w:rPr>
              <w:t>平富乡大潭村委会</w:t>
            </w:r>
          </w:p>
        </w:tc>
        <w:tc>
          <w:tcPr>
            <w:tcW w:w="705" w:type="pct"/>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 xml:space="preserve">46.81 </w:t>
            </w:r>
          </w:p>
        </w:tc>
        <w:tc>
          <w:tcPr>
            <w:tcW w:w="744" w:type="pct"/>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 xml:space="preserve">677.92 </w:t>
            </w:r>
          </w:p>
        </w:tc>
        <w:tc>
          <w:tcPr>
            <w:tcW w:w="677" w:type="pct"/>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 xml:space="preserve">724.73 </w:t>
            </w:r>
          </w:p>
        </w:tc>
        <w:tc>
          <w:tcPr>
            <w:tcW w:w="921"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13.03%</w:t>
            </w:r>
          </w:p>
        </w:tc>
      </w:tr>
      <w:tr>
        <w:tblPrEx>
          <w:tblCellMar>
            <w:top w:w="0" w:type="dxa"/>
            <w:left w:w="108" w:type="dxa"/>
            <w:bottom w:w="0" w:type="dxa"/>
            <w:right w:w="108" w:type="dxa"/>
          </w:tblCellMar>
        </w:tblPrEx>
        <w:trPr>
          <w:trHeight w:val="342" w:hRule="atLeast"/>
          <w:jc w:val="center"/>
        </w:trPr>
        <w:tc>
          <w:tcPr>
            <w:tcW w:w="2204" w:type="pct"/>
            <w:tcBorders>
              <w:top w:val="nil"/>
              <w:left w:val="single" w:color="auto" w:sz="4" w:space="0"/>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b w:val="0"/>
                <w:bCs/>
                <w:color w:val="auto"/>
                <w:sz w:val="21"/>
                <w:szCs w:val="21"/>
                <w:lang w:bidi="ar"/>
              </w:rPr>
            </w:pPr>
            <w:r>
              <w:rPr>
                <w:rFonts w:hint="eastAsia" w:ascii="仿宋_GB2312" w:hAnsi="仿宋_GB2312" w:eastAsia="仿宋_GB2312" w:cs="仿宋_GB2312"/>
                <w:i w:val="0"/>
                <w:iCs w:val="0"/>
                <w:color w:val="000000"/>
                <w:kern w:val="0"/>
                <w:sz w:val="21"/>
                <w:szCs w:val="21"/>
                <w:u w:val="none"/>
                <w:lang w:val="en-US" w:eastAsia="zh-CN" w:bidi="ar"/>
              </w:rPr>
              <w:t>平富乡横坑村委会</w:t>
            </w:r>
          </w:p>
        </w:tc>
        <w:tc>
          <w:tcPr>
            <w:tcW w:w="705" w:type="pct"/>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 xml:space="preserve">57.84 </w:t>
            </w:r>
          </w:p>
        </w:tc>
        <w:tc>
          <w:tcPr>
            <w:tcW w:w="744" w:type="pct"/>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 xml:space="preserve">404.24 </w:t>
            </w:r>
          </w:p>
        </w:tc>
        <w:tc>
          <w:tcPr>
            <w:tcW w:w="677" w:type="pct"/>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 xml:space="preserve">462.08 </w:t>
            </w:r>
          </w:p>
        </w:tc>
        <w:tc>
          <w:tcPr>
            <w:tcW w:w="921"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8.31%</w:t>
            </w:r>
          </w:p>
        </w:tc>
      </w:tr>
      <w:tr>
        <w:tblPrEx>
          <w:tblCellMar>
            <w:top w:w="0" w:type="dxa"/>
            <w:left w:w="108" w:type="dxa"/>
            <w:bottom w:w="0" w:type="dxa"/>
            <w:right w:w="108" w:type="dxa"/>
          </w:tblCellMar>
        </w:tblPrEx>
        <w:trPr>
          <w:trHeight w:val="342" w:hRule="atLeast"/>
          <w:jc w:val="center"/>
        </w:trPr>
        <w:tc>
          <w:tcPr>
            <w:tcW w:w="2204" w:type="pct"/>
            <w:tcBorders>
              <w:top w:val="nil"/>
              <w:left w:val="single" w:color="auto" w:sz="4" w:space="0"/>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b w:val="0"/>
                <w:bCs/>
                <w:color w:val="auto"/>
                <w:sz w:val="21"/>
                <w:szCs w:val="21"/>
                <w:lang w:bidi="ar"/>
              </w:rPr>
            </w:pPr>
            <w:r>
              <w:rPr>
                <w:rFonts w:hint="eastAsia" w:ascii="仿宋_GB2312" w:hAnsi="仿宋_GB2312" w:eastAsia="仿宋_GB2312" w:cs="仿宋_GB2312"/>
                <w:i w:val="0"/>
                <w:iCs w:val="0"/>
                <w:color w:val="000000"/>
                <w:kern w:val="0"/>
                <w:sz w:val="21"/>
                <w:szCs w:val="21"/>
                <w:u w:val="none"/>
                <w:lang w:val="en-US" w:eastAsia="zh-CN" w:bidi="ar"/>
              </w:rPr>
              <w:t>平富乡平富村委会</w:t>
            </w:r>
          </w:p>
        </w:tc>
        <w:tc>
          <w:tcPr>
            <w:tcW w:w="705" w:type="pct"/>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 xml:space="preserve">88.00 </w:t>
            </w:r>
          </w:p>
        </w:tc>
        <w:tc>
          <w:tcPr>
            <w:tcW w:w="744" w:type="pct"/>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 xml:space="preserve">1153.61 </w:t>
            </w:r>
          </w:p>
        </w:tc>
        <w:tc>
          <w:tcPr>
            <w:tcW w:w="677" w:type="pct"/>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 xml:space="preserve">1241.61 </w:t>
            </w:r>
          </w:p>
        </w:tc>
        <w:tc>
          <w:tcPr>
            <w:tcW w:w="921"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22.33%</w:t>
            </w:r>
          </w:p>
        </w:tc>
      </w:tr>
      <w:tr>
        <w:tblPrEx>
          <w:tblCellMar>
            <w:top w:w="0" w:type="dxa"/>
            <w:left w:w="108" w:type="dxa"/>
            <w:bottom w:w="0" w:type="dxa"/>
            <w:right w:w="108" w:type="dxa"/>
          </w:tblCellMar>
        </w:tblPrEx>
        <w:trPr>
          <w:trHeight w:val="342" w:hRule="atLeast"/>
          <w:jc w:val="center"/>
        </w:trPr>
        <w:tc>
          <w:tcPr>
            <w:tcW w:w="2204" w:type="pct"/>
            <w:tcBorders>
              <w:top w:val="nil"/>
              <w:left w:val="single" w:color="auto" w:sz="4" w:space="0"/>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b w:val="0"/>
                <w:bCs/>
                <w:color w:val="auto"/>
                <w:sz w:val="21"/>
                <w:szCs w:val="21"/>
                <w:lang w:bidi="ar"/>
              </w:rPr>
            </w:pPr>
            <w:r>
              <w:rPr>
                <w:rFonts w:hint="eastAsia" w:ascii="仿宋_GB2312" w:hAnsi="仿宋_GB2312" w:eastAsia="仿宋_GB2312" w:cs="仿宋_GB2312"/>
                <w:i w:val="0"/>
                <w:iCs w:val="0"/>
                <w:color w:val="000000"/>
                <w:kern w:val="0"/>
                <w:sz w:val="21"/>
                <w:szCs w:val="21"/>
                <w:u w:val="none"/>
                <w:lang w:val="en-US" w:eastAsia="zh-CN" w:bidi="ar"/>
              </w:rPr>
              <w:t>平富乡上寨村委会</w:t>
            </w:r>
          </w:p>
        </w:tc>
        <w:tc>
          <w:tcPr>
            <w:tcW w:w="705" w:type="pct"/>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 xml:space="preserve">69.22 </w:t>
            </w:r>
          </w:p>
        </w:tc>
        <w:tc>
          <w:tcPr>
            <w:tcW w:w="744" w:type="pct"/>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 xml:space="preserve">568.59 </w:t>
            </w:r>
          </w:p>
        </w:tc>
        <w:tc>
          <w:tcPr>
            <w:tcW w:w="677" w:type="pct"/>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 xml:space="preserve">637.80 </w:t>
            </w:r>
          </w:p>
        </w:tc>
        <w:tc>
          <w:tcPr>
            <w:tcW w:w="921"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11.47%</w:t>
            </w:r>
          </w:p>
        </w:tc>
      </w:tr>
      <w:tr>
        <w:tblPrEx>
          <w:tblCellMar>
            <w:top w:w="0" w:type="dxa"/>
            <w:left w:w="108" w:type="dxa"/>
            <w:bottom w:w="0" w:type="dxa"/>
            <w:right w:w="108" w:type="dxa"/>
          </w:tblCellMar>
        </w:tblPrEx>
        <w:trPr>
          <w:trHeight w:val="342" w:hRule="atLeast"/>
          <w:jc w:val="center"/>
        </w:trPr>
        <w:tc>
          <w:tcPr>
            <w:tcW w:w="2204" w:type="pct"/>
            <w:tcBorders>
              <w:top w:val="nil"/>
              <w:left w:val="single" w:color="auto" w:sz="4" w:space="0"/>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b w:val="0"/>
                <w:bCs/>
                <w:color w:val="auto"/>
                <w:sz w:val="21"/>
                <w:szCs w:val="21"/>
                <w:lang w:bidi="ar"/>
              </w:rPr>
            </w:pPr>
            <w:r>
              <w:rPr>
                <w:rFonts w:hint="eastAsia" w:ascii="仿宋_GB2312" w:hAnsi="仿宋_GB2312" w:eastAsia="仿宋_GB2312" w:cs="仿宋_GB2312"/>
                <w:i w:val="0"/>
                <w:iCs w:val="0"/>
                <w:color w:val="000000"/>
                <w:kern w:val="0"/>
                <w:sz w:val="21"/>
                <w:szCs w:val="21"/>
                <w:u w:val="none"/>
                <w:lang w:val="en-US" w:eastAsia="zh-CN" w:bidi="ar"/>
              </w:rPr>
              <w:t>平富乡向前村委会</w:t>
            </w:r>
          </w:p>
        </w:tc>
        <w:tc>
          <w:tcPr>
            <w:tcW w:w="705" w:type="pct"/>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 xml:space="preserve">60.61 </w:t>
            </w:r>
          </w:p>
        </w:tc>
        <w:tc>
          <w:tcPr>
            <w:tcW w:w="744" w:type="pct"/>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 xml:space="preserve">562.14 </w:t>
            </w:r>
          </w:p>
        </w:tc>
        <w:tc>
          <w:tcPr>
            <w:tcW w:w="677" w:type="pct"/>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 xml:space="preserve">622.75 </w:t>
            </w:r>
          </w:p>
        </w:tc>
        <w:tc>
          <w:tcPr>
            <w:tcW w:w="921"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11.20%</w:t>
            </w:r>
          </w:p>
        </w:tc>
      </w:tr>
      <w:tr>
        <w:tblPrEx>
          <w:tblCellMar>
            <w:top w:w="0" w:type="dxa"/>
            <w:left w:w="108" w:type="dxa"/>
            <w:bottom w:w="0" w:type="dxa"/>
            <w:right w:w="108" w:type="dxa"/>
          </w:tblCellMar>
        </w:tblPrEx>
        <w:trPr>
          <w:trHeight w:val="342" w:hRule="atLeast"/>
          <w:jc w:val="center"/>
        </w:trPr>
        <w:tc>
          <w:tcPr>
            <w:tcW w:w="2204" w:type="pct"/>
            <w:tcBorders>
              <w:top w:val="nil"/>
              <w:left w:val="single" w:color="auto" w:sz="4" w:space="0"/>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b w:val="0"/>
                <w:bCs/>
                <w:color w:val="auto"/>
                <w:sz w:val="21"/>
                <w:szCs w:val="21"/>
                <w:lang w:bidi="ar"/>
              </w:rPr>
            </w:pPr>
            <w:r>
              <w:rPr>
                <w:rFonts w:hint="eastAsia" w:ascii="仿宋_GB2312" w:hAnsi="仿宋_GB2312" w:eastAsia="仿宋_GB2312" w:cs="仿宋_GB2312"/>
                <w:i w:val="0"/>
                <w:iCs w:val="0"/>
                <w:color w:val="000000"/>
                <w:kern w:val="0"/>
                <w:sz w:val="21"/>
                <w:szCs w:val="21"/>
                <w:u w:val="none"/>
                <w:lang w:val="en-US" w:eastAsia="zh-CN" w:bidi="ar"/>
              </w:rPr>
              <w:t>平富乡信地村委会</w:t>
            </w:r>
          </w:p>
        </w:tc>
        <w:tc>
          <w:tcPr>
            <w:tcW w:w="705" w:type="pct"/>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 xml:space="preserve">50.95 </w:t>
            </w:r>
          </w:p>
        </w:tc>
        <w:tc>
          <w:tcPr>
            <w:tcW w:w="744" w:type="pct"/>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 xml:space="preserve">658.92 </w:t>
            </w:r>
          </w:p>
        </w:tc>
        <w:tc>
          <w:tcPr>
            <w:tcW w:w="677" w:type="pct"/>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 xml:space="preserve">709.87 </w:t>
            </w:r>
          </w:p>
        </w:tc>
        <w:tc>
          <w:tcPr>
            <w:tcW w:w="921"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12.77%</w:t>
            </w:r>
          </w:p>
        </w:tc>
      </w:tr>
      <w:tr>
        <w:tblPrEx>
          <w:tblCellMar>
            <w:top w:w="0" w:type="dxa"/>
            <w:left w:w="108" w:type="dxa"/>
            <w:bottom w:w="0" w:type="dxa"/>
            <w:right w:w="108" w:type="dxa"/>
          </w:tblCellMar>
        </w:tblPrEx>
        <w:trPr>
          <w:trHeight w:val="342" w:hRule="atLeast"/>
          <w:jc w:val="center"/>
        </w:trPr>
        <w:tc>
          <w:tcPr>
            <w:tcW w:w="2204" w:type="pct"/>
            <w:tcBorders>
              <w:top w:val="nil"/>
              <w:left w:val="single" w:color="auto" w:sz="4" w:space="0"/>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b w:val="0"/>
                <w:bCs/>
                <w:color w:val="auto"/>
                <w:sz w:val="21"/>
                <w:szCs w:val="21"/>
                <w:lang w:bidi="ar"/>
              </w:rPr>
            </w:pPr>
            <w:r>
              <w:rPr>
                <w:rFonts w:hint="eastAsia" w:ascii="仿宋_GB2312" w:hAnsi="仿宋_GB2312" w:eastAsia="仿宋_GB2312" w:cs="仿宋_GB2312"/>
                <w:i w:val="0"/>
                <w:iCs w:val="0"/>
                <w:color w:val="000000"/>
                <w:kern w:val="0"/>
                <w:sz w:val="21"/>
                <w:szCs w:val="21"/>
                <w:u w:val="none"/>
                <w:lang w:val="en-US" w:eastAsia="zh-CN" w:bidi="ar"/>
              </w:rPr>
              <w:t>平富乡庄坑村委会</w:t>
            </w:r>
          </w:p>
        </w:tc>
        <w:tc>
          <w:tcPr>
            <w:tcW w:w="705" w:type="pct"/>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 xml:space="preserve">16.69 </w:t>
            </w:r>
          </w:p>
        </w:tc>
        <w:tc>
          <w:tcPr>
            <w:tcW w:w="744" w:type="pct"/>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 xml:space="preserve">412.63 </w:t>
            </w:r>
          </w:p>
        </w:tc>
        <w:tc>
          <w:tcPr>
            <w:tcW w:w="677" w:type="pct"/>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 xml:space="preserve">429.32 </w:t>
            </w:r>
          </w:p>
        </w:tc>
        <w:tc>
          <w:tcPr>
            <w:tcW w:w="921"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7.72%</w:t>
            </w:r>
          </w:p>
        </w:tc>
      </w:tr>
      <w:tr>
        <w:tblPrEx>
          <w:tblCellMar>
            <w:top w:w="0" w:type="dxa"/>
            <w:left w:w="108" w:type="dxa"/>
            <w:bottom w:w="0" w:type="dxa"/>
            <w:right w:w="108" w:type="dxa"/>
          </w:tblCellMar>
        </w:tblPrEx>
        <w:trPr>
          <w:trHeight w:val="342" w:hRule="atLeast"/>
          <w:jc w:val="center"/>
        </w:trPr>
        <w:tc>
          <w:tcPr>
            <w:tcW w:w="2204" w:type="pct"/>
            <w:tcBorders>
              <w:top w:val="nil"/>
              <w:left w:val="single" w:color="auto" w:sz="4" w:space="0"/>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b w:val="0"/>
                <w:bCs/>
                <w:color w:val="auto"/>
                <w:sz w:val="21"/>
                <w:szCs w:val="21"/>
                <w:lang w:bidi="ar"/>
              </w:rPr>
            </w:pPr>
            <w:r>
              <w:rPr>
                <w:rFonts w:hint="eastAsia" w:ascii="仿宋_GB2312" w:hAnsi="仿宋_GB2312" w:eastAsia="仿宋_GB2312" w:cs="仿宋_GB2312"/>
                <w:i w:val="0"/>
                <w:iCs w:val="0"/>
                <w:color w:val="000000"/>
                <w:kern w:val="0"/>
                <w:sz w:val="21"/>
                <w:szCs w:val="21"/>
                <w:u w:val="none"/>
                <w:lang w:val="en-US" w:eastAsia="zh-CN" w:bidi="ar"/>
              </w:rPr>
              <w:t>平富乡庄前村委会</w:t>
            </w:r>
          </w:p>
        </w:tc>
        <w:tc>
          <w:tcPr>
            <w:tcW w:w="705" w:type="pct"/>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 xml:space="preserve">42.54 </w:t>
            </w:r>
          </w:p>
        </w:tc>
        <w:tc>
          <w:tcPr>
            <w:tcW w:w="744" w:type="pct"/>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 xml:space="preserve">689.80 </w:t>
            </w:r>
          </w:p>
        </w:tc>
        <w:tc>
          <w:tcPr>
            <w:tcW w:w="677" w:type="pct"/>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 xml:space="preserve">732.34 </w:t>
            </w:r>
          </w:p>
        </w:tc>
        <w:tc>
          <w:tcPr>
            <w:tcW w:w="921"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13.17%</w:t>
            </w:r>
          </w:p>
        </w:tc>
      </w:tr>
      <w:tr>
        <w:tblPrEx>
          <w:tblCellMar>
            <w:top w:w="0" w:type="dxa"/>
            <w:left w:w="108" w:type="dxa"/>
            <w:bottom w:w="0" w:type="dxa"/>
            <w:right w:w="108" w:type="dxa"/>
          </w:tblCellMar>
        </w:tblPrEx>
        <w:trPr>
          <w:trHeight w:val="238" w:hRule="atLeast"/>
          <w:jc w:val="center"/>
        </w:trPr>
        <w:tc>
          <w:tcPr>
            <w:tcW w:w="2204" w:type="pct"/>
            <w:tcBorders>
              <w:top w:val="nil"/>
              <w:left w:val="single" w:color="auto" w:sz="4" w:space="0"/>
              <w:bottom w:val="single" w:color="auto" w:sz="4" w:space="0"/>
              <w:right w:val="single" w:color="auto" w:sz="4" w:space="0"/>
            </w:tcBorders>
            <w:noWrap/>
            <w:vAlign w:val="bottom"/>
          </w:tcPr>
          <w:p>
            <w:pPr>
              <w:pStyle w:val="31"/>
              <w:rPr>
                <w:rFonts w:hint="eastAsia" w:ascii="仿宋_GB2312" w:hAnsi="仿宋_GB2312" w:eastAsia="仿宋_GB2312" w:cs="仿宋_GB2312"/>
                <w:b w:val="0"/>
                <w:bCs/>
                <w:color w:val="auto"/>
                <w:sz w:val="21"/>
                <w:szCs w:val="21"/>
                <w:lang w:val="en-US" w:eastAsia="zh-CN" w:bidi="ar"/>
              </w:rPr>
            </w:pPr>
            <w:r>
              <w:rPr>
                <w:rFonts w:hint="eastAsia" w:ascii="仿宋_GB2312" w:hAnsi="仿宋_GB2312" w:eastAsia="仿宋_GB2312" w:cs="仿宋_GB2312"/>
                <w:b w:val="0"/>
                <w:bCs/>
                <w:color w:val="auto"/>
                <w:sz w:val="21"/>
                <w:szCs w:val="21"/>
                <w:lang w:val="en-US" w:eastAsia="zh-CN" w:bidi="ar"/>
              </w:rPr>
              <w:t>合计</w:t>
            </w:r>
          </w:p>
        </w:tc>
        <w:tc>
          <w:tcPr>
            <w:tcW w:w="1137"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432.66</w:t>
            </w:r>
          </w:p>
        </w:tc>
        <w:tc>
          <w:tcPr>
            <w:tcW w:w="1359"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5127.85</w:t>
            </w:r>
          </w:p>
        </w:tc>
        <w:tc>
          <w:tcPr>
            <w:tcW w:w="1359"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5560.5</w:t>
            </w:r>
          </w:p>
        </w:tc>
        <w:tc>
          <w:tcPr>
            <w:tcW w:w="921"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100.00%</w:t>
            </w:r>
          </w:p>
        </w:tc>
      </w:tr>
    </w:tbl>
    <w:p>
      <w:pPr>
        <w:snapToGrid w:val="0"/>
        <w:spacing w:line="480" w:lineRule="exact"/>
        <w:ind w:firstLine="560"/>
        <w:rPr>
          <w:rFonts w:hint="default"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2、永久基本农田划定情况</w:t>
      </w:r>
    </w:p>
    <w:p>
      <w:pPr>
        <w:snapToGrid w:val="0"/>
        <w:spacing w:line="480" w:lineRule="exact"/>
        <w:ind w:firstLine="560"/>
        <w:rPr>
          <w:rFonts w:hint="default"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上犹县“三区三线”划定成果统计可得，平富乡永久基本农田保护任务为349.35公顷（0.5240万亩），占平富乡圈外耕地的94.07%。各行政区永久基本农田地类情况详见表4-2。</w:t>
      </w:r>
    </w:p>
    <w:p>
      <w:pPr>
        <w:pStyle w:val="30"/>
        <w:spacing w:before="62" w:beforeLines="20" w:after="62" w:afterLines="20"/>
        <w:rPr>
          <w:rFonts w:hint="eastAsia" w:ascii="Times New Roman" w:hAnsi="Times New Roman" w:eastAsia="仿宋_GB2312"/>
          <w:color w:val="auto"/>
        </w:rPr>
      </w:pPr>
      <w:r>
        <w:rPr>
          <w:rFonts w:hint="eastAsia" w:ascii="Times New Roman" w:hAnsi="Times New Roman" w:eastAsia="仿宋_GB2312"/>
          <w:color w:val="auto"/>
        </w:rPr>
        <w:t xml:space="preserve">表4-2 </w:t>
      </w:r>
      <w:r>
        <w:rPr>
          <w:rFonts w:hint="eastAsia" w:ascii="Times New Roman" w:hAnsi="Times New Roman" w:eastAsia="仿宋_GB2312"/>
          <w:color w:val="auto"/>
          <w:lang w:eastAsia="zh-CN"/>
        </w:rPr>
        <w:t>平富乡</w:t>
      </w:r>
      <w:r>
        <w:rPr>
          <w:rFonts w:hint="eastAsia" w:ascii="Times New Roman" w:hAnsi="Times New Roman" w:eastAsia="仿宋_GB2312"/>
          <w:color w:val="auto"/>
        </w:rPr>
        <w:t>永久基本农田地类情况表</w:t>
      </w:r>
    </w:p>
    <w:p>
      <w:pPr>
        <w:pStyle w:val="26"/>
        <w:spacing w:line="480" w:lineRule="exact"/>
        <w:ind w:firstLine="482"/>
        <w:jc w:val="right"/>
        <w:rPr>
          <w:rFonts w:hint="default" w:ascii="Times New Roman" w:hAnsi="Times New Roman" w:eastAsia="仿宋_GB2312" w:cs="Times New Roman"/>
          <w:bCs/>
          <w:color w:val="auto"/>
          <w:kern w:val="0"/>
          <w:sz w:val="21"/>
          <w:szCs w:val="24"/>
          <w:lang w:val="en-US" w:eastAsia="zh-CN" w:bidi="en-US"/>
        </w:rPr>
      </w:pPr>
      <w:r>
        <w:rPr>
          <w:rFonts w:hint="default" w:ascii="Times New Roman" w:hAnsi="Times New Roman" w:eastAsia="仿宋_GB2312" w:cs="Times New Roman"/>
          <w:bCs/>
          <w:color w:val="auto"/>
          <w:kern w:val="0"/>
          <w:sz w:val="21"/>
          <w:szCs w:val="24"/>
          <w:lang w:val="en-US" w:eastAsia="zh-CN" w:bidi="en-US"/>
        </w:rPr>
        <w:t>单位：亩（0.00）</w:t>
      </w:r>
    </w:p>
    <w:tbl>
      <w:tblPr>
        <w:tblStyle w:val="19"/>
        <w:tblW w:w="4890" w:type="pct"/>
        <w:jc w:val="center"/>
        <w:tblLayout w:type="autofit"/>
        <w:tblCellMar>
          <w:top w:w="0" w:type="dxa"/>
          <w:left w:w="108" w:type="dxa"/>
          <w:bottom w:w="0" w:type="dxa"/>
          <w:right w:w="108" w:type="dxa"/>
        </w:tblCellMar>
      </w:tblPr>
      <w:tblGrid>
        <w:gridCol w:w="2956"/>
        <w:gridCol w:w="1266"/>
        <w:gridCol w:w="1371"/>
        <w:gridCol w:w="1371"/>
        <w:gridCol w:w="1371"/>
      </w:tblGrid>
      <w:tr>
        <w:tblPrEx>
          <w:tblCellMar>
            <w:top w:w="0" w:type="dxa"/>
            <w:left w:w="108" w:type="dxa"/>
            <w:bottom w:w="0" w:type="dxa"/>
            <w:right w:w="108" w:type="dxa"/>
          </w:tblCellMar>
        </w:tblPrEx>
        <w:trPr>
          <w:trHeight w:val="819" w:hRule="atLeast"/>
          <w:tblHeader/>
          <w:jc w:val="center"/>
        </w:trPr>
        <w:tc>
          <w:tcPr>
            <w:tcW w:w="2204" w:type="pct"/>
            <w:tcBorders>
              <w:top w:val="single" w:color="auto" w:sz="4" w:space="0"/>
              <w:left w:val="single" w:color="auto" w:sz="4" w:space="0"/>
              <w:bottom w:val="single" w:color="auto" w:sz="4" w:space="0"/>
              <w:right w:val="single" w:color="auto" w:sz="4" w:space="0"/>
            </w:tcBorders>
            <w:noWrap/>
            <w:vAlign w:val="center"/>
            <mc:AlternateContent>
              <mc:Choice Requires="wpsCustomData">
                <wpsCustomData:diagonals>
                  <wpsCustomData:diagonal from="10000" to="30000">
                    <wpsCustomData:border w:val="single" w:color="auto" w:sz="4" w:space="0"/>
                  </wpsCustomData:diagonal>
                </wpsCustomData:diagonals>
              </mc:Choice>
            </mc:AlternateContent>
          </w:tcPr>
          <w:p>
            <w:pPr>
              <w:pStyle w:val="31"/>
              <w:rPr>
                <w:rFonts w:hint="eastAsia" w:ascii="Times New Roman" w:hAnsi="Times New Roman" w:eastAsia="仿宋_GB2312"/>
                <w:b/>
                <w:bCs w:val="0"/>
                <w:color w:val="auto"/>
                <w:lang w:val="en-US" w:eastAsia="zh-CN" w:bidi="ar"/>
              </w:rPr>
            </w:pPr>
          </w:p>
          <w:p>
            <w:pPr>
              <w:pStyle w:val="31"/>
              <mc:AlternateContent>
                <mc:Choice Requires="wpsCustomData">
                  <wpsCustomData:diagonalParaType/>
                </mc:Choice>
              </mc:AlternateContent>
              <w:rPr>
                <w:rFonts w:hint="default" w:ascii="Times New Roman" w:hAnsi="Times New Roman" w:eastAsia="仿宋_GB2312"/>
                <w:b/>
                <w:bCs w:val="0"/>
                <w:color w:val="auto"/>
                <w:lang w:val="en-US" w:eastAsia="zh-CN" w:bidi="ar"/>
              </w:rPr>
            </w:pPr>
            <w:r>
              <w:rPr>
                <w:rFonts w:hint="eastAsia" w:ascii="Times New Roman" w:hAnsi="Times New Roman" w:eastAsia="仿宋_GB2312"/>
                <w:b/>
                <w:bCs w:val="0"/>
                <w:color w:val="auto"/>
                <w:lang w:val="en-US" w:eastAsia="zh-CN" w:bidi="ar"/>
              </w:rPr>
              <w:t>乡镇名称</w:t>
            </w:r>
          </w:p>
          <w:p>
            <w:pPr>
              <w:pStyle w:val="31"/>
              <w:rPr>
                <w:rFonts w:hint="default" w:ascii="Times New Roman" w:hAnsi="Times New Roman" w:eastAsia="仿宋_GB2312"/>
                <w:b/>
                <w:bCs w:val="0"/>
                <w:color w:val="auto"/>
                <w:lang w:val="en-US" w:eastAsia="zh-CN" w:bidi="ar"/>
              </w:rPr>
            </w:pPr>
            <w:r>
              <w:rPr>
                <w:rFonts w:hint="eastAsia" w:ascii="Times New Roman" w:hAnsi="Times New Roman" w:eastAsia="仿宋_GB2312"/>
                <w:b/>
                <w:bCs w:val="0"/>
                <w:color w:val="auto"/>
                <w:lang w:val="en-US" w:eastAsia="zh-CN" w:bidi="ar"/>
              </w:rPr>
              <w:t>地类名称</w:t>
            </w:r>
          </w:p>
        </w:tc>
        <w:tc>
          <w:tcPr>
            <w:tcW w:w="705" w:type="pct"/>
            <w:tcBorders>
              <w:top w:val="single" w:color="auto" w:sz="4" w:space="0"/>
              <w:left w:val="nil"/>
              <w:bottom w:val="single" w:color="auto" w:sz="4" w:space="0"/>
              <w:right w:val="single" w:color="auto" w:sz="4" w:space="0"/>
            </w:tcBorders>
            <w:noWrap/>
            <w:vAlign w:val="center"/>
          </w:tcPr>
          <w:p>
            <w:pPr>
              <w:pStyle w:val="31"/>
              <w:rPr>
                <w:rFonts w:hint="eastAsia" w:ascii="Times New Roman" w:hAnsi="Times New Roman" w:eastAsia="仿宋_GB2312"/>
                <w:b/>
                <w:bCs w:val="0"/>
                <w:color w:val="auto"/>
                <w:lang w:val="en-US" w:eastAsia="zh-CN" w:bidi="ar"/>
              </w:rPr>
            </w:pPr>
            <w:r>
              <w:rPr>
                <w:rFonts w:hint="eastAsia" w:ascii="Times New Roman" w:hAnsi="Times New Roman" w:eastAsia="仿宋_GB2312"/>
                <w:b/>
                <w:bCs w:val="0"/>
                <w:color w:val="auto"/>
                <w:lang w:val="en-US" w:eastAsia="zh-CN" w:bidi="ar"/>
              </w:rPr>
              <w:t>旱地</w:t>
            </w:r>
          </w:p>
        </w:tc>
        <w:tc>
          <w:tcPr>
            <w:tcW w:w="744" w:type="pct"/>
            <w:tcBorders>
              <w:top w:val="single" w:color="auto" w:sz="4" w:space="0"/>
              <w:left w:val="nil"/>
              <w:bottom w:val="single" w:color="auto" w:sz="4" w:space="0"/>
              <w:right w:val="single" w:color="auto" w:sz="4" w:space="0"/>
            </w:tcBorders>
            <w:noWrap/>
            <w:vAlign w:val="center"/>
          </w:tcPr>
          <w:p>
            <w:pPr>
              <w:pStyle w:val="31"/>
              <w:rPr>
                <w:rFonts w:hint="eastAsia" w:ascii="Times New Roman" w:hAnsi="Times New Roman" w:eastAsia="仿宋_GB2312"/>
                <w:b/>
                <w:bCs w:val="0"/>
                <w:color w:val="auto"/>
                <w:lang w:val="en-US" w:eastAsia="zh-CN" w:bidi="ar"/>
              </w:rPr>
            </w:pPr>
            <w:r>
              <w:rPr>
                <w:rFonts w:hint="eastAsia" w:ascii="Times New Roman" w:hAnsi="Times New Roman" w:eastAsia="仿宋_GB2312"/>
                <w:b/>
                <w:bCs w:val="0"/>
                <w:color w:val="auto"/>
                <w:lang w:val="en-US" w:eastAsia="zh-CN" w:bidi="ar"/>
              </w:rPr>
              <w:t>水田</w:t>
            </w:r>
          </w:p>
        </w:tc>
        <w:tc>
          <w:tcPr>
            <w:tcW w:w="677" w:type="pct"/>
            <w:tcBorders>
              <w:top w:val="single" w:color="auto" w:sz="4" w:space="0"/>
              <w:left w:val="nil"/>
              <w:bottom w:val="single" w:color="auto" w:sz="4" w:space="0"/>
              <w:right w:val="single" w:color="auto" w:sz="4" w:space="0"/>
            </w:tcBorders>
            <w:noWrap/>
            <w:vAlign w:val="center"/>
          </w:tcPr>
          <w:p>
            <w:pPr>
              <w:pStyle w:val="31"/>
              <w:rPr>
                <w:rFonts w:hint="eastAsia" w:ascii="Times New Roman" w:hAnsi="Times New Roman" w:eastAsia="仿宋_GB2312"/>
                <w:b/>
                <w:bCs w:val="0"/>
                <w:color w:val="auto"/>
                <w:lang w:val="en-US" w:eastAsia="zh-CN" w:bidi="ar"/>
              </w:rPr>
            </w:pPr>
            <w:r>
              <w:rPr>
                <w:rFonts w:hint="eastAsia" w:ascii="Times New Roman" w:hAnsi="Times New Roman" w:eastAsia="仿宋_GB2312"/>
                <w:b/>
                <w:bCs w:val="0"/>
                <w:color w:val="auto"/>
                <w:lang w:val="en-US" w:eastAsia="zh-CN" w:bidi="ar"/>
              </w:rPr>
              <w:t>总计</w:t>
            </w:r>
          </w:p>
        </w:tc>
        <w:tc>
          <w:tcPr>
            <w:tcW w:w="668" w:type="pct"/>
            <w:tcBorders>
              <w:top w:val="single" w:color="auto" w:sz="4" w:space="0"/>
              <w:left w:val="nil"/>
              <w:bottom w:val="single" w:color="auto" w:sz="4" w:space="0"/>
              <w:right w:val="single" w:color="auto" w:sz="4" w:space="0"/>
            </w:tcBorders>
            <w:noWrap/>
            <w:vAlign w:val="center"/>
          </w:tcPr>
          <w:p>
            <w:pPr>
              <w:pStyle w:val="31"/>
              <w:rPr>
                <w:rFonts w:hint="eastAsia" w:ascii="Times New Roman" w:hAnsi="Times New Roman" w:eastAsia="仿宋_GB2312"/>
                <w:b/>
                <w:bCs w:val="0"/>
                <w:color w:val="auto"/>
                <w:lang w:val="en-US" w:eastAsia="zh-CN" w:bidi="ar"/>
              </w:rPr>
            </w:pPr>
            <w:r>
              <w:rPr>
                <w:rFonts w:hint="eastAsia" w:ascii="Times New Roman" w:hAnsi="Times New Roman" w:eastAsia="仿宋_GB2312"/>
                <w:b/>
                <w:bCs w:val="0"/>
                <w:color w:val="auto"/>
                <w:lang w:val="en-US" w:eastAsia="zh-CN" w:bidi="ar"/>
              </w:rPr>
              <w:t>占比</w:t>
            </w:r>
          </w:p>
        </w:tc>
      </w:tr>
      <w:tr>
        <w:tblPrEx>
          <w:tblCellMar>
            <w:top w:w="0" w:type="dxa"/>
            <w:left w:w="108" w:type="dxa"/>
            <w:bottom w:w="0" w:type="dxa"/>
            <w:right w:w="108" w:type="dxa"/>
          </w:tblCellMar>
        </w:tblPrEx>
        <w:trPr>
          <w:trHeight w:val="342" w:hRule="atLeast"/>
          <w:jc w:val="center"/>
        </w:trPr>
        <w:tc>
          <w:tcPr>
            <w:tcW w:w="2204" w:type="pct"/>
            <w:tcBorders>
              <w:top w:val="nil"/>
              <w:left w:val="single" w:color="auto" w:sz="4" w:space="0"/>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b w:val="0"/>
                <w:bCs/>
                <w:color w:val="auto"/>
                <w:sz w:val="21"/>
                <w:szCs w:val="21"/>
                <w:lang w:bidi="ar"/>
              </w:rPr>
            </w:pPr>
            <w:r>
              <w:rPr>
                <w:rFonts w:hint="eastAsia" w:ascii="仿宋_GB2312" w:hAnsi="仿宋_GB2312" w:eastAsia="仿宋_GB2312" w:cs="仿宋_GB2312"/>
                <w:i w:val="0"/>
                <w:iCs w:val="0"/>
                <w:color w:val="000000"/>
                <w:kern w:val="0"/>
                <w:sz w:val="21"/>
                <w:szCs w:val="21"/>
                <w:u w:val="none"/>
                <w:lang w:val="en-US" w:eastAsia="zh-CN" w:bidi="ar"/>
              </w:rPr>
              <w:t>平富乡大潭村委会</w:t>
            </w:r>
          </w:p>
        </w:tc>
        <w:tc>
          <w:tcPr>
            <w:tcW w:w="1266"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35.3</w:t>
            </w:r>
          </w:p>
        </w:tc>
        <w:tc>
          <w:tcPr>
            <w:tcW w:w="1371"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673.86</w:t>
            </w:r>
          </w:p>
        </w:tc>
        <w:tc>
          <w:tcPr>
            <w:tcW w:w="1371"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709.16</w:t>
            </w:r>
          </w:p>
        </w:tc>
        <w:tc>
          <w:tcPr>
            <w:tcW w:w="921"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13.53%</w:t>
            </w:r>
          </w:p>
        </w:tc>
      </w:tr>
      <w:tr>
        <w:tblPrEx>
          <w:tblCellMar>
            <w:top w:w="0" w:type="dxa"/>
            <w:left w:w="108" w:type="dxa"/>
            <w:bottom w:w="0" w:type="dxa"/>
            <w:right w:w="108" w:type="dxa"/>
          </w:tblCellMar>
        </w:tblPrEx>
        <w:trPr>
          <w:trHeight w:val="342" w:hRule="atLeast"/>
          <w:jc w:val="center"/>
        </w:trPr>
        <w:tc>
          <w:tcPr>
            <w:tcW w:w="2204" w:type="pct"/>
            <w:tcBorders>
              <w:top w:val="nil"/>
              <w:left w:val="single" w:color="auto" w:sz="4" w:space="0"/>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b w:val="0"/>
                <w:bCs/>
                <w:color w:val="auto"/>
                <w:sz w:val="21"/>
                <w:szCs w:val="21"/>
                <w:lang w:bidi="ar"/>
              </w:rPr>
            </w:pPr>
            <w:r>
              <w:rPr>
                <w:rFonts w:hint="eastAsia" w:ascii="仿宋_GB2312" w:hAnsi="仿宋_GB2312" w:eastAsia="仿宋_GB2312" w:cs="仿宋_GB2312"/>
                <w:i w:val="0"/>
                <w:iCs w:val="0"/>
                <w:color w:val="000000"/>
                <w:kern w:val="0"/>
                <w:sz w:val="21"/>
                <w:szCs w:val="21"/>
                <w:u w:val="none"/>
                <w:lang w:val="en-US" w:eastAsia="zh-CN" w:bidi="ar"/>
              </w:rPr>
              <w:t>平富乡横坑村委会</w:t>
            </w:r>
          </w:p>
        </w:tc>
        <w:tc>
          <w:tcPr>
            <w:tcW w:w="1266"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48.24</w:t>
            </w:r>
          </w:p>
        </w:tc>
        <w:tc>
          <w:tcPr>
            <w:tcW w:w="1371"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399.1</w:t>
            </w:r>
          </w:p>
        </w:tc>
        <w:tc>
          <w:tcPr>
            <w:tcW w:w="1371"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447.34</w:t>
            </w:r>
          </w:p>
        </w:tc>
        <w:tc>
          <w:tcPr>
            <w:tcW w:w="921"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8.54%</w:t>
            </w:r>
          </w:p>
        </w:tc>
      </w:tr>
      <w:tr>
        <w:tblPrEx>
          <w:tblCellMar>
            <w:top w:w="0" w:type="dxa"/>
            <w:left w:w="108" w:type="dxa"/>
            <w:bottom w:w="0" w:type="dxa"/>
            <w:right w:w="108" w:type="dxa"/>
          </w:tblCellMar>
        </w:tblPrEx>
        <w:trPr>
          <w:trHeight w:val="342" w:hRule="atLeast"/>
          <w:jc w:val="center"/>
        </w:trPr>
        <w:tc>
          <w:tcPr>
            <w:tcW w:w="2204" w:type="pct"/>
            <w:tcBorders>
              <w:top w:val="nil"/>
              <w:left w:val="single" w:color="auto" w:sz="4" w:space="0"/>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b w:val="0"/>
                <w:bCs/>
                <w:color w:val="auto"/>
                <w:sz w:val="21"/>
                <w:szCs w:val="21"/>
                <w:lang w:bidi="ar"/>
              </w:rPr>
            </w:pPr>
            <w:r>
              <w:rPr>
                <w:rFonts w:hint="eastAsia" w:ascii="仿宋_GB2312" w:hAnsi="仿宋_GB2312" w:eastAsia="仿宋_GB2312" w:cs="仿宋_GB2312"/>
                <w:i w:val="0"/>
                <w:iCs w:val="0"/>
                <w:color w:val="000000"/>
                <w:kern w:val="0"/>
                <w:sz w:val="21"/>
                <w:szCs w:val="21"/>
                <w:u w:val="none"/>
                <w:lang w:val="en-US" w:eastAsia="zh-CN" w:bidi="ar"/>
              </w:rPr>
              <w:t>平富乡平富村委会</w:t>
            </w:r>
          </w:p>
        </w:tc>
        <w:tc>
          <w:tcPr>
            <w:tcW w:w="1266"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82.79</w:t>
            </w:r>
          </w:p>
        </w:tc>
        <w:tc>
          <w:tcPr>
            <w:tcW w:w="1371"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1079.3</w:t>
            </w:r>
          </w:p>
        </w:tc>
        <w:tc>
          <w:tcPr>
            <w:tcW w:w="1371"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1162.09</w:t>
            </w:r>
          </w:p>
        </w:tc>
        <w:tc>
          <w:tcPr>
            <w:tcW w:w="921"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22.18%</w:t>
            </w:r>
          </w:p>
        </w:tc>
      </w:tr>
      <w:tr>
        <w:tblPrEx>
          <w:tblCellMar>
            <w:top w:w="0" w:type="dxa"/>
            <w:left w:w="108" w:type="dxa"/>
            <w:bottom w:w="0" w:type="dxa"/>
            <w:right w:w="108" w:type="dxa"/>
          </w:tblCellMar>
        </w:tblPrEx>
        <w:trPr>
          <w:trHeight w:val="342" w:hRule="atLeast"/>
          <w:jc w:val="center"/>
        </w:trPr>
        <w:tc>
          <w:tcPr>
            <w:tcW w:w="2204" w:type="pct"/>
            <w:tcBorders>
              <w:top w:val="nil"/>
              <w:left w:val="single" w:color="auto" w:sz="4" w:space="0"/>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b w:val="0"/>
                <w:bCs/>
                <w:color w:val="auto"/>
                <w:sz w:val="21"/>
                <w:szCs w:val="21"/>
                <w:lang w:bidi="ar"/>
              </w:rPr>
            </w:pPr>
            <w:r>
              <w:rPr>
                <w:rFonts w:hint="eastAsia" w:ascii="仿宋_GB2312" w:hAnsi="仿宋_GB2312" w:eastAsia="仿宋_GB2312" w:cs="仿宋_GB2312"/>
                <w:i w:val="0"/>
                <w:iCs w:val="0"/>
                <w:color w:val="000000"/>
                <w:kern w:val="0"/>
                <w:sz w:val="21"/>
                <w:szCs w:val="21"/>
                <w:u w:val="none"/>
                <w:lang w:val="en-US" w:eastAsia="zh-CN" w:bidi="ar"/>
              </w:rPr>
              <w:t>平富乡上寨村委会</w:t>
            </w:r>
          </w:p>
        </w:tc>
        <w:tc>
          <w:tcPr>
            <w:tcW w:w="1266"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44.54</w:t>
            </w:r>
          </w:p>
        </w:tc>
        <w:tc>
          <w:tcPr>
            <w:tcW w:w="1371"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469.95</w:t>
            </w:r>
          </w:p>
        </w:tc>
        <w:tc>
          <w:tcPr>
            <w:tcW w:w="1371"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514.49</w:t>
            </w:r>
          </w:p>
        </w:tc>
        <w:tc>
          <w:tcPr>
            <w:tcW w:w="921"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9.82%</w:t>
            </w:r>
          </w:p>
        </w:tc>
      </w:tr>
      <w:tr>
        <w:tblPrEx>
          <w:tblCellMar>
            <w:top w:w="0" w:type="dxa"/>
            <w:left w:w="108" w:type="dxa"/>
            <w:bottom w:w="0" w:type="dxa"/>
            <w:right w:w="108" w:type="dxa"/>
          </w:tblCellMar>
        </w:tblPrEx>
        <w:trPr>
          <w:trHeight w:val="228" w:hRule="atLeast"/>
          <w:jc w:val="center"/>
        </w:trPr>
        <w:tc>
          <w:tcPr>
            <w:tcW w:w="2204" w:type="pct"/>
            <w:tcBorders>
              <w:top w:val="nil"/>
              <w:left w:val="single" w:color="auto" w:sz="4" w:space="0"/>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b w:val="0"/>
                <w:bCs/>
                <w:color w:val="auto"/>
                <w:sz w:val="21"/>
                <w:szCs w:val="21"/>
                <w:lang w:bidi="ar"/>
              </w:rPr>
            </w:pPr>
            <w:r>
              <w:rPr>
                <w:rFonts w:hint="eastAsia" w:ascii="仿宋_GB2312" w:hAnsi="仿宋_GB2312" w:eastAsia="仿宋_GB2312" w:cs="仿宋_GB2312"/>
                <w:i w:val="0"/>
                <w:iCs w:val="0"/>
                <w:color w:val="000000"/>
                <w:kern w:val="0"/>
                <w:sz w:val="21"/>
                <w:szCs w:val="21"/>
                <w:u w:val="none"/>
                <w:lang w:val="en-US" w:eastAsia="zh-CN" w:bidi="ar"/>
              </w:rPr>
              <w:t>平富乡向前村委会</w:t>
            </w:r>
          </w:p>
        </w:tc>
        <w:tc>
          <w:tcPr>
            <w:tcW w:w="1266"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40.38</w:t>
            </w:r>
          </w:p>
        </w:tc>
        <w:tc>
          <w:tcPr>
            <w:tcW w:w="1371"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545.79</w:t>
            </w:r>
          </w:p>
        </w:tc>
        <w:tc>
          <w:tcPr>
            <w:tcW w:w="1371"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586.17</w:t>
            </w:r>
          </w:p>
        </w:tc>
        <w:tc>
          <w:tcPr>
            <w:tcW w:w="921"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11.19%</w:t>
            </w:r>
          </w:p>
        </w:tc>
      </w:tr>
      <w:tr>
        <w:tblPrEx>
          <w:tblCellMar>
            <w:top w:w="0" w:type="dxa"/>
            <w:left w:w="108" w:type="dxa"/>
            <w:bottom w:w="0" w:type="dxa"/>
            <w:right w:w="108" w:type="dxa"/>
          </w:tblCellMar>
        </w:tblPrEx>
        <w:trPr>
          <w:trHeight w:val="378" w:hRule="atLeast"/>
          <w:jc w:val="center"/>
        </w:trPr>
        <w:tc>
          <w:tcPr>
            <w:tcW w:w="2204" w:type="pct"/>
            <w:tcBorders>
              <w:top w:val="nil"/>
              <w:left w:val="single" w:color="auto" w:sz="4" w:space="0"/>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b w:val="0"/>
                <w:bCs/>
                <w:color w:val="auto"/>
                <w:sz w:val="21"/>
                <w:szCs w:val="21"/>
                <w:lang w:bidi="ar"/>
              </w:rPr>
            </w:pPr>
            <w:r>
              <w:rPr>
                <w:rFonts w:hint="eastAsia" w:ascii="仿宋_GB2312" w:hAnsi="仿宋_GB2312" w:eastAsia="仿宋_GB2312" w:cs="仿宋_GB2312"/>
                <w:i w:val="0"/>
                <w:iCs w:val="0"/>
                <w:color w:val="000000"/>
                <w:kern w:val="0"/>
                <w:sz w:val="21"/>
                <w:szCs w:val="21"/>
                <w:u w:val="none"/>
                <w:lang w:val="en-US" w:eastAsia="zh-CN" w:bidi="ar"/>
              </w:rPr>
              <w:t>平富乡信地村委会</w:t>
            </w:r>
          </w:p>
        </w:tc>
        <w:tc>
          <w:tcPr>
            <w:tcW w:w="1266"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49.82</w:t>
            </w:r>
          </w:p>
        </w:tc>
        <w:tc>
          <w:tcPr>
            <w:tcW w:w="1371"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641.55</w:t>
            </w:r>
          </w:p>
        </w:tc>
        <w:tc>
          <w:tcPr>
            <w:tcW w:w="1371"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691.37</w:t>
            </w:r>
          </w:p>
        </w:tc>
        <w:tc>
          <w:tcPr>
            <w:tcW w:w="921"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13.19%</w:t>
            </w:r>
          </w:p>
        </w:tc>
      </w:tr>
      <w:tr>
        <w:tblPrEx>
          <w:tblCellMar>
            <w:top w:w="0" w:type="dxa"/>
            <w:left w:w="108" w:type="dxa"/>
            <w:bottom w:w="0" w:type="dxa"/>
            <w:right w:w="108" w:type="dxa"/>
          </w:tblCellMar>
        </w:tblPrEx>
        <w:trPr>
          <w:trHeight w:val="342" w:hRule="atLeast"/>
          <w:jc w:val="center"/>
        </w:trPr>
        <w:tc>
          <w:tcPr>
            <w:tcW w:w="2204" w:type="pct"/>
            <w:tcBorders>
              <w:top w:val="nil"/>
              <w:left w:val="single" w:color="auto" w:sz="4" w:space="0"/>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b w:val="0"/>
                <w:bCs/>
                <w:color w:val="auto"/>
                <w:sz w:val="21"/>
                <w:szCs w:val="21"/>
                <w:lang w:bidi="ar"/>
              </w:rPr>
            </w:pPr>
            <w:r>
              <w:rPr>
                <w:rFonts w:hint="eastAsia" w:ascii="仿宋_GB2312" w:hAnsi="仿宋_GB2312" w:eastAsia="仿宋_GB2312" w:cs="仿宋_GB2312"/>
                <w:i w:val="0"/>
                <w:iCs w:val="0"/>
                <w:color w:val="000000"/>
                <w:kern w:val="0"/>
                <w:sz w:val="21"/>
                <w:szCs w:val="21"/>
                <w:u w:val="none"/>
                <w:lang w:val="en-US" w:eastAsia="zh-CN" w:bidi="ar"/>
              </w:rPr>
              <w:t>平富乡庄坑村委会</w:t>
            </w:r>
          </w:p>
        </w:tc>
        <w:tc>
          <w:tcPr>
            <w:tcW w:w="1266"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16.13</w:t>
            </w:r>
          </w:p>
        </w:tc>
        <w:tc>
          <w:tcPr>
            <w:tcW w:w="1371"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400.81</w:t>
            </w:r>
          </w:p>
        </w:tc>
        <w:tc>
          <w:tcPr>
            <w:tcW w:w="1371"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416.94</w:t>
            </w:r>
          </w:p>
        </w:tc>
        <w:tc>
          <w:tcPr>
            <w:tcW w:w="921"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7.96%</w:t>
            </w:r>
          </w:p>
        </w:tc>
      </w:tr>
      <w:tr>
        <w:tblPrEx>
          <w:tblCellMar>
            <w:top w:w="0" w:type="dxa"/>
            <w:left w:w="108" w:type="dxa"/>
            <w:bottom w:w="0" w:type="dxa"/>
            <w:right w:w="108" w:type="dxa"/>
          </w:tblCellMar>
        </w:tblPrEx>
        <w:trPr>
          <w:trHeight w:val="342" w:hRule="atLeast"/>
          <w:jc w:val="center"/>
        </w:trPr>
        <w:tc>
          <w:tcPr>
            <w:tcW w:w="2204" w:type="pct"/>
            <w:tcBorders>
              <w:top w:val="nil"/>
              <w:left w:val="single" w:color="auto" w:sz="4" w:space="0"/>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b w:val="0"/>
                <w:bCs/>
                <w:color w:val="auto"/>
                <w:sz w:val="21"/>
                <w:szCs w:val="21"/>
                <w:lang w:bidi="ar"/>
              </w:rPr>
            </w:pPr>
            <w:r>
              <w:rPr>
                <w:rFonts w:hint="eastAsia" w:ascii="仿宋_GB2312" w:hAnsi="仿宋_GB2312" w:eastAsia="仿宋_GB2312" w:cs="仿宋_GB2312"/>
                <w:i w:val="0"/>
                <w:iCs w:val="0"/>
                <w:color w:val="000000"/>
                <w:kern w:val="0"/>
                <w:sz w:val="21"/>
                <w:szCs w:val="21"/>
                <w:u w:val="none"/>
                <w:lang w:val="en-US" w:eastAsia="zh-CN" w:bidi="ar"/>
              </w:rPr>
              <w:t>平富乡庄前村委会</w:t>
            </w:r>
          </w:p>
        </w:tc>
        <w:tc>
          <w:tcPr>
            <w:tcW w:w="1266"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41.61</w:t>
            </w:r>
          </w:p>
        </w:tc>
        <w:tc>
          <w:tcPr>
            <w:tcW w:w="1371"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671.09</w:t>
            </w:r>
          </w:p>
        </w:tc>
        <w:tc>
          <w:tcPr>
            <w:tcW w:w="1371"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712.7</w:t>
            </w:r>
          </w:p>
        </w:tc>
        <w:tc>
          <w:tcPr>
            <w:tcW w:w="921"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13.60%</w:t>
            </w:r>
          </w:p>
        </w:tc>
      </w:tr>
      <w:tr>
        <w:tblPrEx>
          <w:tblCellMar>
            <w:top w:w="0" w:type="dxa"/>
            <w:left w:w="108" w:type="dxa"/>
            <w:bottom w:w="0" w:type="dxa"/>
            <w:right w:w="108" w:type="dxa"/>
          </w:tblCellMar>
        </w:tblPrEx>
        <w:trPr>
          <w:trHeight w:val="238" w:hRule="atLeast"/>
          <w:jc w:val="center"/>
        </w:trPr>
        <w:tc>
          <w:tcPr>
            <w:tcW w:w="2204" w:type="pct"/>
            <w:tcBorders>
              <w:top w:val="nil"/>
              <w:left w:val="single" w:color="auto" w:sz="4" w:space="0"/>
              <w:bottom w:val="single" w:color="auto" w:sz="4" w:space="0"/>
              <w:right w:val="single" w:color="auto" w:sz="4" w:space="0"/>
            </w:tcBorders>
            <w:noWrap/>
            <w:vAlign w:val="bottom"/>
          </w:tcPr>
          <w:p>
            <w:pPr>
              <w:pStyle w:val="31"/>
              <w:rPr>
                <w:rFonts w:hint="eastAsia" w:ascii="仿宋_GB2312" w:hAnsi="仿宋_GB2312" w:eastAsia="仿宋_GB2312" w:cs="仿宋_GB2312"/>
                <w:b w:val="0"/>
                <w:bCs/>
                <w:color w:val="auto"/>
                <w:sz w:val="21"/>
                <w:szCs w:val="21"/>
                <w:lang w:val="en-US" w:eastAsia="zh-CN" w:bidi="ar"/>
              </w:rPr>
            </w:pPr>
            <w:r>
              <w:rPr>
                <w:rFonts w:hint="eastAsia" w:ascii="仿宋_GB2312" w:hAnsi="仿宋_GB2312" w:eastAsia="仿宋_GB2312" w:cs="仿宋_GB2312"/>
                <w:b w:val="0"/>
                <w:bCs/>
                <w:color w:val="auto"/>
                <w:sz w:val="21"/>
                <w:szCs w:val="21"/>
                <w:lang w:val="en-US" w:eastAsia="zh-CN" w:bidi="ar"/>
              </w:rPr>
              <w:t>合计</w:t>
            </w:r>
          </w:p>
        </w:tc>
        <w:tc>
          <w:tcPr>
            <w:tcW w:w="1137"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358.81</w:t>
            </w:r>
          </w:p>
        </w:tc>
        <w:tc>
          <w:tcPr>
            <w:tcW w:w="1359"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4881.45</w:t>
            </w:r>
          </w:p>
        </w:tc>
        <w:tc>
          <w:tcPr>
            <w:tcW w:w="1359"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仿宋_GB2312" w:hAnsi="仿宋_GB2312" w:eastAsia="仿宋_GB2312" w:cs="仿宋_GB2312"/>
                <w:i w:val="0"/>
                <w:iCs w:val="0"/>
                <w:color w:val="000000"/>
                <w:kern w:val="0"/>
                <w:sz w:val="21"/>
                <w:szCs w:val="21"/>
                <w:u w:val="none"/>
                <w:lang w:val="en-US" w:eastAsia="zh-CN" w:bidi="ar"/>
              </w:rPr>
              <w:t>5240.26</w:t>
            </w:r>
          </w:p>
        </w:tc>
        <w:tc>
          <w:tcPr>
            <w:tcW w:w="921"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100.00%</w:t>
            </w:r>
          </w:p>
        </w:tc>
      </w:tr>
    </w:tbl>
    <w:p>
      <w:pPr>
        <w:snapToGrid w:val="0"/>
        <w:spacing w:line="480" w:lineRule="exact"/>
        <w:ind w:firstLine="562"/>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二、生态保护红线</w:t>
      </w:r>
    </w:p>
    <w:p>
      <w:pPr>
        <w:snapToGrid w:val="0"/>
        <w:spacing w:line="480" w:lineRule="exact"/>
        <w:ind w:firstLine="560"/>
        <w:rPr>
          <w:rFonts w:hint="default"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根据上犹县“三区三线”划定成果统计可得，平富乡生态保护红线面积2820.15公顷（4.2302亩），占乡域总面积的32.19%。</w:t>
      </w:r>
    </w:p>
    <w:p>
      <w:pPr>
        <w:pStyle w:val="30"/>
        <w:spacing w:before="62" w:beforeLines="20" w:after="62" w:afterLines="20"/>
        <w:rPr>
          <w:rFonts w:hint="eastAsia" w:ascii="Times New Roman" w:hAnsi="Times New Roman" w:eastAsia="仿宋_GB2312"/>
          <w:color w:val="auto"/>
        </w:rPr>
      </w:pPr>
      <w:r>
        <w:rPr>
          <w:rFonts w:hint="eastAsia" w:ascii="Times New Roman" w:hAnsi="Times New Roman" w:eastAsia="仿宋_GB2312"/>
          <w:color w:val="auto"/>
        </w:rPr>
        <w:t>表4-3 生态保护红线划定情况表</w:t>
      </w:r>
    </w:p>
    <w:p>
      <w:pPr>
        <w:pStyle w:val="26"/>
        <w:spacing w:line="480" w:lineRule="exact"/>
        <w:ind w:firstLine="482"/>
        <w:jc w:val="right"/>
        <w:rPr>
          <w:rFonts w:hint="default" w:ascii="Times New Roman" w:hAnsi="Times New Roman" w:eastAsia="仿宋_GB2312" w:cs="Times New Roman"/>
          <w:bCs/>
          <w:color w:val="auto"/>
          <w:kern w:val="0"/>
          <w:sz w:val="21"/>
          <w:szCs w:val="24"/>
          <w:lang w:val="en-US" w:eastAsia="zh-CN" w:bidi="en-US"/>
        </w:rPr>
      </w:pPr>
      <w:r>
        <w:rPr>
          <w:rFonts w:hint="default" w:ascii="Times New Roman" w:hAnsi="Times New Roman" w:eastAsia="仿宋_GB2312" w:cs="Times New Roman"/>
          <w:bCs/>
          <w:color w:val="auto"/>
          <w:kern w:val="0"/>
          <w:sz w:val="21"/>
          <w:szCs w:val="24"/>
          <w:lang w:val="en-US" w:eastAsia="zh-CN" w:bidi="en-US"/>
        </w:rPr>
        <w:t>单位：</w:t>
      </w:r>
      <w:r>
        <w:rPr>
          <w:rFonts w:hint="eastAsia" w:ascii="Times New Roman" w:hAnsi="Times New Roman" w:eastAsia="仿宋_GB2312" w:cs="Times New Roman"/>
          <w:bCs/>
          <w:color w:val="auto"/>
          <w:kern w:val="0"/>
          <w:sz w:val="21"/>
          <w:szCs w:val="24"/>
          <w:lang w:val="en-US" w:eastAsia="zh-CN" w:bidi="en-US"/>
        </w:rPr>
        <w:t>公顷</w:t>
      </w:r>
      <w:r>
        <w:rPr>
          <w:rFonts w:hint="default" w:ascii="Times New Roman" w:hAnsi="Times New Roman" w:eastAsia="仿宋_GB2312" w:cs="Times New Roman"/>
          <w:bCs/>
          <w:color w:val="auto"/>
          <w:kern w:val="0"/>
          <w:sz w:val="21"/>
          <w:szCs w:val="24"/>
          <w:lang w:val="en-US" w:eastAsia="zh-CN" w:bidi="en-US"/>
        </w:rPr>
        <w:t>（0.</w:t>
      </w:r>
      <w:r>
        <w:rPr>
          <w:rFonts w:hint="eastAsia" w:ascii="Times New Roman" w:hAnsi="Times New Roman" w:eastAsia="仿宋_GB2312" w:cs="Times New Roman"/>
          <w:bCs/>
          <w:color w:val="auto"/>
          <w:kern w:val="0"/>
          <w:sz w:val="21"/>
          <w:szCs w:val="24"/>
          <w:lang w:val="en-US" w:eastAsia="zh-CN" w:bidi="en-US"/>
        </w:rPr>
        <w:t>00）</w:t>
      </w:r>
      <w:r>
        <w:rPr>
          <w:rFonts w:hint="default" w:ascii="Times New Roman" w:hAnsi="Times New Roman" w:eastAsia="仿宋_GB2312" w:cs="Times New Roman"/>
          <w:bCs/>
          <w:color w:val="auto"/>
          <w:kern w:val="0"/>
          <w:sz w:val="21"/>
          <w:szCs w:val="24"/>
          <w:lang w:val="en-US" w:eastAsia="zh-CN" w:bidi="en-US"/>
        </w:rPr>
        <w:t>%</w:t>
      </w:r>
    </w:p>
    <w:tbl>
      <w:tblPr>
        <w:tblStyle w:val="19"/>
        <w:tblW w:w="3281" w:type="pct"/>
        <w:jc w:val="center"/>
        <w:tblLayout w:type="autofit"/>
        <w:tblCellMar>
          <w:top w:w="0" w:type="dxa"/>
          <w:left w:w="108" w:type="dxa"/>
          <w:bottom w:w="0" w:type="dxa"/>
          <w:right w:w="108" w:type="dxa"/>
        </w:tblCellMar>
      </w:tblPr>
      <w:tblGrid>
        <w:gridCol w:w="2727"/>
        <w:gridCol w:w="1476"/>
        <w:gridCol w:w="1389"/>
      </w:tblGrid>
      <w:tr>
        <w:tblPrEx>
          <w:tblCellMar>
            <w:top w:w="0" w:type="dxa"/>
            <w:left w:w="108" w:type="dxa"/>
            <w:bottom w:w="0" w:type="dxa"/>
            <w:right w:w="108" w:type="dxa"/>
          </w:tblCellMar>
        </w:tblPrEx>
        <w:trPr>
          <w:trHeight w:val="819" w:hRule="atLeast"/>
          <w:tblHeader/>
          <w:jc w:val="center"/>
        </w:trPr>
        <w:tc>
          <w:tcPr>
            <w:tcW w:w="2454" w:type="pct"/>
            <w:tcBorders>
              <w:top w:val="single" w:color="auto" w:sz="4" w:space="0"/>
              <w:left w:val="single" w:color="auto" w:sz="4" w:space="0"/>
              <w:bottom w:val="single" w:color="auto" w:sz="4" w:space="0"/>
              <w:right w:val="single" w:color="auto" w:sz="4" w:space="0"/>
            </w:tcBorders>
            <w:noWrap/>
            <w:vAlign w:val="center"/>
            <mc:AlternateContent>
              <mc:Choice Requires="wpsCustomData">
                <wpsCustomData:diagonals>
                  <wpsCustomData:diagonal from="10000" to="30000">
                    <wpsCustomData:border w:val="single" w:color="auto" w:sz="4" w:space="0"/>
                  </wpsCustomData:diagonal>
                </wpsCustomData:diagonals>
              </mc:Choice>
            </mc:AlternateContent>
          </w:tcPr>
          <w:p>
            <w:pPr>
              <w:pStyle w:val="31"/>
              <w:rPr>
                <w:rFonts w:hint="eastAsia" w:ascii="Times New Roman" w:hAnsi="Times New Roman" w:eastAsia="仿宋_GB2312"/>
                <w:b/>
                <w:bCs w:val="0"/>
                <w:color w:val="auto"/>
                <w:lang w:val="en-US" w:eastAsia="zh-CN" w:bidi="ar"/>
              </w:rPr>
            </w:pPr>
          </w:p>
          <w:p>
            <w:pPr>
              <w:pStyle w:val="31"/>
              <mc:AlternateContent>
                <mc:Choice Requires="wpsCustomData">
                  <wpsCustomData:diagonalParaType/>
                </mc:Choice>
              </mc:AlternateContent>
              <w:rPr>
                <w:rFonts w:hint="default" w:ascii="Times New Roman" w:hAnsi="Times New Roman" w:eastAsia="仿宋_GB2312"/>
                <w:b/>
                <w:bCs w:val="0"/>
                <w:color w:val="auto"/>
                <w:lang w:val="en-US" w:eastAsia="zh-CN" w:bidi="ar"/>
              </w:rPr>
            </w:pPr>
            <w:r>
              <w:rPr>
                <w:rFonts w:hint="eastAsia" w:ascii="Times New Roman" w:hAnsi="Times New Roman" w:eastAsia="仿宋_GB2312"/>
                <w:b/>
                <w:bCs w:val="0"/>
                <w:color w:val="auto"/>
                <w:lang w:val="en-US" w:eastAsia="zh-CN" w:bidi="ar"/>
              </w:rPr>
              <w:t>乡镇名称</w:t>
            </w:r>
          </w:p>
          <w:p>
            <w:pPr>
              <w:pStyle w:val="31"/>
              <w:rPr>
                <w:rFonts w:hint="default" w:ascii="Times New Roman" w:hAnsi="Times New Roman" w:eastAsia="仿宋_GB2312"/>
                <w:b/>
                <w:bCs w:val="0"/>
                <w:color w:val="auto"/>
                <w:lang w:val="en-US" w:eastAsia="zh-CN" w:bidi="ar"/>
              </w:rPr>
            </w:pPr>
            <w:r>
              <w:rPr>
                <w:rFonts w:hint="eastAsia" w:ascii="Times New Roman" w:hAnsi="Times New Roman" w:eastAsia="仿宋_GB2312"/>
                <w:b/>
                <w:bCs w:val="0"/>
                <w:color w:val="auto"/>
                <w:lang w:val="en-US" w:eastAsia="zh-CN" w:bidi="ar"/>
              </w:rPr>
              <w:t>地类名称</w:t>
            </w:r>
          </w:p>
        </w:tc>
        <w:tc>
          <w:tcPr>
            <w:tcW w:w="1319" w:type="pct"/>
            <w:tcBorders>
              <w:top w:val="single" w:color="auto" w:sz="4" w:space="0"/>
              <w:left w:val="nil"/>
              <w:bottom w:val="single" w:color="auto" w:sz="4" w:space="0"/>
              <w:right w:val="single" w:color="auto" w:sz="4" w:space="0"/>
            </w:tcBorders>
            <w:noWrap/>
            <w:vAlign w:val="center"/>
          </w:tcPr>
          <w:p>
            <w:pPr>
              <w:pStyle w:val="31"/>
              <w:rPr>
                <w:rFonts w:hint="eastAsia" w:ascii="Times New Roman" w:hAnsi="Times New Roman" w:eastAsia="仿宋_GB2312"/>
                <w:b/>
                <w:bCs w:val="0"/>
                <w:color w:val="auto"/>
                <w:lang w:val="en-US" w:eastAsia="zh-CN" w:bidi="ar"/>
              </w:rPr>
            </w:pPr>
            <w:r>
              <w:rPr>
                <w:rFonts w:hint="eastAsia" w:ascii="Times New Roman" w:hAnsi="Times New Roman" w:eastAsia="仿宋_GB2312"/>
                <w:b/>
                <w:bCs w:val="0"/>
                <w:color w:val="auto"/>
                <w:lang w:val="en-US" w:eastAsia="zh-CN" w:bidi="ar"/>
              </w:rPr>
              <w:t>面积</w:t>
            </w:r>
          </w:p>
        </w:tc>
        <w:tc>
          <w:tcPr>
            <w:tcW w:w="1225" w:type="pct"/>
            <w:tcBorders>
              <w:top w:val="single" w:color="auto" w:sz="4" w:space="0"/>
              <w:left w:val="nil"/>
              <w:bottom w:val="single" w:color="auto" w:sz="4" w:space="0"/>
              <w:right w:val="single" w:color="auto" w:sz="4" w:space="0"/>
            </w:tcBorders>
            <w:noWrap/>
            <w:vAlign w:val="center"/>
          </w:tcPr>
          <w:p>
            <w:pPr>
              <w:pStyle w:val="31"/>
              <w:rPr>
                <w:rFonts w:hint="eastAsia" w:ascii="Times New Roman" w:hAnsi="Times New Roman" w:eastAsia="仿宋_GB2312"/>
                <w:b/>
                <w:bCs w:val="0"/>
                <w:color w:val="auto"/>
                <w:lang w:val="en-US" w:eastAsia="zh-CN" w:bidi="ar"/>
              </w:rPr>
            </w:pPr>
            <w:r>
              <w:rPr>
                <w:rFonts w:hint="eastAsia" w:ascii="Times New Roman" w:hAnsi="Times New Roman" w:eastAsia="仿宋_GB2312"/>
                <w:b/>
                <w:bCs w:val="0"/>
                <w:color w:val="auto"/>
                <w:lang w:val="en-US" w:eastAsia="zh-CN" w:bidi="ar"/>
              </w:rPr>
              <w:t>占比</w:t>
            </w:r>
          </w:p>
        </w:tc>
      </w:tr>
      <w:tr>
        <w:tblPrEx>
          <w:tblCellMar>
            <w:top w:w="0" w:type="dxa"/>
            <w:left w:w="108" w:type="dxa"/>
            <w:bottom w:w="0" w:type="dxa"/>
            <w:right w:w="108" w:type="dxa"/>
          </w:tblCellMar>
        </w:tblPrEx>
        <w:trPr>
          <w:trHeight w:val="342" w:hRule="atLeast"/>
          <w:jc w:val="center"/>
        </w:trPr>
        <w:tc>
          <w:tcPr>
            <w:tcW w:w="2454" w:type="pct"/>
            <w:tcBorders>
              <w:top w:val="nil"/>
              <w:left w:val="single" w:color="auto" w:sz="4" w:space="0"/>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b w:val="0"/>
                <w:bCs/>
                <w:color w:val="auto"/>
                <w:sz w:val="21"/>
                <w:szCs w:val="21"/>
                <w:lang w:bidi="ar"/>
              </w:rPr>
            </w:pPr>
            <w:r>
              <w:rPr>
                <w:rFonts w:hint="eastAsia" w:ascii="仿宋_GB2312" w:hAnsi="仿宋_GB2312" w:eastAsia="仿宋_GB2312" w:cs="仿宋_GB2312"/>
                <w:i w:val="0"/>
                <w:iCs w:val="0"/>
                <w:color w:val="000000"/>
                <w:kern w:val="0"/>
                <w:sz w:val="21"/>
                <w:szCs w:val="21"/>
                <w:u w:val="none"/>
                <w:lang w:val="en-US" w:eastAsia="zh-CN" w:bidi="ar"/>
              </w:rPr>
              <w:t>平富乡大潭村委会</w:t>
            </w:r>
          </w:p>
        </w:tc>
        <w:tc>
          <w:tcPr>
            <w:tcW w:w="1476"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1.29 </w:t>
            </w:r>
          </w:p>
        </w:tc>
        <w:tc>
          <w:tcPr>
            <w:tcW w:w="1371"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0.05%</w:t>
            </w:r>
          </w:p>
        </w:tc>
      </w:tr>
      <w:tr>
        <w:tblPrEx>
          <w:tblCellMar>
            <w:top w:w="0" w:type="dxa"/>
            <w:left w:w="108" w:type="dxa"/>
            <w:bottom w:w="0" w:type="dxa"/>
            <w:right w:w="108" w:type="dxa"/>
          </w:tblCellMar>
        </w:tblPrEx>
        <w:trPr>
          <w:trHeight w:val="342" w:hRule="atLeast"/>
          <w:jc w:val="center"/>
        </w:trPr>
        <w:tc>
          <w:tcPr>
            <w:tcW w:w="2454" w:type="pct"/>
            <w:tcBorders>
              <w:top w:val="nil"/>
              <w:left w:val="single" w:color="auto" w:sz="4" w:space="0"/>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b w:val="0"/>
                <w:bCs/>
                <w:color w:val="auto"/>
                <w:sz w:val="21"/>
                <w:szCs w:val="21"/>
                <w:lang w:bidi="ar"/>
              </w:rPr>
            </w:pPr>
            <w:r>
              <w:rPr>
                <w:rFonts w:hint="eastAsia" w:ascii="仿宋_GB2312" w:hAnsi="仿宋_GB2312" w:eastAsia="仿宋_GB2312" w:cs="仿宋_GB2312"/>
                <w:i w:val="0"/>
                <w:iCs w:val="0"/>
                <w:color w:val="000000"/>
                <w:kern w:val="0"/>
                <w:sz w:val="21"/>
                <w:szCs w:val="21"/>
                <w:u w:val="none"/>
                <w:lang w:val="en-US" w:eastAsia="zh-CN" w:bidi="ar"/>
              </w:rPr>
              <w:t>平富乡横坑村委会</w:t>
            </w:r>
          </w:p>
        </w:tc>
        <w:tc>
          <w:tcPr>
            <w:tcW w:w="1476"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153.54 </w:t>
            </w:r>
          </w:p>
        </w:tc>
        <w:tc>
          <w:tcPr>
            <w:tcW w:w="1371"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5.44%</w:t>
            </w:r>
          </w:p>
        </w:tc>
      </w:tr>
      <w:tr>
        <w:tblPrEx>
          <w:tblCellMar>
            <w:top w:w="0" w:type="dxa"/>
            <w:left w:w="108" w:type="dxa"/>
            <w:bottom w:w="0" w:type="dxa"/>
            <w:right w:w="108" w:type="dxa"/>
          </w:tblCellMar>
        </w:tblPrEx>
        <w:trPr>
          <w:trHeight w:val="342" w:hRule="atLeast"/>
          <w:jc w:val="center"/>
        </w:trPr>
        <w:tc>
          <w:tcPr>
            <w:tcW w:w="2454" w:type="pct"/>
            <w:tcBorders>
              <w:top w:val="nil"/>
              <w:left w:val="single" w:color="auto" w:sz="4" w:space="0"/>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b w:val="0"/>
                <w:bCs/>
                <w:color w:val="auto"/>
                <w:sz w:val="21"/>
                <w:szCs w:val="21"/>
                <w:lang w:bidi="ar"/>
              </w:rPr>
            </w:pPr>
            <w:r>
              <w:rPr>
                <w:rFonts w:hint="eastAsia" w:ascii="仿宋_GB2312" w:hAnsi="仿宋_GB2312" w:eastAsia="仿宋_GB2312" w:cs="仿宋_GB2312"/>
                <w:i w:val="0"/>
                <w:iCs w:val="0"/>
                <w:color w:val="000000"/>
                <w:kern w:val="0"/>
                <w:sz w:val="21"/>
                <w:szCs w:val="21"/>
                <w:u w:val="none"/>
                <w:lang w:val="en-US" w:eastAsia="zh-CN" w:bidi="ar"/>
              </w:rPr>
              <w:t>平富乡平富村委会</w:t>
            </w:r>
          </w:p>
        </w:tc>
        <w:tc>
          <w:tcPr>
            <w:tcW w:w="1476"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116.17 </w:t>
            </w:r>
          </w:p>
        </w:tc>
        <w:tc>
          <w:tcPr>
            <w:tcW w:w="1371"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4.12%</w:t>
            </w:r>
          </w:p>
        </w:tc>
      </w:tr>
      <w:tr>
        <w:tblPrEx>
          <w:tblCellMar>
            <w:top w:w="0" w:type="dxa"/>
            <w:left w:w="108" w:type="dxa"/>
            <w:bottom w:w="0" w:type="dxa"/>
            <w:right w:w="108" w:type="dxa"/>
          </w:tblCellMar>
        </w:tblPrEx>
        <w:trPr>
          <w:trHeight w:val="342" w:hRule="atLeast"/>
          <w:jc w:val="center"/>
        </w:trPr>
        <w:tc>
          <w:tcPr>
            <w:tcW w:w="2454" w:type="pct"/>
            <w:tcBorders>
              <w:top w:val="nil"/>
              <w:left w:val="single" w:color="auto" w:sz="4" w:space="0"/>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b w:val="0"/>
                <w:bCs/>
                <w:color w:val="auto"/>
                <w:sz w:val="21"/>
                <w:szCs w:val="21"/>
                <w:lang w:bidi="ar"/>
              </w:rPr>
            </w:pPr>
            <w:r>
              <w:rPr>
                <w:rFonts w:hint="eastAsia" w:ascii="仿宋_GB2312" w:hAnsi="仿宋_GB2312" w:eastAsia="仿宋_GB2312" w:cs="仿宋_GB2312"/>
                <w:i w:val="0"/>
                <w:iCs w:val="0"/>
                <w:color w:val="000000"/>
                <w:kern w:val="0"/>
                <w:sz w:val="21"/>
                <w:szCs w:val="21"/>
                <w:u w:val="none"/>
                <w:lang w:val="en-US" w:eastAsia="zh-CN" w:bidi="ar"/>
              </w:rPr>
              <w:t>平富乡上寨村委会</w:t>
            </w:r>
          </w:p>
        </w:tc>
        <w:tc>
          <w:tcPr>
            <w:tcW w:w="1476"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1786.59 </w:t>
            </w:r>
          </w:p>
        </w:tc>
        <w:tc>
          <w:tcPr>
            <w:tcW w:w="1371"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63.35%</w:t>
            </w:r>
          </w:p>
        </w:tc>
      </w:tr>
      <w:tr>
        <w:tblPrEx>
          <w:tblCellMar>
            <w:top w:w="0" w:type="dxa"/>
            <w:left w:w="108" w:type="dxa"/>
            <w:bottom w:w="0" w:type="dxa"/>
            <w:right w:w="108" w:type="dxa"/>
          </w:tblCellMar>
        </w:tblPrEx>
        <w:trPr>
          <w:trHeight w:val="342" w:hRule="atLeast"/>
          <w:jc w:val="center"/>
        </w:trPr>
        <w:tc>
          <w:tcPr>
            <w:tcW w:w="2454" w:type="pct"/>
            <w:tcBorders>
              <w:top w:val="nil"/>
              <w:left w:val="single" w:color="auto" w:sz="4" w:space="0"/>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b w:val="0"/>
                <w:bCs/>
                <w:color w:val="auto"/>
                <w:sz w:val="21"/>
                <w:szCs w:val="21"/>
                <w:lang w:bidi="ar"/>
              </w:rPr>
            </w:pPr>
            <w:r>
              <w:rPr>
                <w:rFonts w:hint="eastAsia" w:ascii="仿宋_GB2312" w:hAnsi="仿宋_GB2312" w:eastAsia="仿宋_GB2312" w:cs="仿宋_GB2312"/>
                <w:i w:val="0"/>
                <w:iCs w:val="0"/>
                <w:color w:val="000000"/>
                <w:kern w:val="0"/>
                <w:sz w:val="21"/>
                <w:szCs w:val="21"/>
                <w:u w:val="none"/>
                <w:lang w:val="en-US" w:eastAsia="zh-CN" w:bidi="ar"/>
              </w:rPr>
              <w:t>平富乡向前村委会</w:t>
            </w:r>
          </w:p>
        </w:tc>
        <w:tc>
          <w:tcPr>
            <w:tcW w:w="1476"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39.19 </w:t>
            </w:r>
          </w:p>
        </w:tc>
        <w:tc>
          <w:tcPr>
            <w:tcW w:w="1371"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1.39%</w:t>
            </w:r>
          </w:p>
        </w:tc>
      </w:tr>
      <w:tr>
        <w:tblPrEx>
          <w:tblCellMar>
            <w:top w:w="0" w:type="dxa"/>
            <w:left w:w="108" w:type="dxa"/>
            <w:bottom w:w="0" w:type="dxa"/>
            <w:right w:w="108" w:type="dxa"/>
          </w:tblCellMar>
        </w:tblPrEx>
        <w:trPr>
          <w:trHeight w:val="342" w:hRule="atLeast"/>
          <w:jc w:val="center"/>
        </w:trPr>
        <w:tc>
          <w:tcPr>
            <w:tcW w:w="2454" w:type="pct"/>
            <w:tcBorders>
              <w:top w:val="nil"/>
              <w:left w:val="single" w:color="auto" w:sz="4" w:space="0"/>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b w:val="0"/>
                <w:bCs/>
                <w:color w:val="auto"/>
                <w:sz w:val="21"/>
                <w:szCs w:val="21"/>
                <w:lang w:bidi="ar"/>
              </w:rPr>
            </w:pPr>
            <w:r>
              <w:rPr>
                <w:rFonts w:hint="eastAsia" w:ascii="仿宋_GB2312" w:hAnsi="仿宋_GB2312" w:eastAsia="仿宋_GB2312" w:cs="仿宋_GB2312"/>
                <w:i w:val="0"/>
                <w:iCs w:val="0"/>
                <w:color w:val="000000"/>
                <w:kern w:val="0"/>
                <w:sz w:val="21"/>
                <w:szCs w:val="21"/>
                <w:u w:val="none"/>
                <w:lang w:val="en-US" w:eastAsia="zh-CN" w:bidi="ar"/>
              </w:rPr>
              <w:t>平富乡信地村委会</w:t>
            </w:r>
          </w:p>
        </w:tc>
        <w:tc>
          <w:tcPr>
            <w:tcW w:w="1476"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722.64 </w:t>
            </w:r>
          </w:p>
        </w:tc>
        <w:tc>
          <w:tcPr>
            <w:tcW w:w="1371"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25.62%</w:t>
            </w:r>
          </w:p>
        </w:tc>
      </w:tr>
      <w:tr>
        <w:tblPrEx>
          <w:tblCellMar>
            <w:top w:w="0" w:type="dxa"/>
            <w:left w:w="108" w:type="dxa"/>
            <w:bottom w:w="0" w:type="dxa"/>
            <w:right w:w="108" w:type="dxa"/>
          </w:tblCellMar>
        </w:tblPrEx>
        <w:trPr>
          <w:trHeight w:val="342" w:hRule="atLeast"/>
          <w:jc w:val="center"/>
        </w:trPr>
        <w:tc>
          <w:tcPr>
            <w:tcW w:w="2454" w:type="pct"/>
            <w:tcBorders>
              <w:top w:val="nil"/>
              <w:left w:val="single" w:color="auto" w:sz="4" w:space="0"/>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b w:val="0"/>
                <w:bCs/>
                <w:color w:val="auto"/>
                <w:sz w:val="21"/>
                <w:szCs w:val="21"/>
                <w:lang w:bidi="ar"/>
              </w:rPr>
            </w:pPr>
            <w:r>
              <w:rPr>
                <w:rFonts w:hint="eastAsia" w:ascii="仿宋_GB2312" w:hAnsi="仿宋_GB2312" w:eastAsia="仿宋_GB2312" w:cs="仿宋_GB2312"/>
                <w:i w:val="0"/>
                <w:iCs w:val="0"/>
                <w:color w:val="000000"/>
                <w:kern w:val="0"/>
                <w:sz w:val="21"/>
                <w:szCs w:val="21"/>
                <w:u w:val="none"/>
                <w:lang w:val="en-US" w:eastAsia="zh-CN" w:bidi="ar"/>
              </w:rPr>
              <w:t>平富乡庄坑村委会</w:t>
            </w:r>
          </w:p>
        </w:tc>
        <w:tc>
          <w:tcPr>
            <w:tcW w:w="1476"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0.74 </w:t>
            </w:r>
          </w:p>
        </w:tc>
        <w:tc>
          <w:tcPr>
            <w:tcW w:w="1371"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0.03%</w:t>
            </w:r>
          </w:p>
        </w:tc>
      </w:tr>
      <w:tr>
        <w:tblPrEx>
          <w:tblCellMar>
            <w:top w:w="0" w:type="dxa"/>
            <w:left w:w="108" w:type="dxa"/>
            <w:bottom w:w="0" w:type="dxa"/>
            <w:right w:w="108" w:type="dxa"/>
          </w:tblCellMar>
        </w:tblPrEx>
        <w:trPr>
          <w:trHeight w:val="342" w:hRule="atLeast"/>
          <w:jc w:val="center"/>
        </w:trPr>
        <w:tc>
          <w:tcPr>
            <w:tcW w:w="2454" w:type="pct"/>
            <w:tcBorders>
              <w:top w:val="nil"/>
              <w:left w:val="single" w:color="auto" w:sz="4" w:space="0"/>
              <w:bottom w:val="single" w:color="auto" w:sz="4" w:space="0"/>
              <w:right w:val="single" w:color="auto" w:sz="4" w:space="0"/>
            </w:tcBorders>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b w:val="0"/>
                <w:bCs/>
                <w:color w:val="auto"/>
                <w:sz w:val="21"/>
                <w:szCs w:val="21"/>
                <w:lang w:bidi="ar"/>
              </w:rPr>
            </w:pPr>
            <w:r>
              <w:rPr>
                <w:rFonts w:hint="eastAsia" w:ascii="仿宋_GB2312" w:hAnsi="仿宋_GB2312" w:eastAsia="仿宋_GB2312" w:cs="仿宋_GB2312"/>
                <w:i w:val="0"/>
                <w:iCs w:val="0"/>
                <w:color w:val="000000"/>
                <w:kern w:val="0"/>
                <w:sz w:val="21"/>
                <w:szCs w:val="21"/>
                <w:u w:val="none"/>
                <w:lang w:val="en-US" w:eastAsia="zh-CN" w:bidi="ar"/>
              </w:rPr>
              <w:t>平富乡庄前村委会</w:t>
            </w:r>
          </w:p>
        </w:tc>
        <w:tc>
          <w:tcPr>
            <w:tcW w:w="1476" w:type="dxa"/>
            <w:tcBorders>
              <w:top w:val="nil"/>
              <w:left w:val="nil"/>
              <w:bottom w:val="single" w:color="auto" w:sz="4" w:space="0"/>
              <w:right w:val="single" w:color="auto"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 </w:t>
            </w:r>
          </w:p>
        </w:tc>
        <w:tc>
          <w:tcPr>
            <w:tcW w:w="1371"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w:t>
            </w:r>
          </w:p>
        </w:tc>
      </w:tr>
      <w:tr>
        <w:tblPrEx>
          <w:tblCellMar>
            <w:top w:w="0" w:type="dxa"/>
            <w:left w:w="108" w:type="dxa"/>
            <w:bottom w:w="0" w:type="dxa"/>
            <w:right w:w="108" w:type="dxa"/>
          </w:tblCellMar>
        </w:tblPrEx>
        <w:trPr>
          <w:trHeight w:val="238" w:hRule="atLeast"/>
          <w:jc w:val="center"/>
        </w:trPr>
        <w:tc>
          <w:tcPr>
            <w:tcW w:w="2454" w:type="pct"/>
            <w:tcBorders>
              <w:top w:val="nil"/>
              <w:left w:val="single" w:color="auto" w:sz="4" w:space="0"/>
              <w:bottom w:val="single" w:color="auto" w:sz="4" w:space="0"/>
              <w:right w:val="single" w:color="auto" w:sz="4" w:space="0"/>
            </w:tcBorders>
            <w:noWrap/>
            <w:vAlign w:val="bottom"/>
          </w:tcPr>
          <w:p>
            <w:pPr>
              <w:pStyle w:val="31"/>
              <w:rPr>
                <w:rFonts w:hint="eastAsia" w:ascii="仿宋_GB2312" w:hAnsi="仿宋_GB2312" w:eastAsia="仿宋_GB2312" w:cs="仿宋_GB2312"/>
                <w:b w:val="0"/>
                <w:bCs/>
                <w:color w:val="auto"/>
                <w:sz w:val="21"/>
                <w:szCs w:val="21"/>
                <w:lang w:val="en-US" w:eastAsia="zh-CN" w:bidi="ar"/>
              </w:rPr>
            </w:pPr>
            <w:r>
              <w:rPr>
                <w:rFonts w:hint="eastAsia" w:ascii="仿宋_GB2312" w:hAnsi="仿宋_GB2312" w:eastAsia="仿宋_GB2312" w:cs="仿宋_GB2312"/>
                <w:b w:val="0"/>
                <w:bCs/>
                <w:color w:val="auto"/>
                <w:sz w:val="21"/>
                <w:szCs w:val="21"/>
                <w:lang w:val="en-US" w:eastAsia="zh-CN" w:bidi="ar"/>
              </w:rPr>
              <w:t>合计</w:t>
            </w:r>
          </w:p>
        </w:tc>
        <w:tc>
          <w:tcPr>
            <w:tcW w:w="1476"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2819.</w:t>
            </w:r>
            <w:r>
              <w:rPr>
                <w:rFonts w:hint="eastAsia" w:ascii="Times New Roman" w:hAnsi="Times New Roman" w:cs="Times New Roman"/>
                <w:i w:val="0"/>
                <w:iCs w:val="0"/>
                <w:color w:val="000000"/>
                <w:kern w:val="0"/>
                <w:sz w:val="21"/>
                <w:szCs w:val="21"/>
                <w:u w:val="none"/>
                <w:lang w:val="en-US" w:eastAsia="zh-CN" w:bidi="ar"/>
              </w:rPr>
              <w:t>15</w:t>
            </w:r>
            <w:r>
              <w:rPr>
                <w:rFonts w:hint="default" w:ascii="Times New Roman" w:hAnsi="Times New Roman" w:eastAsia="宋体" w:cs="Times New Roman"/>
                <w:i w:val="0"/>
                <w:iCs w:val="0"/>
                <w:color w:val="000000"/>
                <w:kern w:val="0"/>
                <w:sz w:val="21"/>
                <w:szCs w:val="21"/>
                <w:u w:val="none"/>
                <w:lang w:val="en-US" w:eastAsia="zh-CN" w:bidi="ar"/>
              </w:rPr>
              <w:t xml:space="preserve"> </w:t>
            </w:r>
          </w:p>
        </w:tc>
        <w:tc>
          <w:tcPr>
            <w:tcW w:w="1371"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100.00%</w:t>
            </w:r>
          </w:p>
        </w:tc>
      </w:tr>
    </w:tbl>
    <w:p>
      <w:pPr>
        <w:snapToGrid w:val="0"/>
        <w:spacing w:line="480" w:lineRule="exact"/>
        <w:ind w:firstLine="562"/>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三、城镇开发边界</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根据上犹县“三区三线”成果，平富乡划定城镇开发边界37.91公顷（0.056万亩）。其中包括集镇城镇开发边界23.56公顷，均为城镇集中建设区；上寨村城镇开发边界14.34公顷，均为城镇集中建设区。</w:t>
      </w:r>
    </w:p>
    <w:p>
      <w:pPr>
        <w:pStyle w:val="33"/>
        <w:spacing w:before="156" w:beforeLines="50" w:after="156" w:afterLines="50" w:line="520" w:lineRule="exact"/>
        <w:rPr>
          <w:rFonts w:hint="eastAsia" w:ascii="Times New Roman" w:hAnsi="Times New Roman" w:cs="Times New Roman"/>
          <w:bCs w:val="0"/>
          <w:color w:val="auto"/>
          <w:kern w:val="2"/>
          <w:szCs w:val="32"/>
          <w:lang w:val="en-US" w:eastAsia="zh-CN"/>
        </w:rPr>
      </w:pPr>
      <w:bookmarkStart w:id="39" w:name="_Toc9204"/>
      <w:r>
        <w:rPr>
          <w:rFonts w:hint="eastAsia" w:ascii="Times New Roman" w:hAnsi="Times New Roman" w:cs="Times New Roman"/>
          <w:bCs w:val="0"/>
          <w:color w:val="auto"/>
          <w:kern w:val="2"/>
          <w:szCs w:val="32"/>
          <w:lang w:val="en-US" w:eastAsia="zh-CN"/>
        </w:rPr>
        <w:t>第二节 国土空间开发保护总体格局</w:t>
      </w:r>
      <w:bookmarkEnd w:id="39"/>
    </w:p>
    <w:p>
      <w:pPr>
        <w:numPr>
          <w:ilvl w:val="0"/>
          <w:numId w:val="0"/>
        </w:numPr>
        <w:snapToGrid w:val="0"/>
        <w:spacing w:line="480" w:lineRule="exact"/>
        <w:ind w:leftChars="200"/>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一、构建国土空间开发保护总体格局</w:t>
      </w:r>
    </w:p>
    <w:p>
      <w:pPr>
        <w:snapToGrid w:val="0"/>
        <w:spacing w:line="480" w:lineRule="exact"/>
        <w:ind w:firstLine="560"/>
        <w:rPr>
          <w:rFonts w:hint="eastAsia" w:ascii="Times New Roman" w:hAnsi="Times New Roman" w:eastAsia="仿宋_GB2312" w:cs="Times New Roman"/>
          <w:bCs/>
          <w:sz w:val="28"/>
          <w:szCs w:val="28"/>
          <w:lang w:val="en-US" w:eastAsia="zh-CN"/>
        </w:rPr>
      </w:pPr>
      <w:r>
        <w:rPr>
          <w:rFonts w:hint="eastAsia" w:ascii="Times New Roman" w:hAnsi="Times New Roman" w:eastAsia="仿宋_GB2312" w:cs="Times New Roman"/>
          <w:bCs/>
          <w:sz w:val="28"/>
          <w:szCs w:val="28"/>
          <w:lang w:val="en-US" w:eastAsia="zh-CN"/>
        </w:rPr>
        <w:t>落实上犹县战略部署，按照上位规划确定的国土空间开发总体格局，围绕平富乡国土空间保护开发的目标战略，构建“</w:t>
      </w:r>
      <w:r>
        <w:rPr>
          <w:rFonts w:hint="eastAsia" w:ascii="Times New Roman" w:hAnsi="Times New Roman" w:eastAsia="仿宋_GB2312" w:cs="Times New Roman"/>
          <w:b w:val="0"/>
          <w:bCs/>
          <w:sz w:val="28"/>
          <w:szCs w:val="28"/>
          <w:lang w:val="en-US" w:eastAsia="zh-CN"/>
        </w:rPr>
        <w:t>一主一辅</w:t>
      </w:r>
      <w:r>
        <w:rPr>
          <w:rFonts w:hint="default" w:ascii="Times New Roman" w:hAnsi="Times New Roman" w:eastAsia="仿宋_GB2312" w:cs="Times New Roman"/>
          <w:b w:val="0"/>
          <w:bCs/>
          <w:sz w:val="28"/>
          <w:szCs w:val="28"/>
          <w:lang w:val="en-US" w:eastAsia="zh-CN"/>
        </w:rPr>
        <w:t>一轴两区多廊多节点</w:t>
      </w:r>
      <w:r>
        <w:rPr>
          <w:rFonts w:hint="eastAsia" w:ascii="Times New Roman" w:hAnsi="Times New Roman" w:eastAsia="仿宋_GB2312" w:cs="Times New Roman"/>
          <w:bCs/>
          <w:sz w:val="28"/>
          <w:szCs w:val="28"/>
          <w:lang w:val="en-US" w:eastAsia="zh-CN"/>
        </w:rPr>
        <w:t>”的开发总体格局。</w:t>
      </w:r>
    </w:p>
    <w:p>
      <w:pPr>
        <w:snapToGrid w:val="0"/>
        <w:spacing w:line="480" w:lineRule="exact"/>
        <w:ind w:firstLine="560"/>
        <w:rPr>
          <w:rFonts w:hint="default" w:ascii="Times New Roman" w:hAnsi="Times New Roman" w:eastAsia="仿宋_GB2312" w:cs="Times New Roman"/>
          <w:b w:val="0"/>
          <w:bCs/>
          <w:sz w:val="28"/>
          <w:szCs w:val="28"/>
          <w:lang w:val="en-US" w:eastAsia="zh-CN"/>
        </w:rPr>
      </w:pPr>
      <w:bookmarkStart w:id="40" w:name="_Toc2174"/>
      <w:r>
        <w:rPr>
          <w:rFonts w:hint="eastAsia" w:ascii="Times New Roman" w:hAnsi="Times New Roman" w:eastAsia="仿宋_GB2312" w:cs="Times New Roman"/>
          <w:b w:val="0"/>
          <w:bCs/>
          <w:sz w:val="28"/>
          <w:szCs w:val="28"/>
          <w:lang w:val="en-US" w:eastAsia="zh-CN"/>
        </w:rPr>
        <w:t>“一主”</w:t>
      </w:r>
      <w:r>
        <w:rPr>
          <w:rFonts w:hint="default" w:ascii="Times New Roman" w:hAnsi="Times New Roman" w:eastAsia="仿宋_GB2312" w:cs="Times New Roman"/>
          <w:b w:val="0"/>
          <w:bCs/>
          <w:sz w:val="28"/>
          <w:szCs w:val="28"/>
          <w:lang w:val="en-US" w:eastAsia="zh-CN"/>
        </w:rPr>
        <w:t>是指集镇为综合服务核心，发展现代</w:t>
      </w:r>
      <w:r>
        <w:rPr>
          <w:rFonts w:hint="eastAsia" w:ascii="Times New Roman" w:hAnsi="Times New Roman" w:eastAsia="仿宋_GB2312" w:cs="Times New Roman"/>
          <w:b w:val="0"/>
          <w:bCs/>
          <w:sz w:val="28"/>
          <w:szCs w:val="28"/>
          <w:lang w:val="en-US" w:eastAsia="zh-CN"/>
        </w:rPr>
        <w:t>综合</w:t>
      </w:r>
      <w:r>
        <w:rPr>
          <w:rFonts w:hint="default" w:ascii="Times New Roman" w:hAnsi="Times New Roman" w:eastAsia="仿宋_GB2312" w:cs="Times New Roman"/>
          <w:b w:val="0"/>
          <w:bCs/>
          <w:sz w:val="28"/>
          <w:szCs w:val="28"/>
          <w:lang w:val="en-US" w:eastAsia="zh-CN"/>
        </w:rPr>
        <w:t>服务业</w:t>
      </w:r>
      <w:r>
        <w:rPr>
          <w:rFonts w:hint="eastAsia" w:ascii="Times New Roman" w:hAnsi="Times New Roman" w:eastAsia="仿宋_GB2312" w:cs="Times New Roman"/>
          <w:b w:val="0"/>
          <w:bCs/>
          <w:sz w:val="28"/>
          <w:szCs w:val="28"/>
          <w:lang w:val="en-US" w:eastAsia="zh-CN"/>
        </w:rPr>
        <w:t>。“一辅”</w:t>
      </w:r>
      <w:r>
        <w:rPr>
          <w:rFonts w:hint="default" w:ascii="Times New Roman" w:hAnsi="Times New Roman" w:eastAsia="仿宋_GB2312" w:cs="Times New Roman"/>
          <w:b w:val="0"/>
          <w:bCs/>
          <w:sz w:val="28"/>
          <w:szCs w:val="28"/>
          <w:lang w:val="en-US" w:eastAsia="zh-CN"/>
        </w:rPr>
        <w:t>是指上寨村，</w:t>
      </w:r>
      <w:r>
        <w:rPr>
          <w:rFonts w:hint="eastAsia" w:ascii="Times New Roman" w:hAnsi="Times New Roman" w:eastAsia="仿宋_GB2312" w:cs="Times New Roman"/>
          <w:b w:val="0"/>
          <w:bCs/>
          <w:sz w:val="28"/>
          <w:szCs w:val="28"/>
          <w:lang w:val="en-US" w:eastAsia="zh-CN"/>
        </w:rPr>
        <w:t>是</w:t>
      </w:r>
      <w:r>
        <w:rPr>
          <w:rFonts w:hint="default" w:ascii="Times New Roman" w:hAnsi="Times New Roman" w:eastAsia="仿宋_GB2312" w:cs="Times New Roman"/>
          <w:b w:val="0"/>
          <w:bCs/>
          <w:sz w:val="28"/>
          <w:szCs w:val="28"/>
          <w:lang w:val="en-US" w:eastAsia="zh-CN"/>
        </w:rPr>
        <w:t>服务乡域西部的中心村。</w:t>
      </w:r>
      <w:r>
        <w:rPr>
          <w:rFonts w:hint="eastAsia" w:ascii="Times New Roman" w:hAnsi="Times New Roman" w:eastAsia="仿宋_GB2312" w:cs="Times New Roman"/>
          <w:b w:val="0"/>
          <w:bCs/>
          <w:sz w:val="28"/>
          <w:szCs w:val="28"/>
          <w:lang w:val="en-US" w:eastAsia="zh-CN"/>
        </w:rPr>
        <w:t>“</w:t>
      </w:r>
      <w:r>
        <w:rPr>
          <w:rFonts w:hint="default" w:ascii="Times New Roman" w:hAnsi="Times New Roman" w:eastAsia="仿宋_GB2312" w:cs="Times New Roman"/>
          <w:b w:val="0"/>
          <w:bCs/>
          <w:sz w:val="28"/>
          <w:szCs w:val="28"/>
          <w:lang w:val="en-US" w:eastAsia="zh-CN"/>
        </w:rPr>
        <w:t>一轴</w:t>
      </w:r>
      <w:r>
        <w:rPr>
          <w:rFonts w:hint="eastAsia" w:ascii="Times New Roman" w:hAnsi="Times New Roman" w:eastAsia="仿宋_GB2312" w:cs="Times New Roman"/>
          <w:b w:val="0"/>
          <w:bCs/>
          <w:sz w:val="28"/>
          <w:szCs w:val="28"/>
          <w:lang w:val="en-US" w:eastAsia="zh-CN"/>
        </w:rPr>
        <w:t>”</w:t>
      </w:r>
      <w:r>
        <w:rPr>
          <w:rFonts w:hint="default" w:ascii="Times New Roman" w:hAnsi="Times New Roman" w:eastAsia="仿宋_GB2312" w:cs="Times New Roman"/>
          <w:b w:val="0"/>
          <w:bCs/>
          <w:sz w:val="28"/>
          <w:szCs w:val="28"/>
          <w:lang w:val="en-US" w:eastAsia="zh-CN"/>
        </w:rPr>
        <w:t>是指沿G220形成的乡村发展主轴。</w:t>
      </w:r>
      <w:r>
        <w:rPr>
          <w:rFonts w:hint="eastAsia" w:ascii="Times New Roman" w:hAnsi="Times New Roman" w:eastAsia="仿宋_GB2312" w:cs="Times New Roman"/>
          <w:b w:val="0"/>
          <w:bCs/>
          <w:sz w:val="28"/>
          <w:szCs w:val="28"/>
          <w:lang w:val="en-US" w:eastAsia="zh-CN"/>
        </w:rPr>
        <w:t>“</w:t>
      </w:r>
      <w:r>
        <w:rPr>
          <w:rFonts w:hint="default" w:ascii="Times New Roman" w:hAnsi="Times New Roman" w:eastAsia="仿宋_GB2312" w:cs="Times New Roman"/>
          <w:b w:val="0"/>
          <w:bCs/>
          <w:sz w:val="28"/>
          <w:szCs w:val="28"/>
          <w:lang w:val="en-US" w:eastAsia="zh-CN"/>
        </w:rPr>
        <w:t>两区</w:t>
      </w:r>
      <w:r>
        <w:rPr>
          <w:rFonts w:hint="eastAsia" w:ascii="Times New Roman" w:hAnsi="Times New Roman" w:eastAsia="仿宋_GB2312" w:cs="Times New Roman"/>
          <w:b w:val="0"/>
          <w:bCs/>
          <w:sz w:val="28"/>
          <w:szCs w:val="28"/>
          <w:lang w:val="en-US" w:eastAsia="zh-CN"/>
        </w:rPr>
        <w:t>”</w:t>
      </w:r>
      <w:r>
        <w:rPr>
          <w:rFonts w:hint="default" w:ascii="Times New Roman" w:hAnsi="Times New Roman" w:eastAsia="仿宋_GB2312" w:cs="Times New Roman"/>
          <w:b w:val="0"/>
          <w:bCs/>
          <w:sz w:val="28"/>
          <w:szCs w:val="28"/>
          <w:lang w:val="en-US" w:eastAsia="zh-CN"/>
        </w:rPr>
        <w:t>指北部的农旅融合发展区、南部的特色农业发展区。</w:t>
      </w:r>
      <w:r>
        <w:rPr>
          <w:rFonts w:hint="eastAsia" w:ascii="Times New Roman" w:hAnsi="Times New Roman" w:eastAsia="仿宋_GB2312" w:cs="Times New Roman"/>
          <w:b w:val="0"/>
          <w:bCs/>
          <w:sz w:val="28"/>
          <w:szCs w:val="28"/>
          <w:lang w:val="en-US" w:eastAsia="zh-CN"/>
        </w:rPr>
        <w:t>“</w:t>
      </w:r>
      <w:r>
        <w:rPr>
          <w:rFonts w:hint="default" w:ascii="Times New Roman" w:hAnsi="Times New Roman" w:eastAsia="仿宋_GB2312" w:cs="Times New Roman"/>
          <w:b w:val="0"/>
          <w:bCs/>
          <w:sz w:val="28"/>
          <w:szCs w:val="28"/>
          <w:lang w:val="en-US" w:eastAsia="zh-CN"/>
        </w:rPr>
        <w:t>多廊</w:t>
      </w:r>
      <w:r>
        <w:rPr>
          <w:rFonts w:hint="eastAsia" w:ascii="Times New Roman" w:hAnsi="Times New Roman" w:eastAsia="仿宋_GB2312" w:cs="Times New Roman"/>
          <w:b w:val="0"/>
          <w:bCs/>
          <w:sz w:val="28"/>
          <w:szCs w:val="28"/>
          <w:lang w:val="en-US" w:eastAsia="zh-CN"/>
        </w:rPr>
        <w:t>”</w:t>
      </w:r>
      <w:r>
        <w:rPr>
          <w:rFonts w:hint="default" w:ascii="Times New Roman" w:hAnsi="Times New Roman" w:eastAsia="仿宋_GB2312" w:cs="Times New Roman"/>
          <w:b w:val="0"/>
          <w:bCs/>
          <w:sz w:val="28"/>
          <w:szCs w:val="28"/>
          <w:lang w:val="en-US" w:eastAsia="zh-CN"/>
        </w:rPr>
        <w:t>是</w:t>
      </w:r>
      <w:r>
        <w:rPr>
          <w:rFonts w:hint="eastAsia" w:ascii="Times New Roman" w:hAnsi="Times New Roman" w:eastAsia="仿宋_GB2312" w:cs="Times New Roman"/>
          <w:b w:val="0"/>
          <w:bCs/>
          <w:sz w:val="28"/>
          <w:szCs w:val="28"/>
          <w:lang w:val="en-US" w:eastAsia="zh-CN"/>
        </w:rPr>
        <w:t>营前河</w:t>
      </w:r>
      <w:r>
        <w:rPr>
          <w:rFonts w:hint="default" w:ascii="Times New Roman" w:hAnsi="Times New Roman" w:eastAsia="仿宋_GB2312" w:cs="Times New Roman"/>
          <w:b w:val="0"/>
          <w:bCs/>
          <w:sz w:val="28"/>
          <w:szCs w:val="28"/>
          <w:lang w:val="en-US" w:eastAsia="zh-CN"/>
        </w:rPr>
        <w:t>及支流形成的水系生态廊。</w:t>
      </w:r>
      <w:r>
        <w:rPr>
          <w:rFonts w:hint="eastAsia" w:ascii="Times New Roman" w:hAnsi="Times New Roman" w:eastAsia="仿宋_GB2312" w:cs="Times New Roman"/>
          <w:b w:val="0"/>
          <w:bCs/>
          <w:sz w:val="28"/>
          <w:szCs w:val="28"/>
          <w:lang w:val="en-US" w:eastAsia="zh-CN"/>
        </w:rPr>
        <w:t>“</w:t>
      </w:r>
      <w:r>
        <w:rPr>
          <w:rFonts w:hint="default" w:ascii="Times New Roman" w:hAnsi="Times New Roman" w:eastAsia="仿宋_GB2312" w:cs="Times New Roman"/>
          <w:b w:val="0"/>
          <w:bCs/>
          <w:sz w:val="28"/>
          <w:szCs w:val="28"/>
          <w:lang w:val="en-US" w:eastAsia="zh-CN"/>
        </w:rPr>
        <w:t>多节点</w:t>
      </w:r>
      <w:r>
        <w:rPr>
          <w:rFonts w:hint="eastAsia" w:ascii="Times New Roman" w:hAnsi="Times New Roman" w:eastAsia="仿宋_GB2312" w:cs="Times New Roman"/>
          <w:b w:val="0"/>
          <w:bCs/>
          <w:sz w:val="28"/>
          <w:szCs w:val="28"/>
          <w:lang w:val="en-US" w:eastAsia="zh-CN"/>
        </w:rPr>
        <w:t>”</w:t>
      </w:r>
      <w:r>
        <w:rPr>
          <w:rFonts w:hint="default" w:ascii="Times New Roman" w:hAnsi="Times New Roman" w:eastAsia="仿宋_GB2312" w:cs="Times New Roman"/>
          <w:b w:val="0"/>
          <w:bCs/>
          <w:sz w:val="28"/>
          <w:szCs w:val="28"/>
          <w:lang w:val="en-US" w:eastAsia="zh-CN"/>
        </w:rPr>
        <w:t>主要是指自然山体形成的生态核及节点，重点保护生态环境。</w:t>
      </w:r>
    </w:p>
    <w:p>
      <w:pPr>
        <w:pStyle w:val="33"/>
        <w:spacing w:before="156" w:beforeLines="50" w:after="156" w:afterLines="50" w:line="520" w:lineRule="exact"/>
        <w:rPr>
          <w:rFonts w:hint="default" w:ascii="Times New Roman" w:hAnsi="Times New Roman" w:cs="Times New Roman"/>
          <w:bCs w:val="0"/>
          <w:color w:val="auto"/>
          <w:kern w:val="2"/>
          <w:szCs w:val="32"/>
          <w:lang w:val="en-US" w:eastAsia="zh-CN"/>
        </w:rPr>
      </w:pPr>
      <w:r>
        <w:rPr>
          <w:rFonts w:hint="eastAsia" w:ascii="Times New Roman" w:hAnsi="Times New Roman" w:cs="Times New Roman"/>
          <w:bCs w:val="0"/>
          <w:color w:val="auto"/>
          <w:kern w:val="2"/>
          <w:szCs w:val="32"/>
          <w:lang w:val="en-US" w:eastAsia="zh-CN"/>
        </w:rPr>
        <w:t>第三节 国土空间规划分区</w:t>
      </w:r>
      <w:bookmarkEnd w:id="40"/>
    </w:p>
    <w:p>
      <w:pPr>
        <w:snapToGrid w:val="0"/>
        <w:spacing w:line="480" w:lineRule="exact"/>
        <w:ind w:firstLine="562"/>
        <w:rPr>
          <w:rFonts w:hint="default"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一、划定结果</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遵循全覆盖、不重叠的基本原则，基于平富乡“三调”“双评价”等结果，综合《上犹县国土空间总体规划（2021-2035年）》以及各类空间要素及用地布局，确定国土空间规划分区结果如下。</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p>
    <w:p>
      <w:pPr>
        <w:snapToGrid w:val="0"/>
        <w:spacing w:line="480" w:lineRule="exact"/>
        <w:ind w:firstLine="560"/>
        <w:rPr>
          <w:rFonts w:hint="default" w:ascii="Times New Roman" w:hAnsi="Times New Roman" w:eastAsia="仿宋_GB2312" w:cs="Times New Roman"/>
          <w:bCs/>
          <w:color w:val="auto"/>
          <w:sz w:val="28"/>
          <w:szCs w:val="28"/>
          <w:lang w:val="en-US" w:eastAsia="zh-CN"/>
        </w:rPr>
      </w:pPr>
    </w:p>
    <w:p>
      <w:pPr>
        <w:pStyle w:val="30"/>
        <w:spacing w:before="62" w:beforeLines="20" w:after="62" w:afterLines="20"/>
        <w:rPr>
          <w:rFonts w:hint="eastAsia" w:ascii="Times New Roman" w:hAnsi="Times New Roman" w:eastAsia="仿宋_GB2312"/>
          <w:color w:val="auto"/>
          <w:highlight w:val="none"/>
        </w:rPr>
      </w:pPr>
      <w:r>
        <w:rPr>
          <w:rFonts w:hint="eastAsia" w:ascii="Times New Roman" w:hAnsi="Times New Roman" w:eastAsia="仿宋_GB2312"/>
          <w:color w:val="auto"/>
          <w:highlight w:val="none"/>
        </w:rPr>
        <w:t>表4-4 国土空间规划分区统计表</w:t>
      </w:r>
    </w:p>
    <w:p>
      <w:pPr>
        <w:pStyle w:val="26"/>
        <w:spacing w:line="480" w:lineRule="exact"/>
        <w:ind w:firstLine="482"/>
        <w:jc w:val="right"/>
        <w:rPr>
          <w:rFonts w:hint="default" w:ascii="Times New Roman" w:hAnsi="Times New Roman" w:eastAsia="仿宋_GB2312" w:cs="Times New Roman"/>
          <w:bCs/>
          <w:color w:val="auto"/>
          <w:kern w:val="0"/>
          <w:sz w:val="21"/>
          <w:szCs w:val="24"/>
          <w:highlight w:val="none"/>
          <w:lang w:val="en-US" w:eastAsia="zh-CN" w:bidi="en-US"/>
        </w:rPr>
      </w:pPr>
      <w:r>
        <w:rPr>
          <w:rFonts w:hint="default" w:ascii="Times New Roman" w:hAnsi="Times New Roman" w:eastAsia="仿宋_GB2312" w:cs="Times New Roman"/>
          <w:bCs/>
          <w:color w:val="auto"/>
          <w:kern w:val="0"/>
          <w:sz w:val="21"/>
          <w:szCs w:val="24"/>
          <w:highlight w:val="none"/>
          <w:lang w:val="en-US" w:eastAsia="zh-CN" w:bidi="en-US"/>
        </w:rPr>
        <w:t>单位：公顷、%</w:t>
      </w:r>
    </w:p>
    <w:tbl>
      <w:tblPr>
        <w:tblStyle w:val="19"/>
        <w:tblW w:w="49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703"/>
        <w:gridCol w:w="2423"/>
        <w:gridCol w:w="2171"/>
        <w:gridCol w:w="2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64" w:hRule="atLeast"/>
          <w:jc w:val="center"/>
        </w:trPr>
        <w:tc>
          <w:tcPr>
            <w:tcW w:w="1012" w:type="pct"/>
            <w:shd w:val="clear" w:color="auto" w:fill="auto"/>
            <w:noWrap/>
            <w:vAlign w:val="center"/>
          </w:tcPr>
          <w:p>
            <w:pPr>
              <w:pStyle w:val="31"/>
              <w:rPr>
                <w:rFonts w:hint="eastAsia" w:ascii="Times New Roman" w:hAnsi="Times New Roman" w:eastAsia="仿宋_GB2312"/>
                <w:b/>
                <w:bCs w:val="0"/>
                <w:color w:val="auto"/>
                <w:highlight w:val="none"/>
                <w:lang w:val="en-US" w:eastAsia="zh-CN" w:bidi="ar"/>
              </w:rPr>
            </w:pPr>
            <w:r>
              <w:rPr>
                <w:rFonts w:hint="eastAsia" w:ascii="Times New Roman" w:hAnsi="Times New Roman" w:eastAsia="仿宋_GB2312"/>
                <w:b/>
                <w:bCs w:val="0"/>
                <w:color w:val="auto"/>
                <w:highlight w:val="none"/>
                <w:lang w:val="en-US" w:eastAsia="zh-CN" w:bidi="ar"/>
              </w:rPr>
              <w:t>一级规划分区</w:t>
            </w:r>
          </w:p>
        </w:tc>
        <w:tc>
          <w:tcPr>
            <w:tcW w:w="1440" w:type="pct"/>
            <w:shd w:val="clear" w:color="auto" w:fill="auto"/>
            <w:noWrap/>
            <w:vAlign w:val="center"/>
          </w:tcPr>
          <w:p>
            <w:pPr>
              <w:pStyle w:val="31"/>
              <w:rPr>
                <w:rFonts w:hint="eastAsia" w:ascii="Times New Roman" w:hAnsi="Times New Roman" w:eastAsia="仿宋_GB2312"/>
                <w:b/>
                <w:bCs w:val="0"/>
                <w:color w:val="auto"/>
                <w:highlight w:val="none"/>
                <w:lang w:val="en-US" w:eastAsia="zh-CN" w:bidi="ar"/>
              </w:rPr>
            </w:pPr>
            <w:r>
              <w:rPr>
                <w:rFonts w:hint="eastAsia" w:ascii="Times New Roman" w:hAnsi="Times New Roman" w:eastAsia="仿宋_GB2312"/>
                <w:b/>
                <w:bCs w:val="0"/>
                <w:color w:val="auto"/>
                <w:highlight w:val="none"/>
                <w:lang w:val="en-US" w:eastAsia="zh-CN" w:bidi="ar"/>
              </w:rPr>
              <w:t>二级规划分区</w:t>
            </w:r>
          </w:p>
        </w:tc>
        <w:tc>
          <w:tcPr>
            <w:tcW w:w="1289" w:type="pct"/>
            <w:shd w:val="clear" w:color="auto" w:fill="auto"/>
            <w:noWrap/>
            <w:vAlign w:val="center"/>
          </w:tcPr>
          <w:p>
            <w:pPr>
              <w:pStyle w:val="31"/>
              <w:rPr>
                <w:rFonts w:hint="eastAsia" w:ascii="Times New Roman" w:hAnsi="Times New Roman" w:eastAsia="仿宋_GB2312"/>
                <w:b/>
                <w:bCs w:val="0"/>
                <w:color w:val="auto"/>
                <w:highlight w:val="none"/>
                <w:lang w:val="en-US" w:eastAsia="zh-CN" w:bidi="ar"/>
              </w:rPr>
            </w:pPr>
            <w:r>
              <w:rPr>
                <w:rFonts w:hint="eastAsia" w:ascii="Times New Roman" w:hAnsi="Times New Roman" w:eastAsia="仿宋_GB2312"/>
                <w:b/>
                <w:bCs w:val="0"/>
                <w:color w:val="auto"/>
                <w:highlight w:val="none"/>
                <w:lang w:val="en-US" w:eastAsia="zh-CN" w:bidi="ar"/>
              </w:rPr>
              <w:t>面积</w:t>
            </w:r>
          </w:p>
        </w:tc>
        <w:tc>
          <w:tcPr>
            <w:tcW w:w="1257" w:type="pct"/>
            <w:shd w:val="clear" w:color="auto" w:fill="auto"/>
            <w:noWrap/>
            <w:vAlign w:val="center"/>
          </w:tcPr>
          <w:p>
            <w:pPr>
              <w:pStyle w:val="31"/>
              <w:rPr>
                <w:rFonts w:hint="eastAsia" w:ascii="Times New Roman" w:hAnsi="Times New Roman" w:eastAsia="仿宋_GB2312"/>
                <w:b/>
                <w:bCs w:val="0"/>
                <w:color w:val="auto"/>
                <w:highlight w:val="none"/>
                <w:lang w:val="en-US" w:eastAsia="zh-CN" w:bidi="ar"/>
              </w:rPr>
            </w:pPr>
            <w:r>
              <w:rPr>
                <w:rFonts w:hint="eastAsia" w:ascii="Times New Roman" w:hAnsi="Times New Roman" w:eastAsia="仿宋_GB2312"/>
                <w:b/>
                <w:bCs w:val="0"/>
                <w:color w:val="auto"/>
                <w:highlight w:val="none"/>
                <w:lang w:val="en-US" w:eastAsia="zh-CN" w:bidi="ar"/>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2" w:hRule="atLeast"/>
          <w:jc w:val="center"/>
        </w:trPr>
        <w:tc>
          <w:tcPr>
            <w:tcW w:w="1012" w:type="pct"/>
            <w:shd w:val="clear" w:color="auto" w:fill="auto"/>
            <w:vAlign w:val="center"/>
          </w:tcPr>
          <w:p>
            <w:pPr>
              <w:pStyle w:val="31"/>
              <w:rPr>
                <w:rFonts w:hint="eastAsia" w:ascii="Times New Roman" w:hAnsi="Times New Roman" w:eastAsia="仿宋_GB2312" w:cs="Times New Roman"/>
                <w:b w:val="0"/>
                <w:bCs/>
                <w:color w:val="auto"/>
                <w:highlight w:val="none"/>
                <w:lang w:val="en-US" w:eastAsia="zh-CN" w:bidi="ar"/>
              </w:rPr>
            </w:pPr>
            <w:r>
              <w:rPr>
                <w:rFonts w:hint="eastAsia" w:ascii="Times New Roman" w:hAnsi="Times New Roman" w:eastAsia="仿宋_GB2312" w:cs="Times New Roman"/>
                <w:b w:val="0"/>
                <w:bCs/>
                <w:color w:val="auto"/>
                <w:highlight w:val="none"/>
                <w:lang w:val="en-US" w:eastAsia="zh-CN" w:bidi="ar"/>
              </w:rPr>
              <w:t>生态保护区</w:t>
            </w:r>
          </w:p>
        </w:tc>
        <w:tc>
          <w:tcPr>
            <w:tcW w:w="1440" w:type="pct"/>
            <w:shd w:val="clear" w:color="auto" w:fill="auto"/>
            <w:noWrap/>
            <w:vAlign w:val="center"/>
          </w:tcPr>
          <w:p>
            <w:pPr>
              <w:pStyle w:val="31"/>
              <w:ind w:firstLine="0" w:firstLineChars="0"/>
              <w:rPr>
                <w:rFonts w:hint="eastAsia" w:ascii="Times New Roman" w:hAnsi="Times New Roman" w:eastAsia="仿宋_GB2312" w:cs="Times New Roman"/>
                <w:b w:val="0"/>
                <w:bCs/>
                <w:color w:val="auto"/>
                <w:highlight w:val="none"/>
                <w:lang w:val="en-US" w:eastAsia="zh-CN" w:bidi="ar"/>
              </w:rPr>
            </w:pPr>
            <w:r>
              <w:rPr>
                <w:rFonts w:hint="eastAsia" w:ascii="Times New Roman" w:hAnsi="Times New Roman" w:eastAsia="仿宋_GB2312" w:cs="Times New Roman"/>
                <w:b w:val="0"/>
                <w:bCs/>
                <w:color w:val="auto"/>
                <w:highlight w:val="none"/>
                <w:lang w:val="en-US" w:eastAsia="zh-CN" w:bidi="ar"/>
              </w:rPr>
              <w:t>其他保护红线区</w:t>
            </w:r>
          </w:p>
        </w:tc>
        <w:tc>
          <w:tcPr>
            <w:tcW w:w="1289" w:type="pct"/>
            <w:shd w:val="clear" w:color="auto" w:fill="auto"/>
            <w:noWrap/>
            <w:vAlign w:val="bottom"/>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2820.15</w:t>
            </w:r>
          </w:p>
        </w:tc>
        <w:tc>
          <w:tcPr>
            <w:tcW w:w="1257" w:type="pct"/>
            <w:shd w:val="clear" w:color="auto" w:fill="auto"/>
            <w:noWrap/>
            <w:vAlign w:val="bottom"/>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32.19%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2" w:hRule="atLeast"/>
          <w:jc w:val="center"/>
        </w:trPr>
        <w:tc>
          <w:tcPr>
            <w:tcW w:w="1012" w:type="pct"/>
            <w:shd w:val="clear" w:color="auto" w:fill="auto"/>
            <w:vAlign w:val="center"/>
          </w:tcPr>
          <w:p>
            <w:pPr>
              <w:pStyle w:val="31"/>
              <w:rPr>
                <w:rFonts w:hint="eastAsia" w:ascii="Times New Roman" w:hAnsi="Times New Roman" w:eastAsia="仿宋_GB2312" w:cs="Times New Roman"/>
                <w:b w:val="0"/>
                <w:bCs/>
                <w:color w:val="auto"/>
                <w:highlight w:val="none"/>
                <w:lang w:val="en-US" w:eastAsia="zh-CN" w:bidi="ar"/>
              </w:rPr>
            </w:pPr>
            <w:r>
              <w:rPr>
                <w:rFonts w:hint="eastAsia" w:ascii="Times New Roman" w:hAnsi="Times New Roman" w:eastAsia="仿宋_GB2312" w:cs="Times New Roman"/>
                <w:b w:val="0"/>
                <w:bCs/>
                <w:color w:val="auto"/>
                <w:highlight w:val="none"/>
                <w:lang w:val="en-US" w:eastAsia="zh-CN" w:bidi="ar"/>
              </w:rPr>
              <w:t>生态控制区</w:t>
            </w:r>
          </w:p>
        </w:tc>
        <w:tc>
          <w:tcPr>
            <w:tcW w:w="1440" w:type="pct"/>
            <w:shd w:val="clear" w:color="auto" w:fill="auto"/>
            <w:noWrap/>
            <w:vAlign w:val="center"/>
          </w:tcPr>
          <w:p>
            <w:pPr>
              <w:pStyle w:val="31"/>
              <w:rPr>
                <w:rFonts w:hint="eastAsia" w:ascii="Times New Roman" w:hAnsi="Times New Roman" w:eastAsia="仿宋_GB2312" w:cs="Times New Roman"/>
                <w:b w:val="0"/>
                <w:bCs/>
                <w:color w:val="auto"/>
                <w:highlight w:val="none"/>
                <w:lang w:val="en-US" w:eastAsia="zh-CN" w:bidi="ar"/>
              </w:rPr>
            </w:pPr>
            <w:r>
              <w:rPr>
                <w:rFonts w:hint="eastAsia" w:ascii="Times New Roman" w:hAnsi="Times New Roman" w:eastAsia="仿宋_GB2312" w:cs="Times New Roman"/>
                <w:b w:val="0"/>
                <w:bCs/>
                <w:color w:val="auto"/>
                <w:highlight w:val="none"/>
                <w:lang w:val="en-US" w:eastAsia="zh-CN" w:bidi="ar"/>
              </w:rPr>
              <w:t>生态控制区</w:t>
            </w:r>
          </w:p>
        </w:tc>
        <w:tc>
          <w:tcPr>
            <w:tcW w:w="2170" w:type="dxa"/>
            <w:shd w:val="clear" w:color="auto" w:fill="auto"/>
            <w:noWrap/>
            <w:vAlign w:val="bottom"/>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 xml:space="preserve">54.85 </w:t>
            </w:r>
          </w:p>
        </w:tc>
        <w:tc>
          <w:tcPr>
            <w:tcW w:w="2117" w:type="dxa"/>
            <w:shd w:val="clear" w:color="auto" w:fill="auto"/>
            <w:noWrap/>
            <w:vAlign w:val="bottom"/>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2" w:hRule="atLeast"/>
          <w:jc w:val="center"/>
        </w:trPr>
        <w:tc>
          <w:tcPr>
            <w:tcW w:w="1012" w:type="pct"/>
            <w:shd w:val="clear" w:color="auto" w:fill="auto"/>
            <w:vAlign w:val="center"/>
          </w:tcPr>
          <w:p>
            <w:pPr>
              <w:pStyle w:val="31"/>
              <w:rPr>
                <w:rFonts w:hint="eastAsia" w:ascii="Times New Roman" w:hAnsi="Times New Roman" w:eastAsia="仿宋_GB2312" w:cs="Times New Roman"/>
                <w:b w:val="0"/>
                <w:bCs/>
                <w:color w:val="auto"/>
                <w:highlight w:val="none"/>
                <w:lang w:val="en-US" w:eastAsia="zh-CN" w:bidi="ar"/>
              </w:rPr>
            </w:pPr>
            <w:r>
              <w:rPr>
                <w:rFonts w:hint="eastAsia" w:ascii="Times New Roman" w:hAnsi="Times New Roman" w:eastAsia="仿宋_GB2312" w:cs="Times New Roman"/>
                <w:b w:val="0"/>
                <w:bCs/>
                <w:color w:val="auto"/>
                <w:highlight w:val="none"/>
                <w:lang w:val="en-US" w:eastAsia="zh-CN" w:bidi="ar"/>
              </w:rPr>
              <w:t>农田保护区</w:t>
            </w:r>
          </w:p>
        </w:tc>
        <w:tc>
          <w:tcPr>
            <w:tcW w:w="1440" w:type="pct"/>
            <w:shd w:val="clear" w:color="auto" w:fill="auto"/>
            <w:noWrap/>
            <w:vAlign w:val="center"/>
          </w:tcPr>
          <w:p>
            <w:pPr>
              <w:pStyle w:val="31"/>
              <w:rPr>
                <w:rFonts w:hint="eastAsia" w:ascii="Times New Roman" w:hAnsi="Times New Roman" w:eastAsia="仿宋_GB2312" w:cs="Times New Roman"/>
                <w:b w:val="0"/>
                <w:bCs/>
                <w:color w:val="auto"/>
                <w:highlight w:val="none"/>
                <w:lang w:val="en-US" w:eastAsia="zh-CN" w:bidi="ar"/>
              </w:rPr>
            </w:pPr>
            <w:r>
              <w:rPr>
                <w:rFonts w:hint="eastAsia" w:ascii="Times New Roman" w:hAnsi="Times New Roman" w:eastAsia="仿宋_GB2312" w:cs="Times New Roman"/>
                <w:b w:val="0"/>
                <w:bCs/>
                <w:color w:val="auto"/>
                <w:highlight w:val="none"/>
                <w:lang w:val="en-US" w:eastAsia="zh-CN" w:bidi="ar"/>
              </w:rPr>
              <w:t>农田保护区</w:t>
            </w:r>
          </w:p>
        </w:tc>
        <w:tc>
          <w:tcPr>
            <w:tcW w:w="1289" w:type="pct"/>
            <w:shd w:val="clear" w:color="auto" w:fill="auto"/>
            <w:noWrap/>
            <w:vAlign w:val="bottom"/>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349.35</w:t>
            </w:r>
          </w:p>
        </w:tc>
        <w:tc>
          <w:tcPr>
            <w:tcW w:w="1257" w:type="pct"/>
            <w:shd w:val="clear" w:color="auto" w:fill="auto"/>
            <w:noWrap/>
            <w:vAlign w:val="bottom"/>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2" w:hRule="atLeast"/>
          <w:jc w:val="center"/>
        </w:trPr>
        <w:tc>
          <w:tcPr>
            <w:tcW w:w="1012" w:type="pct"/>
            <w:shd w:val="clear" w:color="auto" w:fill="auto"/>
            <w:vAlign w:val="center"/>
          </w:tcPr>
          <w:p>
            <w:pPr>
              <w:pStyle w:val="31"/>
              <w:rPr>
                <w:rFonts w:hint="eastAsia" w:ascii="Times New Roman" w:hAnsi="Times New Roman" w:eastAsia="仿宋_GB2312" w:cs="Times New Roman"/>
                <w:b w:val="0"/>
                <w:bCs/>
                <w:color w:val="auto"/>
                <w:highlight w:val="none"/>
                <w:lang w:val="en-US" w:eastAsia="zh-CN" w:bidi="ar"/>
              </w:rPr>
            </w:pPr>
            <w:r>
              <w:rPr>
                <w:rFonts w:hint="eastAsia" w:ascii="Times New Roman" w:hAnsi="Times New Roman" w:eastAsia="仿宋_GB2312" w:cs="Times New Roman"/>
                <w:b w:val="0"/>
                <w:bCs/>
                <w:color w:val="auto"/>
                <w:highlight w:val="none"/>
                <w:lang w:val="en-US" w:eastAsia="zh-CN" w:bidi="ar"/>
              </w:rPr>
              <w:t>城镇发展区</w:t>
            </w:r>
          </w:p>
        </w:tc>
        <w:tc>
          <w:tcPr>
            <w:tcW w:w="1440" w:type="pct"/>
            <w:shd w:val="clear" w:color="auto" w:fill="auto"/>
            <w:vAlign w:val="center"/>
          </w:tcPr>
          <w:p>
            <w:pPr>
              <w:pStyle w:val="31"/>
              <w:rPr>
                <w:rFonts w:hint="eastAsia" w:ascii="Times New Roman" w:hAnsi="Times New Roman" w:eastAsia="仿宋_GB2312" w:cs="Times New Roman"/>
                <w:b w:val="0"/>
                <w:bCs/>
                <w:color w:val="auto"/>
                <w:highlight w:val="none"/>
                <w:lang w:val="en-US" w:eastAsia="zh-CN" w:bidi="ar"/>
              </w:rPr>
            </w:pPr>
            <w:r>
              <w:rPr>
                <w:rFonts w:hint="eastAsia" w:ascii="Times New Roman" w:hAnsi="Times New Roman" w:eastAsia="仿宋_GB2312" w:cs="Times New Roman"/>
                <w:b w:val="0"/>
                <w:bCs/>
                <w:color w:val="auto"/>
                <w:highlight w:val="none"/>
                <w:lang w:val="en-US" w:eastAsia="zh-CN" w:bidi="ar"/>
              </w:rPr>
              <w:t>城镇集中建设区</w:t>
            </w:r>
          </w:p>
        </w:tc>
        <w:tc>
          <w:tcPr>
            <w:tcW w:w="1289" w:type="pct"/>
            <w:shd w:val="clear" w:color="auto" w:fill="auto"/>
            <w:noWrap/>
            <w:vAlign w:val="bottom"/>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37.91</w:t>
            </w:r>
          </w:p>
        </w:tc>
        <w:tc>
          <w:tcPr>
            <w:tcW w:w="1257" w:type="pct"/>
            <w:shd w:val="clear" w:color="auto" w:fill="auto"/>
            <w:noWrap/>
            <w:vAlign w:val="bottom"/>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2" w:hRule="atLeast"/>
          <w:jc w:val="center"/>
        </w:trPr>
        <w:tc>
          <w:tcPr>
            <w:tcW w:w="1012" w:type="pct"/>
            <w:vMerge w:val="restart"/>
            <w:shd w:val="clear" w:color="auto" w:fill="auto"/>
            <w:vAlign w:val="center"/>
          </w:tcPr>
          <w:p>
            <w:pPr>
              <w:pStyle w:val="31"/>
              <w:rPr>
                <w:rFonts w:hint="eastAsia" w:ascii="Times New Roman" w:hAnsi="Times New Roman" w:eastAsia="仿宋_GB2312" w:cs="Times New Roman"/>
                <w:b w:val="0"/>
                <w:bCs/>
                <w:color w:val="auto"/>
                <w:highlight w:val="none"/>
                <w:lang w:val="en-US" w:eastAsia="zh-CN" w:bidi="ar"/>
              </w:rPr>
            </w:pPr>
            <w:r>
              <w:rPr>
                <w:rFonts w:hint="eastAsia" w:ascii="Times New Roman" w:hAnsi="Times New Roman" w:eastAsia="仿宋_GB2312" w:cs="Times New Roman"/>
                <w:b w:val="0"/>
                <w:bCs/>
                <w:color w:val="auto"/>
                <w:highlight w:val="none"/>
                <w:lang w:val="en-US" w:eastAsia="zh-CN" w:bidi="ar"/>
              </w:rPr>
              <w:t>乡村发展区</w:t>
            </w:r>
          </w:p>
        </w:tc>
        <w:tc>
          <w:tcPr>
            <w:tcW w:w="1440" w:type="pct"/>
            <w:shd w:val="clear" w:color="auto" w:fill="auto"/>
            <w:noWrap/>
            <w:vAlign w:val="center"/>
          </w:tcPr>
          <w:p>
            <w:pPr>
              <w:pStyle w:val="31"/>
              <w:rPr>
                <w:rFonts w:hint="eastAsia" w:ascii="Times New Roman" w:hAnsi="Times New Roman" w:eastAsia="仿宋_GB2312" w:cs="Times New Roman"/>
                <w:b w:val="0"/>
                <w:bCs/>
                <w:color w:val="auto"/>
                <w:highlight w:val="none"/>
                <w:lang w:val="en-US" w:eastAsia="zh-CN" w:bidi="ar"/>
              </w:rPr>
            </w:pPr>
            <w:r>
              <w:rPr>
                <w:rFonts w:hint="eastAsia" w:ascii="Times New Roman" w:hAnsi="Times New Roman" w:eastAsia="仿宋_GB2312" w:cs="Times New Roman"/>
                <w:b w:val="0"/>
                <w:bCs/>
                <w:color w:val="auto"/>
                <w:highlight w:val="none"/>
                <w:lang w:val="en-US" w:eastAsia="zh-CN" w:bidi="ar"/>
              </w:rPr>
              <w:t>村庄建设区</w:t>
            </w:r>
          </w:p>
        </w:tc>
        <w:tc>
          <w:tcPr>
            <w:tcW w:w="2170" w:type="dxa"/>
            <w:shd w:val="clear" w:color="auto" w:fill="auto"/>
            <w:noWrap/>
            <w:vAlign w:val="bottom"/>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 xml:space="preserve">136.09 </w:t>
            </w:r>
          </w:p>
        </w:tc>
        <w:tc>
          <w:tcPr>
            <w:tcW w:w="2117" w:type="dxa"/>
            <w:shd w:val="clear" w:color="auto" w:fill="auto"/>
            <w:noWrap/>
            <w:vAlign w:val="bottom"/>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2" w:hRule="atLeast"/>
          <w:jc w:val="center"/>
        </w:trPr>
        <w:tc>
          <w:tcPr>
            <w:tcW w:w="1012" w:type="pct"/>
            <w:vMerge w:val="continue"/>
            <w:shd w:val="clear" w:color="auto" w:fill="auto"/>
            <w:vAlign w:val="center"/>
          </w:tcPr>
          <w:p>
            <w:pPr>
              <w:pStyle w:val="31"/>
              <w:rPr>
                <w:rFonts w:hint="eastAsia" w:ascii="Times New Roman" w:hAnsi="Times New Roman" w:eastAsia="仿宋_GB2312" w:cs="Times New Roman"/>
                <w:b w:val="0"/>
                <w:bCs/>
                <w:color w:val="auto"/>
                <w:highlight w:val="none"/>
                <w:lang w:val="en-US" w:eastAsia="zh-CN" w:bidi="ar"/>
              </w:rPr>
            </w:pPr>
          </w:p>
        </w:tc>
        <w:tc>
          <w:tcPr>
            <w:tcW w:w="1440" w:type="pct"/>
            <w:shd w:val="clear" w:color="auto" w:fill="auto"/>
            <w:noWrap/>
            <w:vAlign w:val="center"/>
          </w:tcPr>
          <w:p>
            <w:pPr>
              <w:pStyle w:val="31"/>
              <w:rPr>
                <w:rFonts w:hint="eastAsia" w:ascii="Times New Roman" w:hAnsi="Times New Roman" w:eastAsia="仿宋_GB2312" w:cs="Times New Roman"/>
                <w:b w:val="0"/>
                <w:bCs/>
                <w:color w:val="auto"/>
                <w:highlight w:val="none"/>
                <w:lang w:val="en-US" w:eastAsia="zh-CN" w:bidi="ar"/>
              </w:rPr>
            </w:pPr>
            <w:r>
              <w:rPr>
                <w:rFonts w:hint="eastAsia" w:ascii="Times New Roman" w:hAnsi="Times New Roman" w:eastAsia="仿宋_GB2312" w:cs="Times New Roman"/>
                <w:b w:val="0"/>
                <w:bCs/>
                <w:color w:val="auto"/>
                <w:highlight w:val="none"/>
                <w:lang w:val="en-US" w:eastAsia="zh-CN" w:bidi="ar"/>
              </w:rPr>
              <w:t>农田储备区</w:t>
            </w:r>
          </w:p>
        </w:tc>
        <w:tc>
          <w:tcPr>
            <w:tcW w:w="2170" w:type="dxa"/>
            <w:shd w:val="clear" w:color="auto" w:fill="auto"/>
            <w:noWrap/>
            <w:vAlign w:val="bottom"/>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 xml:space="preserve">3.47 </w:t>
            </w:r>
          </w:p>
        </w:tc>
        <w:tc>
          <w:tcPr>
            <w:tcW w:w="2117" w:type="dxa"/>
            <w:shd w:val="clear" w:color="auto" w:fill="auto"/>
            <w:noWrap/>
            <w:vAlign w:val="bottom"/>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2" w:hRule="atLeast"/>
          <w:jc w:val="center"/>
        </w:trPr>
        <w:tc>
          <w:tcPr>
            <w:tcW w:w="1012" w:type="pct"/>
            <w:vMerge w:val="continue"/>
            <w:shd w:val="clear" w:color="auto" w:fill="auto"/>
            <w:vAlign w:val="center"/>
          </w:tcPr>
          <w:p>
            <w:pPr>
              <w:pStyle w:val="31"/>
              <w:rPr>
                <w:rFonts w:hint="eastAsia" w:ascii="Times New Roman" w:hAnsi="Times New Roman" w:eastAsia="仿宋_GB2312" w:cs="Times New Roman"/>
                <w:b w:val="0"/>
                <w:bCs/>
                <w:color w:val="auto"/>
                <w:highlight w:val="none"/>
                <w:lang w:val="en-US" w:eastAsia="zh-CN" w:bidi="ar"/>
              </w:rPr>
            </w:pPr>
          </w:p>
        </w:tc>
        <w:tc>
          <w:tcPr>
            <w:tcW w:w="1440" w:type="pct"/>
            <w:shd w:val="clear" w:color="auto" w:fill="auto"/>
            <w:noWrap/>
            <w:vAlign w:val="center"/>
          </w:tcPr>
          <w:p>
            <w:pPr>
              <w:pStyle w:val="31"/>
              <w:rPr>
                <w:rFonts w:hint="eastAsia" w:ascii="Times New Roman" w:hAnsi="Times New Roman" w:eastAsia="仿宋_GB2312" w:cs="Times New Roman"/>
                <w:b w:val="0"/>
                <w:bCs/>
                <w:color w:val="auto"/>
                <w:highlight w:val="none"/>
                <w:lang w:val="en-US" w:eastAsia="zh-CN" w:bidi="ar"/>
              </w:rPr>
            </w:pPr>
            <w:r>
              <w:rPr>
                <w:rFonts w:hint="eastAsia" w:ascii="Times New Roman" w:hAnsi="Times New Roman" w:eastAsia="仿宋_GB2312" w:cs="Times New Roman"/>
                <w:b w:val="0"/>
                <w:bCs/>
                <w:color w:val="auto"/>
                <w:highlight w:val="none"/>
                <w:lang w:val="en-US" w:eastAsia="zh-CN" w:bidi="ar"/>
              </w:rPr>
              <w:t>一般农业区</w:t>
            </w:r>
          </w:p>
        </w:tc>
        <w:tc>
          <w:tcPr>
            <w:tcW w:w="2170" w:type="dxa"/>
            <w:shd w:val="clear" w:color="auto" w:fill="auto"/>
            <w:noWrap/>
            <w:vAlign w:val="bottom"/>
          </w:tcPr>
          <w:p>
            <w:pPr>
              <w:pStyle w:val="31"/>
              <w:pageBreakBefore w:val="0"/>
              <w:kinsoku/>
              <w:wordWrap/>
              <w:overflowPunct/>
              <w:topLinePunct w:val="0"/>
              <w:bidi w:val="0"/>
              <w:spacing w:line="480" w:lineRule="exact"/>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 xml:space="preserve">157.87 </w:t>
            </w:r>
          </w:p>
        </w:tc>
        <w:tc>
          <w:tcPr>
            <w:tcW w:w="2117" w:type="dxa"/>
            <w:shd w:val="clear" w:color="auto" w:fill="auto"/>
            <w:noWrap/>
            <w:vAlign w:val="bottom"/>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2" w:hRule="atLeast"/>
          <w:jc w:val="center"/>
        </w:trPr>
        <w:tc>
          <w:tcPr>
            <w:tcW w:w="1012" w:type="pct"/>
            <w:vMerge w:val="continue"/>
            <w:shd w:val="clear" w:color="auto" w:fill="auto"/>
            <w:vAlign w:val="center"/>
          </w:tcPr>
          <w:p>
            <w:pPr>
              <w:pStyle w:val="31"/>
              <w:rPr>
                <w:rFonts w:hint="eastAsia" w:ascii="Times New Roman" w:hAnsi="Times New Roman" w:eastAsia="仿宋_GB2312" w:cs="Times New Roman"/>
                <w:b w:val="0"/>
                <w:bCs/>
                <w:color w:val="auto"/>
                <w:highlight w:val="none"/>
                <w:lang w:val="en-US" w:eastAsia="zh-CN" w:bidi="ar"/>
              </w:rPr>
            </w:pPr>
          </w:p>
        </w:tc>
        <w:tc>
          <w:tcPr>
            <w:tcW w:w="1440" w:type="pct"/>
            <w:shd w:val="clear" w:color="auto" w:fill="auto"/>
            <w:noWrap/>
            <w:vAlign w:val="center"/>
          </w:tcPr>
          <w:p>
            <w:pPr>
              <w:pStyle w:val="31"/>
              <w:rPr>
                <w:rFonts w:hint="eastAsia" w:ascii="Times New Roman" w:hAnsi="Times New Roman" w:eastAsia="仿宋_GB2312" w:cs="Times New Roman"/>
                <w:b w:val="0"/>
                <w:bCs/>
                <w:color w:val="auto"/>
                <w:highlight w:val="none"/>
                <w:lang w:val="en-US" w:eastAsia="zh-CN" w:bidi="ar"/>
              </w:rPr>
            </w:pPr>
            <w:r>
              <w:rPr>
                <w:rFonts w:hint="eastAsia" w:ascii="Times New Roman" w:hAnsi="Times New Roman" w:eastAsia="仿宋_GB2312" w:cs="Times New Roman"/>
                <w:b w:val="0"/>
                <w:bCs/>
                <w:color w:val="auto"/>
                <w:highlight w:val="none"/>
                <w:lang w:val="en-US" w:eastAsia="zh-CN" w:bidi="ar"/>
              </w:rPr>
              <w:t>林业发展区</w:t>
            </w:r>
          </w:p>
        </w:tc>
        <w:tc>
          <w:tcPr>
            <w:tcW w:w="2170" w:type="dxa"/>
            <w:shd w:val="clear" w:color="auto" w:fill="auto"/>
            <w:noWrap/>
            <w:vAlign w:val="bottom"/>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 xml:space="preserve">4978.47 </w:t>
            </w:r>
          </w:p>
        </w:tc>
        <w:tc>
          <w:tcPr>
            <w:tcW w:w="2117" w:type="dxa"/>
            <w:shd w:val="clear" w:color="auto" w:fill="auto"/>
            <w:noWrap/>
            <w:vAlign w:val="bottom"/>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56.83%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2" w:hRule="atLeast"/>
          <w:jc w:val="center"/>
        </w:trPr>
        <w:tc>
          <w:tcPr>
            <w:tcW w:w="1012" w:type="pct"/>
            <w:vMerge w:val="continue"/>
            <w:shd w:val="clear" w:color="auto" w:fill="auto"/>
            <w:vAlign w:val="center"/>
          </w:tcPr>
          <w:p>
            <w:pPr>
              <w:pStyle w:val="31"/>
              <w:rPr>
                <w:rFonts w:hint="eastAsia" w:ascii="Times New Roman" w:hAnsi="Times New Roman" w:eastAsia="仿宋_GB2312" w:cs="Times New Roman"/>
                <w:b w:val="0"/>
                <w:bCs/>
                <w:color w:val="auto"/>
                <w:highlight w:val="none"/>
                <w:lang w:val="en-US" w:eastAsia="zh-CN" w:bidi="ar"/>
              </w:rPr>
            </w:pPr>
          </w:p>
        </w:tc>
        <w:tc>
          <w:tcPr>
            <w:tcW w:w="1440" w:type="pct"/>
            <w:shd w:val="clear" w:color="auto" w:fill="auto"/>
            <w:noWrap/>
            <w:vAlign w:val="center"/>
          </w:tcPr>
          <w:p>
            <w:pPr>
              <w:pStyle w:val="31"/>
              <w:rPr>
                <w:rFonts w:hint="eastAsia" w:ascii="Times New Roman" w:hAnsi="Times New Roman" w:eastAsia="仿宋_GB2312" w:cs="Times New Roman"/>
                <w:b w:val="0"/>
                <w:bCs/>
                <w:color w:val="auto"/>
                <w:highlight w:val="none"/>
                <w:lang w:val="en-US" w:eastAsia="zh-CN" w:bidi="ar"/>
              </w:rPr>
            </w:pPr>
            <w:r>
              <w:rPr>
                <w:rFonts w:hint="eastAsia" w:ascii="Times New Roman" w:hAnsi="Times New Roman" w:eastAsia="仿宋_GB2312" w:cs="Times New Roman"/>
                <w:b w:val="0"/>
                <w:bCs/>
                <w:color w:val="auto"/>
                <w:highlight w:val="none"/>
                <w:lang w:val="en-US" w:eastAsia="zh-CN" w:bidi="ar"/>
              </w:rPr>
              <w:t>果茶业发展区</w:t>
            </w:r>
          </w:p>
        </w:tc>
        <w:tc>
          <w:tcPr>
            <w:tcW w:w="2170" w:type="dxa"/>
            <w:shd w:val="clear" w:color="auto" w:fill="auto"/>
            <w:noWrap/>
            <w:vAlign w:val="bottom"/>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 xml:space="preserve">176.35 </w:t>
            </w:r>
          </w:p>
        </w:tc>
        <w:tc>
          <w:tcPr>
            <w:tcW w:w="2117" w:type="dxa"/>
            <w:shd w:val="clear" w:color="auto" w:fill="auto"/>
            <w:noWrap/>
            <w:vAlign w:val="bottom"/>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2" w:hRule="atLeast"/>
          <w:jc w:val="center"/>
        </w:trPr>
        <w:tc>
          <w:tcPr>
            <w:tcW w:w="1012" w:type="pct"/>
            <w:vMerge w:val="continue"/>
            <w:shd w:val="clear" w:color="auto" w:fill="auto"/>
            <w:vAlign w:val="center"/>
          </w:tcPr>
          <w:p>
            <w:pPr>
              <w:pStyle w:val="31"/>
              <w:rPr>
                <w:rFonts w:hint="eastAsia" w:ascii="Times New Roman" w:hAnsi="Times New Roman" w:eastAsia="仿宋_GB2312" w:cs="Times New Roman"/>
                <w:b w:val="0"/>
                <w:bCs/>
                <w:color w:val="auto"/>
                <w:highlight w:val="none"/>
                <w:lang w:val="en-US" w:eastAsia="zh-CN" w:bidi="ar"/>
              </w:rPr>
            </w:pPr>
          </w:p>
        </w:tc>
        <w:tc>
          <w:tcPr>
            <w:tcW w:w="1440" w:type="pct"/>
            <w:shd w:val="clear" w:color="auto" w:fill="auto"/>
            <w:noWrap/>
            <w:vAlign w:val="center"/>
          </w:tcPr>
          <w:p>
            <w:pPr>
              <w:pStyle w:val="31"/>
              <w:rPr>
                <w:rFonts w:hint="eastAsia" w:ascii="Times New Roman" w:hAnsi="Times New Roman" w:eastAsia="仿宋_GB2312" w:cs="Times New Roman"/>
                <w:b w:val="0"/>
                <w:bCs/>
                <w:color w:val="auto"/>
                <w:highlight w:val="none"/>
                <w:lang w:val="en-US" w:eastAsia="zh-CN" w:bidi="ar"/>
              </w:rPr>
            </w:pPr>
            <w:r>
              <w:rPr>
                <w:rFonts w:hint="eastAsia" w:ascii="Times New Roman" w:hAnsi="Times New Roman" w:eastAsia="仿宋_GB2312" w:cs="Times New Roman"/>
                <w:b w:val="0"/>
                <w:bCs/>
                <w:color w:val="auto"/>
                <w:highlight w:val="none"/>
                <w:lang w:val="en-US" w:eastAsia="zh-CN" w:bidi="ar"/>
              </w:rPr>
              <w:t>区域基础设施区</w:t>
            </w:r>
          </w:p>
        </w:tc>
        <w:tc>
          <w:tcPr>
            <w:tcW w:w="2170" w:type="dxa"/>
            <w:shd w:val="clear" w:color="auto" w:fill="auto"/>
            <w:noWrap/>
            <w:vAlign w:val="bottom"/>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 xml:space="preserve">43.09 </w:t>
            </w:r>
          </w:p>
        </w:tc>
        <w:tc>
          <w:tcPr>
            <w:tcW w:w="2117" w:type="dxa"/>
            <w:shd w:val="clear" w:color="auto" w:fill="auto"/>
            <w:noWrap/>
            <w:vAlign w:val="bottom"/>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2" w:hRule="atLeast"/>
          <w:jc w:val="center"/>
        </w:trPr>
        <w:tc>
          <w:tcPr>
            <w:tcW w:w="1012" w:type="pct"/>
            <w:vMerge w:val="continue"/>
            <w:shd w:val="clear" w:color="auto" w:fill="auto"/>
            <w:vAlign w:val="center"/>
          </w:tcPr>
          <w:p>
            <w:pPr>
              <w:pStyle w:val="31"/>
              <w:rPr>
                <w:rFonts w:hint="eastAsia" w:ascii="Times New Roman" w:hAnsi="Times New Roman" w:eastAsia="仿宋_GB2312"/>
                <w:b w:val="0"/>
                <w:bCs/>
                <w:color w:val="auto"/>
                <w:highlight w:val="none"/>
                <w:lang w:val="en-US" w:eastAsia="zh-CN" w:bidi="ar"/>
              </w:rPr>
            </w:pPr>
          </w:p>
        </w:tc>
        <w:tc>
          <w:tcPr>
            <w:tcW w:w="1440" w:type="pct"/>
            <w:shd w:val="clear" w:color="auto" w:fill="auto"/>
            <w:noWrap/>
            <w:vAlign w:val="center"/>
          </w:tcPr>
          <w:p>
            <w:pPr>
              <w:pStyle w:val="31"/>
              <w:rPr>
                <w:rFonts w:hint="eastAsia" w:ascii="Times New Roman" w:hAnsi="Times New Roman" w:eastAsia="仿宋_GB2312"/>
                <w:b w:val="0"/>
                <w:bCs/>
                <w:color w:val="auto"/>
                <w:highlight w:val="none"/>
                <w:lang w:val="en-US" w:eastAsia="zh-CN" w:bidi="ar"/>
              </w:rPr>
            </w:pPr>
            <w:r>
              <w:rPr>
                <w:rFonts w:hint="eastAsia" w:ascii="Times New Roman" w:hAnsi="Times New Roman" w:eastAsia="仿宋_GB2312"/>
                <w:b w:val="0"/>
                <w:bCs/>
                <w:color w:val="auto"/>
                <w:highlight w:val="none"/>
                <w:lang w:val="en-US" w:eastAsia="zh-CN" w:bidi="ar"/>
              </w:rPr>
              <w:t>特殊用地区</w:t>
            </w:r>
          </w:p>
        </w:tc>
        <w:tc>
          <w:tcPr>
            <w:tcW w:w="2170" w:type="dxa"/>
            <w:shd w:val="clear" w:color="auto" w:fill="auto"/>
            <w:noWrap/>
            <w:vAlign w:val="bottom"/>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 xml:space="preserve">0.46 </w:t>
            </w:r>
          </w:p>
        </w:tc>
        <w:tc>
          <w:tcPr>
            <w:tcW w:w="2117" w:type="dxa"/>
            <w:shd w:val="clear" w:color="auto" w:fill="auto"/>
            <w:noWrap/>
            <w:vAlign w:val="bottom"/>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2" w:hRule="atLeast"/>
          <w:jc w:val="center"/>
        </w:trPr>
        <w:tc>
          <w:tcPr>
            <w:tcW w:w="1012" w:type="pct"/>
            <w:vMerge w:val="continue"/>
            <w:shd w:val="clear" w:color="auto" w:fill="auto"/>
            <w:vAlign w:val="center"/>
          </w:tcPr>
          <w:p>
            <w:pPr>
              <w:pStyle w:val="31"/>
              <w:rPr>
                <w:rFonts w:hint="eastAsia" w:ascii="Times New Roman" w:hAnsi="Times New Roman" w:eastAsia="仿宋_GB2312"/>
                <w:b w:val="0"/>
                <w:bCs/>
                <w:color w:val="auto"/>
                <w:highlight w:val="none"/>
                <w:lang w:val="en-US" w:eastAsia="zh-CN" w:bidi="ar"/>
              </w:rPr>
            </w:pPr>
          </w:p>
        </w:tc>
        <w:tc>
          <w:tcPr>
            <w:tcW w:w="1440" w:type="pct"/>
            <w:shd w:val="clear" w:color="auto" w:fill="auto"/>
            <w:noWrap/>
            <w:vAlign w:val="center"/>
          </w:tcPr>
          <w:p>
            <w:pPr>
              <w:pStyle w:val="31"/>
              <w:rPr>
                <w:rFonts w:hint="eastAsia" w:ascii="Times New Roman" w:hAnsi="Times New Roman" w:eastAsia="仿宋_GB2312"/>
                <w:b w:val="0"/>
                <w:bCs/>
                <w:color w:val="auto"/>
                <w:highlight w:val="none"/>
                <w:lang w:val="en-US" w:eastAsia="zh-CN" w:bidi="ar"/>
              </w:rPr>
            </w:pPr>
            <w:r>
              <w:rPr>
                <w:rFonts w:hint="eastAsia" w:ascii="Times New Roman" w:hAnsi="Times New Roman" w:eastAsia="仿宋_GB2312"/>
                <w:b w:val="0"/>
                <w:bCs/>
                <w:color w:val="auto"/>
                <w:highlight w:val="none"/>
                <w:lang w:val="en-US" w:eastAsia="zh-CN" w:bidi="ar"/>
              </w:rPr>
              <w:t>自然保留区</w:t>
            </w:r>
          </w:p>
        </w:tc>
        <w:tc>
          <w:tcPr>
            <w:tcW w:w="2170" w:type="dxa"/>
            <w:shd w:val="clear" w:color="auto" w:fill="auto"/>
            <w:noWrap/>
            <w:vAlign w:val="bottom"/>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 xml:space="preserve">0.00 </w:t>
            </w:r>
          </w:p>
        </w:tc>
        <w:tc>
          <w:tcPr>
            <w:tcW w:w="2117" w:type="dxa"/>
            <w:shd w:val="clear" w:color="auto" w:fill="auto"/>
            <w:noWrap/>
            <w:vAlign w:val="bottom"/>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2" w:hRule="atLeast"/>
          <w:jc w:val="center"/>
        </w:trPr>
        <w:tc>
          <w:tcPr>
            <w:tcW w:w="1012" w:type="pct"/>
            <w:vMerge w:val="continue"/>
            <w:shd w:val="clear" w:color="auto" w:fill="auto"/>
            <w:vAlign w:val="center"/>
          </w:tcPr>
          <w:p>
            <w:pPr>
              <w:pStyle w:val="31"/>
              <w:rPr>
                <w:rFonts w:hint="eastAsia" w:ascii="Times New Roman" w:hAnsi="Times New Roman" w:eastAsia="仿宋_GB2312"/>
                <w:b w:val="0"/>
                <w:bCs/>
                <w:color w:val="auto"/>
                <w:highlight w:val="none"/>
                <w:lang w:val="en-US" w:eastAsia="zh-CN" w:bidi="ar"/>
              </w:rPr>
            </w:pPr>
          </w:p>
        </w:tc>
        <w:tc>
          <w:tcPr>
            <w:tcW w:w="1440" w:type="pct"/>
            <w:shd w:val="clear" w:color="auto" w:fill="auto"/>
            <w:noWrap/>
            <w:vAlign w:val="center"/>
          </w:tcPr>
          <w:p>
            <w:pPr>
              <w:pStyle w:val="31"/>
              <w:rPr>
                <w:rFonts w:hint="eastAsia" w:ascii="Times New Roman" w:hAnsi="Times New Roman" w:eastAsia="仿宋_GB2312"/>
                <w:b w:val="0"/>
                <w:bCs/>
                <w:color w:val="auto"/>
                <w:highlight w:val="none"/>
                <w:lang w:val="en-US" w:eastAsia="zh-CN" w:bidi="ar"/>
              </w:rPr>
            </w:pPr>
            <w:r>
              <w:rPr>
                <w:rFonts w:hint="eastAsia" w:ascii="Times New Roman" w:hAnsi="Times New Roman" w:eastAsia="仿宋_GB2312"/>
                <w:b w:val="0"/>
                <w:bCs/>
                <w:color w:val="auto"/>
                <w:highlight w:val="none"/>
                <w:lang w:val="en-US" w:eastAsia="zh-CN" w:bidi="ar"/>
              </w:rPr>
              <w:t>合计</w:t>
            </w:r>
          </w:p>
        </w:tc>
        <w:tc>
          <w:tcPr>
            <w:tcW w:w="2170" w:type="dxa"/>
            <w:shd w:val="clear" w:color="auto" w:fill="auto"/>
            <w:noWrap/>
            <w:vAlign w:val="bottom"/>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 xml:space="preserve">5495.81 </w:t>
            </w:r>
          </w:p>
        </w:tc>
        <w:tc>
          <w:tcPr>
            <w:tcW w:w="2117" w:type="dxa"/>
            <w:shd w:val="clear" w:color="auto" w:fill="auto"/>
            <w:noWrap/>
            <w:vAlign w:val="bottom"/>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62.74%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2" w:hRule="atLeast"/>
          <w:jc w:val="center"/>
        </w:trPr>
        <w:tc>
          <w:tcPr>
            <w:tcW w:w="1012" w:type="pct"/>
            <w:shd w:val="clear" w:color="auto" w:fill="auto"/>
            <w:vAlign w:val="center"/>
          </w:tcPr>
          <w:p>
            <w:pPr>
              <w:pStyle w:val="31"/>
              <w:rPr>
                <w:rFonts w:hint="eastAsia" w:ascii="Times New Roman" w:hAnsi="Times New Roman" w:eastAsia="仿宋_GB2312"/>
                <w:b w:val="0"/>
                <w:bCs/>
                <w:color w:val="auto"/>
                <w:highlight w:val="none"/>
                <w:lang w:val="en-US" w:eastAsia="zh-CN" w:bidi="ar"/>
              </w:rPr>
            </w:pPr>
            <w:r>
              <w:rPr>
                <w:rFonts w:hint="eastAsia" w:ascii="Times New Roman" w:hAnsi="Times New Roman" w:eastAsia="仿宋_GB2312"/>
                <w:b w:val="0"/>
                <w:bCs/>
                <w:color w:val="auto"/>
                <w:highlight w:val="none"/>
                <w:lang w:val="en-US" w:eastAsia="zh-CN" w:bidi="ar"/>
              </w:rPr>
              <w:t>矿产能源发展区</w:t>
            </w:r>
          </w:p>
        </w:tc>
        <w:tc>
          <w:tcPr>
            <w:tcW w:w="1440" w:type="pct"/>
            <w:shd w:val="clear" w:color="auto" w:fill="auto"/>
            <w:noWrap/>
            <w:vAlign w:val="center"/>
          </w:tcPr>
          <w:p>
            <w:pPr>
              <w:pStyle w:val="31"/>
              <w:rPr>
                <w:rFonts w:hint="eastAsia" w:ascii="Times New Roman" w:hAnsi="Times New Roman" w:eastAsia="仿宋_GB2312"/>
                <w:b w:val="0"/>
                <w:bCs/>
                <w:color w:val="auto"/>
                <w:highlight w:val="none"/>
                <w:lang w:val="en-US" w:eastAsia="zh-CN" w:bidi="ar"/>
              </w:rPr>
            </w:pPr>
            <w:r>
              <w:rPr>
                <w:rFonts w:hint="eastAsia" w:ascii="Times New Roman" w:hAnsi="Times New Roman" w:eastAsia="仿宋_GB2312"/>
                <w:b w:val="0"/>
                <w:bCs/>
                <w:color w:val="auto"/>
                <w:highlight w:val="none"/>
                <w:lang w:val="en-US" w:eastAsia="zh-CN" w:bidi="ar"/>
              </w:rPr>
              <w:t>矿产能源发展区</w:t>
            </w:r>
          </w:p>
        </w:tc>
        <w:tc>
          <w:tcPr>
            <w:tcW w:w="2170" w:type="dxa"/>
            <w:shd w:val="clear" w:color="auto" w:fill="auto"/>
            <w:noWrap/>
            <w:vAlign w:val="bottom"/>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 xml:space="preserve">1.81 </w:t>
            </w:r>
          </w:p>
        </w:tc>
        <w:tc>
          <w:tcPr>
            <w:tcW w:w="2117" w:type="dxa"/>
            <w:shd w:val="clear" w:color="auto" w:fill="auto"/>
            <w:noWrap/>
            <w:vAlign w:val="bottom"/>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01" w:hRule="atLeast"/>
          <w:jc w:val="center"/>
        </w:trPr>
        <w:tc>
          <w:tcPr>
            <w:tcW w:w="2452" w:type="pct"/>
            <w:gridSpan w:val="2"/>
            <w:shd w:val="clear" w:color="auto" w:fill="auto"/>
            <w:vAlign w:val="center"/>
          </w:tcPr>
          <w:p>
            <w:pPr>
              <w:pStyle w:val="31"/>
              <w:rPr>
                <w:rFonts w:hint="eastAsia" w:ascii="Times New Roman" w:hAnsi="Times New Roman" w:eastAsia="仿宋_GB2312"/>
                <w:b w:val="0"/>
                <w:bCs/>
                <w:color w:val="auto"/>
                <w:highlight w:val="none"/>
                <w:lang w:val="en-US" w:eastAsia="zh-CN" w:bidi="ar"/>
              </w:rPr>
            </w:pPr>
            <w:r>
              <w:rPr>
                <w:rFonts w:hint="eastAsia" w:ascii="Times New Roman" w:hAnsi="Times New Roman" w:eastAsia="仿宋_GB2312"/>
                <w:b w:val="0"/>
                <w:bCs/>
                <w:color w:val="auto"/>
                <w:highlight w:val="none"/>
                <w:lang w:val="en-US" w:eastAsia="zh-CN" w:bidi="ar"/>
              </w:rPr>
              <w:t>总计</w:t>
            </w:r>
          </w:p>
        </w:tc>
        <w:tc>
          <w:tcPr>
            <w:tcW w:w="2170" w:type="dxa"/>
            <w:shd w:val="clear" w:color="auto" w:fill="auto"/>
            <w:noWrap/>
            <w:vAlign w:val="bottom"/>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 xml:space="preserve">8759.88 </w:t>
            </w:r>
          </w:p>
        </w:tc>
        <w:tc>
          <w:tcPr>
            <w:tcW w:w="2117" w:type="dxa"/>
            <w:shd w:val="clear" w:color="auto" w:fill="auto"/>
            <w:noWrap/>
            <w:vAlign w:val="bottom"/>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100.00%</w:t>
            </w:r>
          </w:p>
        </w:tc>
      </w:tr>
    </w:tbl>
    <w:p>
      <w:pPr>
        <w:snapToGrid w:val="0"/>
        <w:spacing w:line="480" w:lineRule="exact"/>
        <w:ind w:firstLine="562"/>
        <w:rPr>
          <w:rFonts w:hint="eastAsia" w:ascii="Times New Roman" w:hAnsi="Times New Roman" w:eastAsia="黑体"/>
          <w:b/>
          <w:color w:val="auto"/>
          <w:sz w:val="28"/>
          <w:szCs w:val="28"/>
          <w:lang w:val="en-US" w:eastAsia="zh-CN"/>
        </w:rPr>
      </w:pPr>
      <w:r>
        <w:rPr>
          <w:rFonts w:hint="eastAsia" w:ascii="Times New Roman" w:hAnsi="Times New Roman" w:eastAsia="仿宋_GB2312" w:cs="Times New Roman"/>
          <w:b/>
          <w:color w:val="auto"/>
          <w:sz w:val="28"/>
          <w:szCs w:val="28"/>
          <w:lang w:val="en-US" w:eastAsia="zh-CN"/>
        </w:rPr>
        <w:t>二、管控要求</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1、核心保护红线区</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主要为自然保护地核心保护区，包括国家公园和自然保护区的核心保护区。区内以自然保护为主要功能导向，生态保护红线内，自然保护地核心保护区原则上禁止人为活动；自然保护地核心保护区外，禁止开发性、生产性建设活动，在符合法律法规的前提下，按照国家和省级有关管理办法进行管理。</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2、其他保护红线区</w:t>
      </w:r>
    </w:p>
    <w:p>
      <w:pPr>
        <w:snapToGrid w:val="0"/>
        <w:spacing w:line="480" w:lineRule="exact"/>
        <w:ind w:firstLine="560"/>
        <w:rPr>
          <w:rFonts w:hint="default"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主要为国家公园、自然保护区核心保护区外的自然保护地及其他的生态保护红线区域。区内以自然保护为主要功能导向，生态保护红线内，自然保护地核心保护区原则上禁止人为活动；自然保护地核心保护区外，禁止开发性、生产性建设活动，在符合法律法规的前提下，按照国家和省级有关管理办法进行管理。</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3、生态控制区</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指生态保护红线外，需要予以保留原貌、强化生态保育和生态建设、限制开发建设的区域。区内以生态保护与修复为主导用途，原则上应予以保留原貌、强化生态保育和生态建设。在不降低生态功能、不破坏生态系统且符合空间准入、强度控制和风貌管控要求的前提下，可进行适度的开发利用和结构布局调整。</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4、农田保护区</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指为保障国家粮食安全，按照一定时期人口和经济社会发展对农产品的需求，依法确定不得擅自占用或改变用途、实施特殊保护的耕地集中区域。区内重点用于粮食生产，禁止将永久基本农田转为林地、草地、园地、农业设施建设用地等其他农用地。鼓励开展永久基本农田集中连片整治，通过土地开发整理复垦和高标准农田建设等，促进零星分散的永久基本农田集中连片。区内其他建设活动，在符合法律法规前提下，按照国家和省级有关管理办法进行管理。</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5、城镇集中建设区</w:t>
      </w:r>
    </w:p>
    <w:p>
      <w:pPr>
        <w:snapToGrid w:val="0"/>
        <w:spacing w:line="480" w:lineRule="exact"/>
        <w:ind w:firstLine="560"/>
        <w:rPr>
          <w:rFonts w:hint="default"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指根据规划城镇建设用地规模，为满足城镇居民生产生活需要，划定的一定时期内允许开展城镇开发和集中建设的地域空间。</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6、城镇弹性发展区</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指为应对城镇发展的不确定性，在满足特定条件下方可进行城镇开发和集中建设的区域。</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7、特别用途区</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指为完善城镇功能，提升人居环境品质，保持城镇开发边界的完整性，根据规划管理需划入开发边界内的重点地区，主要包括与城镇关联密切的生态涵养、休闲游憩、防护隔离、自然和历史文化保护等区域。</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8、村庄建设区</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指城镇开发边界外，规划重点发展的村庄用地区域。区内采用“详细规划+规划许可”的方式进行管理。区内探索分区准入与正负面清单相结合的管控引导机制。通过优化现状农村居民点用地，重点保障乡村振兴、一二三产业融合发展用地。</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9、一般农业区</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指以农业生产发展为主要利用功能导向划定的区域。区内以充分满足农业生产和生活需要为主。</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10、农田储备区</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指永久基本农田外，可作为永久基本农田调整补划或可使永久基本农田更优质、更连片的现状耕地。区内现状耕地优先用于粮食和棉、油、糖、菜等农产品生产，鼓励通过建设用地复垦、宜耕后备资源开发、农用地整理和其他土地整治工程的实施，垦造耕地，提升耕地连片度。鼓励开展耕地质量提升、旱地改水田等项目，提升耕地质量。</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11、林业发展区</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指以规模化林业生产为主要利用功能导向划定的区域。区内按照林业生产规范和发展规划，采用适当的封育和采伐措施，发展林下经济和生态旅游，兼顾生态功能和经济效益。</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12、果茶业发展区</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指以规模化果茶业生产为主要利用功能导向划定的区域。区内按照果茶业生产规范和发展规划，发展规模化和特色化的果茶业经济及生态旅游，兼顾生态功能和经济效益。</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13、区域基础设施区</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指城镇开发边界外，以铁路、公路、港口、机场、通讯、环卫、给排水、能源供应等区域性基础设施为主导功能块状设施集中区域。区内实行“用途准入+清单管理”的方式进行管理，符合“十四五”国民经济发展规划或相关部门专项规划的交通（线性除外）、能源、水利等重要基础设施用地，选址已明确的用地纳入规划重点项目清单，并在区内精准落图，选址暂不确定的纳入选址不确定项目清单并示意落图，并纳入点、线重点项目图层。</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14、特殊用地区</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指城镇开发边界外，军事、宗教、安保、殡葬等具有特殊性质的区域。区内实行“用途准入+指标控制”的方式进行管理，区内以准入符合规划或取得相关管理部门认定意见的军事、外事、殡葬等特殊用地，区内用地规模应符合国家和省级节约集约用地相关要求。</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15、自然保留区</w:t>
      </w:r>
    </w:p>
    <w:p>
      <w:pPr>
        <w:snapToGrid w:val="0"/>
        <w:spacing w:line="480" w:lineRule="exact"/>
        <w:ind w:firstLine="560"/>
        <w:rPr>
          <w:rFonts w:hint="default"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指不具备开发利用与建设条件，也不需要特别保护的区域。区内原则不得擅自改变地形地貌及其他自然生态环境原有状态，可适度开展观光、旅游、科研、教育等活动。</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16、矿产能源发展区</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指为适应国家能源安全与矿业发展的重要陆域采矿区、战略性矿产储量区等区域。区内采用“用途准入+清单管理+指标控制”的方式进行管理。区内应合理调控能源资源开发利用总量，严格矿产开发准入条件，强化矿产资源节约与综合利用，开展矿山地质环境治理与矿区土地复垦，发展矿业领域循环经济。区内重点保障符合矿产资源规划的采矿、采石、采砂场、砖瓦窑等必需的生产用地及排土（石）尾矿堆放用地，用地须同步纳入规划重点项目清单，用地规模应符合国家和省级节约集约用地相关要求。</w:t>
      </w:r>
    </w:p>
    <w:p>
      <w:pPr>
        <w:rPr>
          <w:rFonts w:hint="eastAsia" w:ascii="Times New Roman" w:hAnsi="Times New Roman" w:eastAsia="Arial Unicode MS" w:cs="Times New Roman"/>
          <w:color w:val="auto"/>
          <w:lang w:val="en-US" w:eastAsia="zh-CN"/>
        </w:rPr>
      </w:pPr>
      <w:r>
        <w:rPr>
          <w:rFonts w:hint="eastAsia" w:ascii="Times New Roman" w:hAnsi="Times New Roman" w:eastAsia="Arial Unicode MS" w:cs="Times New Roman"/>
          <w:color w:val="auto"/>
          <w:lang w:val="en-US" w:eastAsia="zh-CN"/>
        </w:rPr>
        <w:br w:type="page"/>
      </w:r>
    </w:p>
    <w:p>
      <w:pPr>
        <w:pStyle w:val="34"/>
        <w:keepNext/>
        <w:keepLines/>
        <w:pageBreakBefore w:val="0"/>
        <w:widowControl w:val="0"/>
        <w:kinsoku/>
        <w:wordWrap/>
        <w:overflowPunct/>
        <w:topLinePunct w:val="0"/>
        <w:autoSpaceDE/>
        <w:autoSpaceDN/>
        <w:bidi w:val="0"/>
        <w:adjustRightInd/>
        <w:snapToGrid/>
        <w:spacing w:before="156" w:beforeLines="50" w:after="156" w:afterLines="50"/>
        <w:ind w:left="0" w:firstLine="0" w:firstLineChars="0"/>
        <w:jc w:val="center"/>
        <w:textAlignment w:val="center"/>
        <w:rPr>
          <w:rFonts w:hint="eastAsia" w:ascii="Times New Roman" w:hAnsi="Times New Roman" w:eastAsia="Arial Unicode MS" w:cs="Times New Roman"/>
          <w:color w:val="auto"/>
          <w:lang w:val="en-US" w:eastAsia="zh-CN"/>
        </w:rPr>
      </w:pPr>
      <w:bookmarkStart w:id="41" w:name="_Toc5458"/>
      <w:r>
        <w:rPr>
          <w:rFonts w:hint="eastAsia" w:ascii="Times New Roman" w:hAnsi="Times New Roman" w:eastAsia="Arial Unicode MS" w:cs="Times New Roman"/>
          <w:color w:val="auto"/>
          <w:lang w:val="en-US" w:eastAsia="zh-CN"/>
        </w:rPr>
        <w:t>第五章 保障绿色高效的农业空间</w:t>
      </w:r>
      <w:bookmarkEnd w:id="41"/>
    </w:p>
    <w:p>
      <w:pPr>
        <w:pStyle w:val="33"/>
        <w:spacing w:before="156" w:beforeLines="50" w:after="156" w:afterLines="50" w:line="520" w:lineRule="exact"/>
        <w:rPr>
          <w:rFonts w:hint="eastAsia" w:ascii="Times New Roman" w:hAnsi="Times New Roman" w:cs="Times New Roman"/>
          <w:bCs w:val="0"/>
          <w:color w:val="auto"/>
          <w:kern w:val="2"/>
          <w:szCs w:val="32"/>
          <w:lang w:val="en-US" w:eastAsia="zh-CN"/>
        </w:rPr>
      </w:pPr>
      <w:bookmarkStart w:id="42" w:name="_Toc13938"/>
      <w:r>
        <w:rPr>
          <w:rFonts w:hint="eastAsia" w:ascii="Times New Roman" w:hAnsi="Times New Roman" w:cs="Times New Roman"/>
          <w:bCs w:val="0"/>
          <w:color w:val="auto"/>
          <w:kern w:val="2"/>
          <w:szCs w:val="32"/>
          <w:lang w:val="en-US" w:eastAsia="zh-CN"/>
        </w:rPr>
        <w:t>第一节 乡域农业空间格局</w:t>
      </w:r>
      <w:bookmarkEnd w:id="42"/>
    </w:p>
    <w:p>
      <w:pPr>
        <w:snapToGrid w:val="0"/>
        <w:spacing w:line="480" w:lineRule="exact"/>
        <w:ind w:firstLine="560"/>
        <w:rPr>
          <w:rFonts w:hint="default"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highlight w:val="none"/>
          <w:lang w:val="en-US" w:eastAsia="zh-CN"/>
        </w:rPr>
        <w:t>严格落实耕地保护任务，全面提升耕地质量。着力推进粮食生产功能区和重要农产品生产保护建设，保障粮食安全和重要农产品有效供给。</w:t>
      </w:r>
      <w:r>
        <w:rPr>
          <w:rFonts w:hint="eastAsia" w:ascii="Times New Roman" w:hAnsi="Times New Roman" w:eastAsia="仿宋_GB2312" w:cs="Times New Roman"/>
          <w:bCs/>
          <w:color w:val="auto"/>
          <w:sz w:val="28"/>
          <w:szCs w:val="28"/>
          <w:lang w:val="en-US" w:eastAsia="zh-CN"/>
        </w:rPr>
        <w:t>构建“</w:t>
      </w:r>
      <w:r>
        <w:rPr>
          <w:rFonts w:hint="eastAsia" w:ascii="Times New Roman" w:hAnsi="Times New Roman" w:eastAsia="仿宋_GB2312" w:cs="Times New Roman"/>
          <w:b/>
          <w:bCs w:val="0"/>
          <w:color w:val="auto"/>
          <w:sz w:val="28"/>
          <w:szCs w:val="28"/>
          <w:lang w:val="en-US" w:eastAsia="zh-CN"/>
        </w:rPr>
        <w:t>三轴两区多基地</w:t>
      </w:r>
      <w:r>
        <w:rPr>
          <w:rFonts w:hint="eastAsia" w:ascii="Times New Roman" w:hAnsi="Times New Roman" w:eastAsia="仿宋_GB2312" w:cs="Times New Roman"/>
          <w:bCs/>
          <w:color w:val="auto"/>
          <w:sz w:val="28"/>
          <w:szCs w:val="28"/>
          <w:lang w:val="en-US" w:eastAsia="zh-CN"/>
        </w:rPr>
        <w:t>”的乡域农业空间布局。</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
          <w:bCs w:val="0"/>
          <w:color w:val="auto"/>
          <w:sz w:val="28"/>
          <w:szCs w:val="28"/>
          <w:lang w:val="en-US" w:eastAsia="zh-CN"/>
        </w:rPr>
        <w:t>三轴：</w:t>
      </w:r>
      <w:r>
        <w:rPr>
          <w:rFonts w:hint="eastAsia" w:ascii="Times New Roman" w:hAnsi="Times New Roman" w:eastAsia="仿宋_GB2312" w:cs="Times New Roman"/>
          <w:bCs/>
          <w:color w:val="auto"/>
          <w:sz w:val="28"/>
          <w:szCs w:val="28"/>
          <w:lang w:val="en-US" w:eastAsia="zh-CN"/>
        </w:rPr>
        <w:t>三条南北走向的沿水系的农业生产轴线。</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
          <w:bCs w:val="0"/>
          <w:color w:val="auto"/>
          <w:sz w:val="28"/>
          <w:szCs w:val="28"/>
          <w:lang w:val="en-US" w:eastAsia="zh-CN"/>
        </w:rPr>
        <w:t>两区：</w:t>
      </w:r>
      <w:r>
        <w:rPr>
          <w:rFonts w:hint="eastAsia" w:ascii="Times New Roman" w:hAnsi="Times New Roman" w:eastAsia="仿宋_GB2312" w:cs="Times New Roman"/>
          <w:bCs/>
          <w:color w:val="auto"/>
          <w:sz w:val="28"/>
          <w:szCs w:val="28"/>
          <w:lang w:val="en-US" w:eastAsia="zh-CN"/>
        </w:rPr>
        <w:t>北部农旅发展区与南部特色农业生产区。北部以燕子岩生态旅游、上寨暖塘温泉康养、红色文化体验为核心，发展旅游产业，并结合农业发展乡村农业休闲体验。南部以脐橙种植为主导，发展特色农业。</w:t>
      </w:r>
    </w:p>
    <w:p>
      <w:pPr>
        <w:snapToGrid w:val="0"/>
        <w:spacing w:line="480" w:lineRule="exact"/>
        <w:ind w:firstLine="560"/>
        <w:rPr>
          <w:rFonts w:hint="default"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
          <w:bCs w:val="0"/>
          <w:color w:val="auto"/>
          <w:sz w:val="28"/>
          <w:szCs w:val="28"/>
          <w:lang w:val="en-US" w:eastAsia="zh-CN"/>
        </w:rPr>
        <w:t>多基地：</w:t>
      </w:r>
      <w:r>
        <w:rPr>
          <w:rFonts w:hint="eastAsia" w:ascii="Times New Roman" w:hAnsi="Times New Roman" w:eastAsia="仿宋_GB2312" w:cs="Times New Roman"/>
          <w:bCs/>
          <w:color w:val="auto"/>
          <w:sz w:val="28"/>
          <w:szCs w:val="28"/>
          <w:lang w:val="en-US" w:eastAsia="zh-CN"/>
        </w:rPr>
        <w:t>茶叶种植基地、蔬菜种植基地、脐橙种植基地、林下种植基地等。</w:t>
      </w:r>
    </w:p>
    <w:p>
      <w:pPr>
        <w:pStyle w:val="33"/>
        <w:spacing w:before="156" w:beforeLines="50" w:after="156" w:afterLines="50" w:line="520" w:lineRule="exact"/>
        <w:rPr>
          <w:rFonts w:hint="eastAsia" w:ascii="Times New Roman" w:hAnsi="Times New Roman" w:cs="Times New Roman"/>
          <w:bCs w:val="0"/>
          <w:color w:val="auto"/>
          <w:kern w:val="2"/>
          <w:szCs w:val="32"/>
          <w:lang w:val="en-US" w:eastAsia="zh-CN"/>
        </w:rPr>
      </w:pPr>
      <w:bookmarkStart w:id="43" w:name="_Toc22378"/>
      <w:r>
        <w:rPr>
          <w:rFonts w:hint="eastAsia" w:ascii="Times New Roman" w:hAnsi="Times New Roman" w:cs="Times New Roman"/>
          <w:bCs w:val="0"/>
          <w:color w:val="auto"/>
          <w:kern w:val="2"/>
          <w:szCs w:val="32"/>
          <w:lang w:val="en-US" w:eastAsia="zh-CN"/>
        </w:rPr>
        <w:t>第二节 落实最严格耕地保护</w:t>
      </w:r>
      <w:bookmarkEnd w:id="43"/>
    </w:p>
    <w:p>
      <w:pPr>
        <w:pStyle w:val="36"/>
        <w:ind w:firstLine="562"/>
        <w:jc w:val="both"/>
        <w:rPr>
          <w:rFonts w:hint="default" w:ascii="Times New Roman" w:hAnsi="Times New Roman" w:eastAsia="仿宋_GB2312" w:cs="Times New Roman"/>
          <w:bCs w:val="0"/>
          <w:color w:val="auto"/>
          <w:szCs w:val="32"/>
        </w:rPr>
      </w:pPr>
      <w:r>
        <w:rPr>
          <w:rFonts w:hint="eastAsia" w:ascii="Times New Roman" w:hAnsi="Times New Roman" w:eastAsia="仿宋_GB2312" w:cs="Times New Roman"/>
          <w:bCs w:val="0"/>
          <w:color w:val="auto"/>
          <w:szCs w:val="32"/>
        </w:rPr>
        <w:t>一、耕地保护目标情况</w:t>
      </w:r>
    </w:p>
    <w:p>
      <w:pPr>
        <w:snapToGrid w:val="0"/>
        <w:spacing w:line="480" w:lineRule="exact"/>
        <w:ind w:firstLine="560"/>
        <w:rPr>
          <w:rFonts w:hint="default"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根据2020年国土变更调查统计口径（城镇、村庄不打开统计）数据，平富乡圈外耕地面积为371.37公顷（0.557万亩），其中水田342.18公顷（0.51万亩），占耕地总面积的92.14%；旱地29.19公顷（0.04万亩），占耕地总面积的7.86%。</w:t>
      </w:r>
    </w:p>
    <w:p>
      <w:pPr>
        <w:snapToGrid w:val="0"/>
        <w:spacing w:line="480" w:lineRule="exact"/>
        <w:ind w:firstLine="560"/>
        <w:rPr>
          <w:rFonts w:hint="default"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根据自然资源部下发“三区三线”划定成果统计，平富乡耕地保护目标为370.69公顷（0.556万亩）占圈外耕地总面积99.82%，永久基本农田保护任务为349.35公顷（0.52万亩），占平富乡圈外耕地的94.07%。</w:t>
      </w:r>
    </w:p>
    <w:p>
      <w:pPr>
        <w:pStyle w:val="36"/>
        <w:ind w:firstLine="562"/>
        <w:jc w:val="both"/>
        <w:rPr>
          <w:rFonts w:hint="default" w:ascii="Times New Roman" w:hAnsi="Times New Roman" w:eastAsia="仿宋_GB2312" w:cs="Times New Roman"/>
          <w:bCs w:val="0"/>
          <w:color w:val="auto"/>
          <w:szCs w:val="32"/>
        </w:rPr>
      </w:pPr>
      <w:r>
        <w:rPr>
          <w:rFonts w:hint="eastAsia" w:ascii="Times New Roman" w:hAnsi="Times New Roman" w:eastAsia="仿宋_GB2312" w:cs="Times New Roman"/>
          <w:bCs w:val="0"/>
          <w:color w:val="auto"/>
          <w:szCs w:val="32"/>
        </w:rPr>
        <w:t>二、耕地保护措施</w:t>
      </w:r>
    </w:p>
    <w:p>
      <w:pPr>
        <w:snapToGrid w:val="0"/>
        <w:spacing w:line="480" w:lineRule="exact"/>
        <w:ind w:firstLine="560"/>
        <w:rPr>
          <w:rFonts w:hint="default"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1、</w:t>
      </w:r>
      <w:r>
        <w:rPr>
          <w:rFonts w:hint="default" w:ascii="Times New Roman" w:hAnsi="Times New Roman" w:eastAsia="仿宋_GB2312" w:cs="Times New Roman"/>
          <w:bCs/>
          <w:color w:val="auto"/>
          <w:sz w:val="28"/>
          <w:szCs w:val="28"/>
          <w:lang w:val="en-US" w:eastAsia="zh-CN"/>
        </w:rPr>
        <w:t>进一步提高认识，毫不动摇地坚持耕地保护红线</w:t>
      </w:r>
      <w:r>
        <w:rPr>
          <w:rFonts w:hint="eastAsia" w:ascii="Times New Roman" w:hAnsi="Times New Roman" w:eastAsia="仿宋_GB2312" w:cs="Times New Roman"/>
          <w:bCs/>
          <w:color w:val="auto"/>
          <w:sz w:val="28"/>
          <w:szCs w:val="28"/>
          <w:lang w:val="en-US" w:eastAsia="zh-CN"/>
        </w:rPr>
        <w:t xml:space="preserve">。将保护耕地作为土地管理的首要任务，坚决落实最严格的耕地保护制度和节约用地制度，坚持耕地保护优先、数量质量并重，全面强化规划统筹、用途管制、用地节约和执法监管，加快建立共同责任、经济激励和社会监督机制，严守耕地红线，确保耕地实有面积基本稳定、质量不下降。 </w:t>
      </w:r>
    </w:p>
    <w:p>
      <w:pPr>
        <w:snapToGrid w:val="0"/>
        <w:spacing w:line="480" w:lineRule="exact"/>
        <w:ind w:firstLine="560"/>
        <w:rPr>
          <w:rFonts w:hint="default"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2、强化制度执行。落实最严格的耕地保护制度，需要不断提升制度执行力，强化耕地保护意识，强化土地用途管制，着力加强耕地数量、质量、生态“三位一体”保护，坚决防止耕地占补平衡中补充耕地数量不到位、质量不到位的问题，坚决防止占多补少、占优补劣、占水田补旱地的现象，切实做到已经确定的耕地红线绝不随意突破，已经划定的城市周边永久基本农田绝不随便占用。</w:t>
      </w:r>
    </w:p>
    <w:p>
      <w:pPr>
        <w:snapToGrid w:val="0"/>
        <w:spacing w:line="480" w:lineRule="exact"/>
        <w:ind w:firstLine="560"/>
        <w:rPr>
          <w:rFonts w:hint="default"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3、强化土地用途管制，全面落实耕地数量和质量保护战略任务。严格按照土地利用总体规划批地用地，严禁突破土地利用总体规划设立新城新区和各类开发区(园区)。建立土地利用总体规划评估修改制度，严格限定条件，规范修改程序，扩大公众参与，禁止随意修改规划，切实维护规划的严肃性。严格控制城市建设用地规模，确需扩大的，要采取串联式、组团式、卫星城式布局，避让优质耕地。</w:t>
      </w:r>
    </w:p>
    <w:p>
      <w:pPr>
        <w:snapToGrid w:val="0"/>
        <w:spacing w:line="480" w:lineRule="exact"/>
        <w:ind w:firstLine="560"/>
        <w:rPr>
          <w:rFonts w:hint="default"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4、进一步严格建设占用耕地审批。强化建设项目预审，严格项目选址把关。凡不符合土地利用总体规划、耕地占补平衡要求、征地补偿安置政策、用地标准、产业和供地政策的项目，不得通过用地预审。</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5、引导和促进各类建设节约集约用地。各级自然资源部门要按照严控增量、盘活存量、优化结构、提高效率的总要求，综合运用规划调控、市场调节、标准控制、执法监管等手段，全面推进城镇、工矿、农村、基础设施等各类建设节约集约用地，切实减少对耕地的占用，严防侵占优质耕地。统筹安排新增和存量建设用地，新增建设用地计划安排要与节约集约用地绩效相挂钩，促进节约用地、保护耕地。</w:t>
      </w:r>
    </w:p>
    <w:p>
      <w:pPr>
        <w:pStyle w:val="33"/>
        <w:spacing w:before="156" w:beforeLines="50" w:after="156" w:afterLines="50" w:line="520" w:lineRule="exact"/>
        <w:rPr>
          <w:rFonts w:hint="eastAsia" w:ascii="Times New Roman" w:hAnsi="Times New Roman" w:cs="Times New Roman"/>
          <w:bCs w:val="0"/>
          <w:color w:val="auto"/>
          <w:kern w:val="2"/>
          <w:szCs w:val="32"/>
          <w:lang w:val="en-US" w:eastAsia="zh-CN"/>
        </w:rPr>
      </w:pPr>
      <w:bookmarkStart w:id="44" w:name="_Toc5607"/>
      <w:r>
        <w:rPr>
          <w:rFonts w:hint="eastAsia" w:ascii="Times New Roman" w:hAnsi="Times New Roman" w:cs="Times New Roman"/>
          <w:bCs w:val="0"/>
          <w:color w:val="auto"/>
          <w:kern w:val="2"/>
          <w:szCs w:val="32"/>
          <w:lang w:val="en-US" w:eastAsia="zh-CN"/>
        </w:rPr>
        <w:t>第三节 支撑乡村振兴与乡村布局优化</w:t>
      </w:r>
      <w:bookmarkEnd w:id="44"/>
    </w:p>
    <w:p>
      <w:pPr>
        <w:pStyle w:val="36"/>
        <w:ind w:firstLine="562"/>
        <w:jc w:val="both"/>
        <w:rPr>
          <w:rFonts w:hint="default" w:ascii="Times New Roman" w:hAnsi="Times New Roman" w:eastAsia="仿宋_GB2312" w:cs="Times New Roman"/>
          <w:bCs w:val="0"/>
          <w:color w:val="auto"/>
          <w:szCs w:val="32"/>
        </w:rPr>
      </w:pPr>
      <w:r>
        <w:rPr>
          <w:rFonts w:hint="eastAsia" w:ascii="Times New Roman" w:hAnsi="Times New Roman" w:eastAsia="仿宋_GB2312" w:cs="Times New Roman"/>
          <w:bCs w:val="0"/>
          <w:color w:val="auto"/>
          <w:szCs w:val="32"/>
          <w:lang w:val="en-US" w:eastAsia="zh-CN"/>
        </w:rPr>
        <w:t>一</w:t>
      </w:r>
      <w:r>
        <w:rPr>
          <w:rFonts w:hint="eastAsia" w:ascii="Times New Roman" w:hAnsi="Times New Roman" w:eastAsia="仿宋_GB2312" w:cs="Times New Roman"/>
          <w:bCs w:val="0"/>
          <w:color w:val="auto"/>
          <w:szCs w:val="32"/>
        </w:rPr>
        <w:t>、支持乡村振兴</w:t>
      </w:r>
    </w:p>
    <w:p>
      <w:pPr>
        <w:snapToGrid w:val="0"/>
        <w:spacing w:line="480" w:lineRule="exact"/>
        <w:ind w:firstLine="560"/>
        <w:rPr>
          <w:rFonts w:hint="default"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1、统筹基础设施和基本公共服务设施布局。在乡域范围内统筹考虑村庄发展布局以及基础设施和公共服务设施用地布局，规划建立全域覆盖、普惠共享、城乡一体的基础设施和公共服务设施网络。</w:t>
      </w:r>
    </w:p>
    <w:p>
      <w:pPr>
        <w:snapToGrid w:val="0"/>
        <w:spacing w:line="480" w:lineRule="exact"/>
        <w:ind w:firstLine="560"/>
        <w:rPr>
          <w:rFonts w:hint="default"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2、统筹产业发展空间。统筹城乡产业发展，优化城乡产业用地布局，引导工业向城镇产业空间集聚，合理保障农村新产业新业态发展用地，明确产业用地用途、强度等要求。</w:t>
      </w:r>
    </w:p>
    <w:p>
      <w:pPr>
        <w:snapToGrid w:val="0"/>
        <w:spacing w:line="480" w:lineRule="exact"/>
        <w:ind w:firstLine="560"/>
        <w:rPr>
          <w:rFonts w:hint="default"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3、遵循乡村传统格局，划定乡村建设空间管控边界，明确用地规模和管控要求，强化空间发展的人性化、多样化，引导生活空间尺度适宜、布局协调、功能齐全。</w:t>
      </w:r>
    </w:p>
    <w:p>
      <w:pPr>
        <w:snapToGrid w:val="0"/>
        <w:spacing w:line="480" w:lineRule="exact"/>
        <w:ind w:firstLine="560"/>
        <w:rPr>
          <w:rFonts w:hint="default"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4、大力维护原生态村居风貌，保留乡村景观特色，保护自然和人文环境，合理配置教育医疗服务设施，规划建设文体活动中心、停车场等村落公共生活空间，配套完善乡村大众化服务网点，加快发展一批多功能商贸中心，充分满足农村居民休闲、娱乐、消费等多方面需求。</w:t>
      </w:r>
    </w:p>
    <w:p>
      <w:pPr>
        <w:snapToGrid w:val="0"/>
        <w:spacing w:line="480" w:lineRule="exact"/>
        <w:ind w:firstLine="560"/>
        <w:rPr>
          <w:rFonts w:hint="default"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5、统筹村庄安全和防灾减灾。分析地质灾害、洪涝等隐患，划定灾害影响范围和安全防护范围，提出综合防灾减灾的目标以及预防和应对各类灾害危害的措施。</w:t>
      </w:r>
    </w:p>
    <w:p>
      <w:pPr>
        <w:rPr>
          <w:rFonts w:hint="eastAsia" w:ascii="黑体" w:hAnsi="黑体" w:eastAsia="黑体" w:cs="黑体"/>
          <w:b/>
          <w:bCs/>
          <w:color w:val="auto"/>
          <w:sz w:val="32"/>
          <w:szCs w:val="32"/>
          <w:lang w:val="en-US" w:eastAsia="zh-CN"/>
        </w:rPr>
      </w:pPr>
      <w:r>
        <w:rPr>
          <w:rFonts w:hint="eastAsia" w:ascii="黑体" w:hAnsi="黑体" w:eastAsia="黑体" w:cs="黑体"/>
          <w:b/>
          <w:bCs/>
          <w:color w:val="auto"/>
          <w:sz w:val="32"/>
          <w:szCs w:val="32"/>
          <w:lang w:val="en-US" w:eastAsia="zh-CN"/>
        </w:rPr>
        <w:br w:type="page"/>
      </w:r>
    </w:p>
    <w:p>
      <w:pPr>
        <w:pStyle w:val="34"/>
        <w:keepNext/>
        <w:keepLines/>
        <w:pageBreakBefore w:val="0"/>
        <w:widowControl w:val="0"/>
        <w:kinsoku/>
        <w:wordWrap/>
        <w:overflowPunct/>
        <w:topLinePunct w:val="0"/>
        <w:autoSpaceDE/>
        <w:autoSpaceDN/>
        <w:bidi w:val="0"/>
        <w:adjustRightInd/>
        <w:snapToGrid/>
        <w:spacing w:before="156" w:beforeLines="50" w:after="156" w:afterLines="50"/>
        <w:ind w:left="0" w:firstLine="0" w:firstLineChars="0"/>
        <w:jc w:val="center"/>
        <w:textAlignment w:val="center"/>
        <w:rPr>
          <w:rFonts w:hint="eastAsia" w:ascii="Times New Roman" w:hAnsi="Times New Roman" w:eastAsia="Arial Unicode MS" w:cs="Times New Roman"/>
          <w:color w:val="auto"/>
          <w:lang w:val="en-US" w:eastAsia="zh-CN"/>
        </w:rPr>
      </w:pPr>
      <w:bookmarkStart w:id="45" w:name="_Toc10994"/>
      <w:r>
        <w:rPr>
          <w:rFonts w:hint="eastAsia" w:ascii="Times New Roman" w:hAnsi="Times New Roman" w:eastAsia="Arial Unicode MS" w:cs="Times New Roman"/>
          <w:color w:val="auto"/>
          <w:lang w:val="en-US" w:eastAsia="zh-CN"/>
        </w:rPr>
        <w:t>第六章 维育山清水秀的生态空间</w:t>
      </w:r>
      <w:bookmarkEnd w:id="45"/>
    </w:p>
    <w:p>
      <w:pPr>
        <w:pStyle w:val="33"/>
        <w:spacing w:before="156" w:beforeLines="50" w:after="156" w:afterLines="50" w:line="520" w:lineRule="exact"/>
        <w:rPr>
          <w:rFonts w:hint="eastAsia" w:ascii="Times New Roman" w:hAnsi="Times New Roman" w:cs="Times New Roman"/>
          <w:bCs w:val="0"/>
          <w:color w:val="auto"/>
          <w:kern w:val="2"/>
          <w:szCs w:val="32"/>
          <w:lang w:val="en-US" w:eastAsia="zh-CN"/>
        </w:rPr>
      </w:pPr>
      <w:bookmarkStart w:id="46" w:name="_Toc7234"/>
      <w:r>
        <w:rPr>
          <w:rFonts w:hint="eastAsia" w:ascii="Times New Roman" w:hAnsi="Times New Roman" w:cs="Times New Roman"/>
          <w:bCs w:val="0"/>
          <w:color w:val="auto"/>
          <w:kern w:val="2"/>
          <w:szCs w:val="32"/>
          <w:lang w:val="en-US" w:eastAsia="zh-CN"/>
        </w:rPr>
        <w:t>第一节 乡域生态系统保护格局</w:t>
      </w:r>
      <w:bookmarkEnd w:id="46"/>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统筹平富乡山水林田草各项资源特质，提升生态环境，形成“</w:t>
      </w:r>
      <w:r>
        <w:rPr>
          <w:rFonts w:hint="eastAsia" w:ascii="Times New Roman" w:hAnsi="Times New Roman" w:eastAsia="仿宋_GB2312" w:cs="Times New Roman"/>
          <w:b/>
          <w:bCs w:val="0"/>
          <w:color w:val="auto"/>
          <w:sz w:val="28"/>
          <w:szCs w:val="28"/>
          <w:lang w:val="en-US" w:eastAsia="zh-CN"/>
        </w:rPr>
        <w:t>一核多廊多节点</w:t>
      </w:r>
      <w:r>
        <w:rPr>
          <w:rFonts w:hint="eastAsia" w:ascii="Times New Roman" w:hAnsi="Times New Roman" w:eastAsia="仿宋_GB2312" w:cs="Times New Roman"/>
          <w:bCs/>
          <w:color w:val="auto"/>
          <w:sz w:val="28"/>
          <w:szCs w:val="28"/>
          <w:lang w:val="en-US" w:eastAsia="zh-CN"/>
        </w:rPr>
        <w:t>”的生态空间格局。</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
          <w:bCs w:val="0"/>
          <w:color w:val="auto"/>
          <w:sz w:val="28"/>
          <w:szCs w:val="28"/>
          <w:lang w:val="en-US" w:eastAsia="zh-CN"/>
        </w:rPr>
        <w:t>一核</w:t>
      </w:r>
      <w:r>
        <w:rPr>
          <w:rFonts w:hint="eastAsia" w:ascii="Times New Roman" w:hAnsi="Times New Roman" w:eastAsia="仿宋_GB2312" w:cs="Times New Roman"/>
          <w:bCs/>
          <w:color w:val="auto"/>
          <w:sz w:val="28"/>
          <w:szCs w:val="28"/>
          <w:lang w:val="en-US" w:eastAsia="zh-CN"/>
        </w:rPr>
        <w:t>：五指峰国家森林公园为区域生态核心，强化生态保护。</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
          <w:bCs w:val="0"/>
          <w:color w:val="auto"/>
          <w:sz w:val="28"/>
          <w:szCs w:val="28"/>
          <w:lang w:val="en-US" w:eastAsia="zh-CN"/>
        </w:rPr>
        <w:t>多廊</w:t>
      </w:r>
      <w:r>
        <w:rPr>
          <w:rFonts w:hint="eastAsia" w:ascii="Times New Roman" w:hAnsi="Times New Roman" w:eastAsia="仿宋_GB2312" w:cs="Times New Roman"/>
          <w:bCs/>
          <w:color w:val="auto"/>
          <w:sz w:val="28"/>
          <w:szCs w:val="28"/>
          <w:lang w:val="en-US" w:eastAsia="zh-CN"/>
        </w:rPr>
        <w:t>：一条主要生态廊道和多条次要生态廊道，主要生态廊道是指平富河生态廊，多条次要生态廊道是指上寨河及平富河支流生态廊。依托河流水系，加强河道两侧生态保护，加强林水结合，形成蓝绿交融的生态网络，同时提供生物多样性与动物栖息的联通空间。</w:t>
      </w:r>
    </w:p>
    <w:p>
      <w:pPr>
        <w:snapToGrid w:val="0"/>
        <w:spacing w:line="480" w:lineRule="exact"/>
        <w:ind w:firstLine="560"/>
        <w:rPr>
          <w:rFonts w:hint="eastAsia" w:ascii="Times New Roman" w:hAnsi="Times New Roman" w:eastAsia="仿宋_GB2312" w:cs="Times New Roman"/>
          <w:b w:val="0"/>
          <w:bCs/>
          <w:color w:val="auto"/>
          <w:sz w:val="28"/>
          <w:szCs w:val="28"/>
          <w:highlight w:val="none"/>
          <w:lang w:val="en-US" w:eastAsia="zh-CN"/>
        </w:rPr>
      </w:pPr>
      <w:r>
        <w:rPr>
          <w:rFonts w:hint="eastAsia" w:ascii="Times New Roman" w:hAnsi="Times New Roman" w:eastAsia="仿宋_GB2312" w:cs="Times New Roman"/>
          <w:bCs/>
          <w:color w:val="auto"/>
          <w:sz w:val="28"/>
          <w:szCs w:val="28"/>
          <w:lang w:val="en-US" w:eastAsia="zh-CN"/>
        </w:rPr>
        <w:t xml:space="preserve"> </w:t>
      </w:r>
      <w:r>
        <w:rPr>
          <w:rFonts w:hint="eastAsia" w:ascii="Times New Roman" w:hAnsi="Times New Roman" w:eastAsia="仿宋_GB2312" w:cs="Times New Roman"/>
          <w:b/>
          <w:bCs w:val="0"/>
          <w:color w:val="auto"/>
          <w:sz w:val="28"/>
          <w:szCs w:val="28"/>
          <w:lang w:val="en-US" w:eastAsia="zh-CN"/>
        </w:rPr>
        <w:t>多节点</w:t>
      </w:r>
      <w:r>
        <w:rPr>
          <w:rFonts w:hint="eastAsia" w:ascii="Times New Roman" w:hAnsi="Times New Roman" w:eastAsia="仿宋_GB2312" w:cs="Times New Roman"/>
          <w:bCs/>
          <w:color w:val="auto"/>
          <w:sz w:val="28"/>
          <w:szCs w:val="28"/>
          <w:lang w:val="en-US" w:eastAsia="zh-CN"/>
        </w:rPr>
        <w:t>：以自然山林形成的生态节点，重点保护生态环境</w:t>
      </w:r>
      <w:r>
        <w:rPr>
          <w:rFonts w:hint="eastAsia" w:ascii="Times New Roman" w:hAnsi="Times New Roman" w:eastAsia="仿宋_GB2312" w:cs="Times New Roman"/>
          <w:b w:val="0"/>
          <w:bCs/>
          <w:color w:val="auto"/>
          <w:sz w:val="28"/>
          <w:szCs w:val="28"/>
          <w:highlight w:val="none"/>
          <w:lang w:val="en-US" w:eastAsia="zh-CN"/>
        </w:rPr>
        <w:t>。</w:t>
      </w:r>
    </w:p>
    <w:p>
      <w:pPr>
        <w:pStyle w:val="33"/>
        <w:spacing w:before="156" w:beforeLines="50" w:after="156" w:afterLines="50" w:line="520" w:lineRule="exact"/>
        <w:rPr>
          <w:rFonts w:hint="eastAsia" w:ascii="Times New Roman" w:hAnsi="Times New Roman" w:cs="Times New Roman"/>
          <w:bCs w:val="0"/>
          <w:color w:val="auto"/>
          <w:kern w:val="2"/>
          <w:szCs w:val="32"/>
          <w:lang w:val="en-US" w:eastAsia="zh-CN"/>
        </w:rPr>
      </w:pPr>
      <w:bookmarkStart w:id="47" w:name="_Toc4399"/>
      <w:r>
        <w:rPr>
          <w:rFonts w:hint="eastAsia" w:ascii="Times New Roman" w:hAnsi="Times New Roman" w:cs="Times New Roman"/>
          <w:bCs w:val="0"/>
          <w:color w:val="auto"/>
          <w:kern w:val="2"/>
          <w:szCs w:val="32"/>
          <w:lang w:val="en-US" w:eastAsia="zh-CN"/>
        </w:rPr>
        <w:t>第二节 建立自然保护地体系</w:t>
      </w:r>
      <w:bookmarkEnd w:id="47"/>
    </w:p>
    <w:p>
      <w:pPr>
        <w:snapToGrid w:val="0"/>
        <w:spacing w:line="480" w:lineRule="exact"/>
        <w:ind w:firstLine="560"/>
        <w:rPr>
          <w:rFonts w:hint="default"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平富乡域范围内涉及自然保护地面积2061.86公顷，分别是江西五指峰国家森林公园面积为2061.42公顷和江西阳明湖国家森林公园面积为0.44公顷。</w:t>
      </w:r>
    </w:p>
    <w:p>
      <w:pPr>
        <w:snapToGrid w:val="0"/>
        <w:spacing w:line="480" w:lineRule="exact"/>
        <w:ind w:firstLine="560"/>
        <w:rPr>
          <w:rFonts w:hint="default"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自然保护区要严格实行分区管控，核心保护区除满足国家特殊战略需要的有关活动外，原则上禁止人为活动；一般控制区除满足国家特殊战略需要的有关活动外，原则上禁止开发性、生产性建设活动；各类自然公园原则上按一般控制区管理。</w:t>
      </w:r>
    </w:p>
    <w:p>
      <w:pPr>
        <w:pStyle w:val="33"/>
        <w:spacing w:before="156" w:beforeLines="50" w:after="156" w:afterLines="50" w:line="520" w:lineRule="exact"/>
        <w:rPr>
          <w:rFonts w:hint="eastAsia" w:ascii="Times New Roman" w:hAnsi="Times New Roman" w:cs="Times New Roman"/>
          <w:bCs w:val="0"/>
          <w:color w:val="auto"/>
          <w:kern w:val="2"/>
          <w:szCs w:val="32"/>
          <w:lang w:val="en-US" w:eastAsia="zh-CN"/>
        </w:rPr>
      </w:pPr>
      <w:bookmarkStart w:id="48" w:name="_Toc2366"/>
      <w:r>
        <w:rPr>
          <w:rFonts w:hint="eastAsia" w:ascii="Times New Roman" w:hAnsi="Times New Roman" w:cs="Times New Roman"/>
          <w:bCs w:val="0"/>
          <w:color w:val="auto"/>
          <w:kern w:val="2"/>
          <w:szCs w:val="32"/>
          <w:lang w:val="en-US" w:eastAsia="zh-CN"/>
        </w:rPr>
        <w:t>第三节 推动生态价值转换</w:t>
      </w:r>
      <w:bookmarkEnd w:id="48"/>
    </w:p>
    <w:p>
      <w:pPr>
        <w:pStyle w:val="36"/>
        <w:ind w:firstLine="562"/>
        <w:jc w:val="both"/>
        <w:rPr>
          <w:rFonts w:hint="default" w:ascii="Times New Roman" w:hAnsi="Times New Roman" w:eastAsia="仿宋_GB2312" w:cs="Times New Roman"/>
          <w:bCs w:val="0"/>
          <w:color w:val="auto"/>
          <w:szCs w:val="32"/>
          <w:lang w:val="en-US" w:eastAsia="zh-CN"/>
        </w:rPr>
      </w:pPr>
      <w:r>
        <w:rPr>
          <w:rFonts w:hint="eastAsia" w:ascii="Times New Roman" w:hAnsi="Times New Roman" w:eastAsia="仿宋_GB2312" w:cs="Times New Roman"/>
          <w:bCs w:val="0"/>
          <w:color w:val="auto"/>
          <w:szCs w:val="32"/>
          <w:lang w:val="en-US" w:eastAsia="zh-CN"/>
        </w:rPr>
        <w:t>一、推动生态价值转换</w:t>
      </w:r>
    </w:p>
    <w:p>
      <w:pPr>
        <w:snapToGrid w:val="0"/>
        <w:spacing w:line="480" w:lineRule="exact"/>
        <w:ind w:firstLine="560"/>
        <w:rPr>
          <w:rFonts w:hint="default"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1、促进生态资源通过市场化方式高效流转。一是建设高效生态资源市场体系。建立归属清晰、权责明确、监管有效的产权制度，培育形成多元化生态产品市场生产、供给主体，发展生态产品及其衍生品交易市场，建设统一、开放、竞争、有序的生态产品市场体系。二是建立科学生态资源定价机制。以深化要素市场化配置改革，促进要素自主有序流动，提高要素配置效率，激发全社会创造力和市场活力为基本原则，发挥市场的基础性作用，推动形成有效的价格形成机制。三是健全生态保护补偿机制。制定生态环境污染损害检测、评估、修复与生态恢复评估等方面的技术规范与标准；建立健全生态环境补偿机制和资源有偿使用制度，提升自然资源保护和合理利用水平。</w:t>
      </w:r>
    </w:p>
    <w:p>
      <w:pPr>
        <w:snapToGrid w:val="0"/>
        <w:spacing w:line="480" w:lineRule="exact"/>
        <w:ind w:firstLine="560"/>
        <w:rPr>
          <w:rFonts w:hint="default"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2、实现与新技术、新业态的融合发展。一是生态价值转化科技赋能。利用新一代信息技术提高价值转化效率和效益，通过电商直播、数字化营销等新手段，降低市场成本、拓展市场空间、提升交易规模；通过大数据、云平台等新服务，搭建各种信息中介、区域交易，及管理服务平台，促进生态产品价值实现。二是生态价值实现模式创新。以开放理念、创新思维，将生态价值主动融入新业态新模式发展浪潮，主动对接以互联网+、O2O等为代表的线上服务新模式；以产业数字化、数字产业化和虚拟产业园、产业集群等为代表的数字经济新动能；以微商、直播、副业创新，多点执业等为代表的新个体经济等。</w:t>
      </w:r>
    </w:p>
    <w:p>
      <w:pPr>
        <w:pStyle w:val="36"/>
        <w:ind w:firstLine="562"/>
        <w:jc w:val="both"/>
        <w:rPr>
          <w:rFonts w:hint="default" w:ascii="Times New Roman" w:hAnsi="Times New Roman" w:eastAsia="仿宋_GB2312" w:cs="Times New Roman"/>
          <w:bCs w:val="0"/>
          <w:color w:val="auto"/>
          <w:szCs w:val="32"/>
          <w:lang w:val="en-US" w:eastAsia="zh-CN"/>
        </w:rPr>
      </w:pPr>
      <w:r>
        <w:rPr>
          <w:rFonts w:hint="eastAsia" w:ascii="Times New Roman" w:hAnsi="Times New Roman" w:eastAsia="仿宋_GB2312" w:cs="Times New Roman"/>
          <w:bCs w:val="0"/>
          <w:color w:val="auto"/>
          <w:szCs w:val="32"/>
          <w:lang w:val="en-US" w:eastAsia="zh-CN"/>
        </w:rPr>
        <w:t>二、促进生态产品价值转换</w:t>
      </w:r>
    </w:p>
    <w:p>
      <w:pPr>
        <w:snapToGrid w:val="0"/>
        <w:spacing w:line="480" w:lineRule="exact"/>
        <w:ind w:firstLine="560"/>
        <w:rPr>
          <w:rFonts w:hint="default"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1、处理好生态产品价值转换重点矛盾。一是经济发展与生态保护的矛盾。既要避免一味追求经济效益的“唯经济论”，又要防止片面强调生态保护的“唯生态论”，坚持以生态效益价值挖掘和价值转化为核心，平衡经济发展与生态保护效益。二是长期效益与短期效益的矛盾。要充分认识生态效益的长期价值，避免以短期、片面视角制定生态效益评价指标，合理优化价值评估、绩效考核内容和体系。三是加强管理与简政放权的矛盾。在强化生态治理的核心指标、重点任务的同时，要优化市场发展环境、提升政务服务质量，既要避免过度管控、庸政懒政带来的发展阻碍，又要保障稳步有序发展。</w:t>
      </w:r>
    </w:p>
    <w:p>
      <w:pPr>
        <w:snapToGrid w:val="0"/>
        <w:spacing w:line="480" w:lineRule="exact"/>
        <w:ind w:firstLine="560"/>
        <w:rPr>
          <w:rFonts w:hint="default"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2、加快生态产品价值转换市场化步伐。一是坚持深化供给侧结构性改革。加强生态产品有效供给，优化供给方式和供给结构，加大生态要素开发力度，强化生态要素供给保障，增强对生态产品需求的适应性和灵活性。二是大力促进生态资源转化。围绕自然生态系统构建，大力发展生态产业，将生态价值有效融入一二三产业发展，积极开发新业态、新模式的生态产品，大力推进新技术、新要素在生态产品中的应用，着力培育生态产品产业链。三是加快培育生态资源要素市场。强化生态资源产权制度建设，着力解决产权界定不清、归属不明，开发保护权责模糊，监督管理职能缺失等紧迫问题，鼓励发展多层次要素市场，完善生态资源要素定价、交易机制。</w:t>
      </w:r>
    </w:p>
    <w:p>
      <w:pPr>
        <w:pStyle w:val="34"/>
        <w:keepNext w:val="0"/>
        <w:keepLines/>
        <w:pageBreakBefore/>
        <w:widowControl w:val="0"/>
        <w:kinsoku/>
        <w:wordWrap/>
        <w:overflowPunct/>
        <w:topLinePunct w:val="0"/>
        <w:autoSpaceDE/>
        <w:autoSpaceDN/>
        <w:bidi w:val="0"/>
        <w:adjustRightInd/>
        <w:snapToGrid/>
        <w:spacing w:before="156" w:beforeLines="50" w:after="156" w:afterLines="50"/>
        <w:ind w:left="0" w:firstLine="0" w:firstLineChars="0"/>
        <w:jc w:val="center"/>
        <w:textAlignment w:val="center"/>
        <w:rPr>
          <w:rFonts w:hint="default" w:ascii="Times New Roman" w:hAnsi="Times New Roman" w:eastAsia="Arial Unicode MS" w:cs="Times New Roman"/>
          <w:color w:val="auto"/>
          <w:lang w:val="en-US" w:eastAsia="zh-CN"/>
        </w:rPr>
      </w:pPr>
      <w:bookmarkStart w:id="49" w:name="_Toc18493"/>
      <w:r>
        <w:rPr>
          <w:rFonts w:hint="eastAsia" w:ascii="Times New Roman" w:hAnsi="Times New Roman" w:eastAsia="Arial Unicode MS" w:cs="Times New Roman"/>
          <w:color w:val="auto"/>
          <w:lang w:val="en-US" w:eastAsia="zh-CN"/>
        </w:rPr>
        <w:t>第七章 构建高效协同的乡村空间</w:t>
      </w:r>
      <w:bookmarkEnd w:id="49"/>
    </w:p>
    <w:p>
      <w:pPr>
        <w:pStyle w:val="33"/>
        <w:spacing w:before="156" w:beforeLines="50" w:after="156" w:afterLines="50" w:line="520" w:lineRule="exact"/>
        <w:rPr>
          <w:rFonts w:hint="eastAsia" w:ascii="Times New Roman" w:hAnsi="Times New Roman" w:cs="Times New Roman"/>
          <w:bCs w:val="0"/>
          <w:color w:val="auto"/>
          <w:kern w:val="2"/>
          <w:szCs w:val="32"/>
          <w:lang w:val="en-US" w:eastAsia="zh-CN"/>
        </w:rPr>
      </w:pPr>
      <w:bookmarkStart w:id="50" w:name="_Toc21168"/>
      <w:r>
        <w:rPr>
          <w:rFonts w:hint="eastAsia" w:ascii="Times New Roman" w:hAnsi="Times New Roman" w:cs="Times New Roman"/>
          <w:bCs w:val="0"/>
          <w:color w:val="auto"/>
          <w:kern w:val="2"/>
          <w:szCs w:val="32"/>
          <w:lang w:val="en-US" w:eastAsia="zh-CN"/>
        </w:rPr>
        <w:t>第一节 乡域乡村空间格局</w:t>
      </w:r>
      <w:bookmarkEnd w:id="50"/>
    </w:p>
    <w:p>
      <w:pPr>
        <w:pStyle w:val="36"/>
        <w:ind w:firstLine="562"/>
        <w:jc w:val="both"/>
        <w:rPr>
          <w:rFonts w:hint="eastAsia" w:ascii="Times New Roman" w:hAnsi="Times New Roman" w:eastAsia="仿宋_GB2312" w:cs="Times New Roman"/>
          <w:bCs w:val="0"/>
          <w:color w:val="auto"/>
          <w:szCs w:val="32"/>
          <w:lang w:val="en-US" w:eastAsia="zh-CN"/>
        </w:rPr>
      </w:pPr>
      <w:r>
        <w:rPr>
          <w:rFonts w:hint="eastAsia" w:ascii="Times New Roman" w:hAnsi="Times New Roman" w:eastAsia="仿宋_GB2312" w:cs="Times New Roman"/>
          <w:bCs w:val="0"/>
          <w:color w:val="auto"/>
          <w:szCs w:val="32"/>
          <w:lang w:val="en-US" w:eastAsia="zh-CN"/>
        </w:rPr>
        <w:t xml:space="preserve">一、人口与城镇化 </w:t>
      </w:r>
    </w:p>
    <w:p>
      <w:pPr>
        <w:pStyle w:val="36"/>
        <w:ind w:firstLine="562"/>
        <w:jc w:val="both"/>
        <w:rPr>
          <w:rFonts w:hint="eastAsia" w:ascii="Times New Roman" w:hAnsi="Times New Roman" w:eastAsia="仿宋_GB2312" w:cs="Times New Roman"/>
          <w:b w:val="0"/>
          <w:bCs/>
          <w:color w:val="auto"/>
          <w:szCs w:val="32"/>
          <w:lang w:val="en-US" w:eastAsia="zh-CN"/>
        </w:rPr>
      </w:pPr>
      <w:r>
        <w:rPr>
          <w:rFonts w:hint="eastAsia" w:ascii="Times New Roman" w:hAnsi="Times New Roman" w:eastAsia="仿宋_GB2312" w:cs="Times New Roman"/>
          <w:b w:val="0"/>
          <w:bCs/>
          <w:color w:val="auto"/>
          <w:szCs w:val="32"/>
          <w:lang w:val="en-US" w:eastAsia="zh-CN"/>
        </w:rPr>
        <w:t>1、户籍人口预测</w:t>
      </w:r>
    </w:p>
    <w:p>
      <w:pPr>
        <w:pStyle w:val="36"/>
        <w:ind w:firstLine="562"/>
        <w:jc w:val="both"/>
        <w:rPr>
          <w:rFonts w:hint="eastAsia"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 xml:space="preserve">  综合增长率法：2020年平富乡现状户籍人口13015 人，根据上犹县平富历年人口变化趋势，计算年均增长率，并采用增长率模型进行人口预测。</w:t>
      </w:r>
    </w:p>
    <w:p>
      <w:pPr>
        <w:pStyle w:val="36"/>
        <w:ind w:firstLine="562"/>
        <w:jc w:val="both"/>
        <w:rPr>
          <w:rFonts w:hint="eastAsia"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Pt= Po* (1+r)"</w:t>
      </w:r>
    </w:p>
    <w:p>
      <w:pPr>
        <w:pStyle w:val="36"/>
        <w:ind w:firstLine="562"/>
        <w:jc w:val="both"/>
        <w:rPr>
          <w:rFonts w:hint="eastAsia"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其中：P—规划期末总人口；</w:t>
      </w:r>
    </w:p>
    <w:p>
      <w:pPr>
        <w:pStyle w:val="36"/>
        <w:ind w:firstLine="562"/>
        <w:jc w:val="both"/>
        <w:rPr>
          <w:rFonts w:hint="eastAsia"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r—人口年均增长率；n—目标年限。</w:t>
      </w:r>
    </w:p>
    <w:p>
      <w:pPr>
        <w:pStyle w:val="36"/>
        <w:ind w:firstLine="562"/>
        <w:jc w:val="both"/>
        <w:rPr>
          <w:rFonts w:hint="eastAsia"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2010 年后，增长率变化趋于稳定，近期年均增长率为5.00‰，远期年均增长率为3‰。</w:t>
      </w:r>
    </w:p>
    <w:p>
      <w:pPr>
        <w:pStyle w:val="36"/>
        <w:ind w:firstLine="562"/>
        <w:jc w:val="both"/>
        <w:rPr>
          <w:rFonts w:hint="eastAsia"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综合增长率法：预计 2025 年近期乡域户籍人口约为13280人，</w:t>
      </w:r>
    </w:p>
    <w:p>
      <w:pPr>
        <w:pStyle w:val="36"/>
        <w:ind w:firstLine="562"/>
        <w:jc w:val="both"/>
        <w:rPr>
          <w:rFonts w:hint="eastAsia"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2035 年远期乡域户籍人口约13890人，</w:t>
      </w:r>
    </w:p>
    <w:p>
      <w:pPr>
        <w:pStyle w:val="36"/>
        <w:ind w:firstLine="562"/>
        <w:jc w:val="both"/>
        <w:rPr>
          <w:rFonts w:hint="default"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平富乡规划至2025年户籍人口1.33万人，至2035年户籍人口1.39万人。</w:t>
      </w:r>
    </w:p>
    <w:p>
      <w:pPr>
        <w:pStyle w:val="36"/>
        <w:ind w:firstLine="562"/>
        <w:jc w:val="both"/>
        <w:rPr>
          <w:rFonts w:hint="eastAsia" w:ascii="Times New Roman" w:hAnsi="Times New Roman" w:eastAsia="仿宋_GB2312" w:cs="Times New Roman"/>
          <w:b w:val="0"/>
          <w:bCs/>
          <w:color w:val="auto"/>
          <w:szCs w:val="32"/>
          <w:lang w:val="en-US" w:eastAsia="zh-CN"/>
        </w:rPr>
      </w:pPr>
      <w:r>
        <w:rPr>
          <w:rFonts w:hint="eastAsia" w:ascii="Times New Roman" w:hAnsi="Times New Roman" w:eastAsia="仿宋_GB2312" w:cs="Times New Roman"/>
          <w:b w:val="0"/>
          <w:bCs/>
          <w:color w:val="auto"/>
          <w:szCs w:val="32"/>
          <w:lang w:val="en-US" w:eastAsia="zh-CN"/>
        </w:rPr>
        <w:t>2、常住人口预测</w:t>
      </w:r>
    </w:p>
    <w:p>
      <w:pPr>
        <w:pStyle w:val="36"/>
        <w:ind w:firstLine="562"/>
        <w:jc w:val="both"/>
        <w:rPr>
          <w:rFonts w:hint="eastAsia"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2020年平富乡常住人口5597人，占户籍人口为43.04%。</w:t>
      </w:r>
    </w:p>
    <w:p>
      <w:pPr>
        <w:pStyle w:val="36"/>
        <w:ind w:firstLine="562"/>
        <w:jc w:val="both"/>
        <w:rPr>
          <w:rFonts w:hint="eastAsia"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上位规划衔接：《上犹县国土空间总体规划（2021-2035年）》规划平富乡人口规模为0.1-0.5万人。</w:t>
      </w:r>
    </w:p>
    <w:p>
      <w:pPr>
        <w:pStyle w:val="36"/>
        <w:ind w:firstLine="562"/>
        <w:jc w:val="both"/>
        <w:rPr>
          <w:rFonts w:hint="default"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综合增长率：年均增长率为-10‰，至2025年规划常住人口0.54万人，至2035年规划常住人0.5万人。</w:t>
      </w:r>
    </w:p>
    <w:p>
      <w:pPr>
        <w:pStyle w:val="36"/>
        <w:ind w:firstLine="562"/>
        <w:jc w:val="both"/>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综上所述，规划平富乡至2035年常住人口0.5万人，集镇常住人口0.2万人。</w:t>
      </w:r>
    </w:p>
    <w:p>
      <w:pPr>
        <w:pStyle w:val="36"/>
        <w:ind w:firstLine="562"/>
        <w:jc w:val="both"/>
        <w:rPr>
          <w:rFonts w:hint="default" w:ascii="Times New Roman" w:hAnsi="Times New Roman" w:eastAsia="仿宋_GB2312" w:cs="Times New Roman"/>
          <w:b w:val="0"/>
          <w:bCs/>
          <w:color w:val="auto"/>
          <w:szCs w:val="32"/>
          <w:lang w:val="en-US" w:eastAsia="zh-CN"/>
        </w:rPr>
      </w:pPr>
      <w:r>
        <w:rPr>
          <w:rFonts w:hint="eastAsia" w:ascii="Times New Roman" w:hAnsi="Times New Roman" w:eastAsia="仿宋_GB2312" w:cs="Times New Roman"/>
          <w:b w:val="0"/>
          <w:bCs/>
          <w:color w:val="auto"/>
          <w:szCs w:val="32"/>
          <w:lang w:val="en-US" w:eastAsia="zh-CN"/>
        </w:rPr>
        <w:t>3、城镇化率预测</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上位规划衔接：《上犹县国土空间总体规划（2021-2035年）》规划全县的城镇化率71%。</w:t>
      </w:r>
    </w:p>
    <w:p>
      <w:pPr>
        <w:snapToGrid w:val="0"/>
        <w:spacing w:line="480" w:lineRule="exact"/>
        <w:ind w:firstLine="560"/>
        <w:rPr>
          <w:rFonts w:hint="default"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城镇化水平预测主要是在农业剩余劳动力迁移转换的基础上，加上农业人口、城镇就业人口分布的地域差异以及周边区域剩余劳动力和人口分布的差异，以“中心带动”和“农业人口城镇化”及旅游业的发展为核心力量，规划至2025年平富乡城镇化率33%。规划至2035年城镇化率38%。</w:t>
      </w:r>
    </w:p>
    <w:p>
      <w:pPr>
        <w:pStyle w:val="36"/>
        <w:ind w:firstLine="562"/>
        <w:jc w:val="both"/>
        <w:rPr>
          <w:rFonts w:hint="eastAsia" w:ascii="Times New Roman" w:hAnsi="Times New Roman" w:eastAsia="仿宋_GB2312" w:cs="Times New Roman"/>
          <w:bCs w:val="0"/>
          <w:color w:val="auto"/>
          <w:szCs w:val="32"/>
          <w:lang w:val="en-US" w:eastAsia="zh-CN"/>
        </w:rPr>
      </w:pPr>
      <w:r>
        <w:rPr>
          <w:rFonts w:hint="eastAsia" w:ascii="Times New Roman" w:hAnsi="Times New Roman" w:eastAsia="仿宋_GB2312" w:cs="Times New Roman"/>
          <w:bCs w:val="0"/>
          <w:color w:val="auto"/>
          <w:szCs w:val="32"/>
          <w:lang w:val="en-US" w:eastAsia="zh-CN"/>
        </w:rPr>
        <w:t>二、乡域乡村等级结构</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结合平富乡自身发展基础及优势，整合区域的公共资源，科学制定空间发展战略，完善公共服务设施和基础设施配套，推进城乡统筹发展进程，加强乡村职能分类与引导，规划产业特色鲜明、生态环境优美、颇具人文气息的特色集镇与村庄。</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规划形成“一主一副一轴多点”乡村体系。</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一主：平富乡集镇，包括所在的平富村、庄前村，是全乡商业贸易、文化、教育、科技、服务、信息、体育及医疗卫生等中心，对周围乡村有较强的经济、文化、交通、信息等辐射带动功能。</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一副：以上寨村为中心村，是主要乡域西部的居民生活的服务中心。凝聚片区发展，对周围村庄起到一定的辐射和带动作用。</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一轴：沿G220形城乡发展轴。</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多点：即乡域范围内五个其他行政村，是各行政村内主要的生活、生产服务中心，承接一般农业和部分产业职能，是乡域发展的基本单元。</w:t>
      </w:r>
    </w:p>
    <w:p>
      <w:pPr>
        <w:pStyle w:val="36"/>
        <w:ind w:firstLine="562"/>
        <w:jc w:val="both"/>
        <w:rPr>
          <w:rFonts w:hint="eastAsia" w:ascii="Times New Roman" w:hAnsi="Times New Roman" w:eastAsia="仿宋_GB2312" w:cs="Times New Roman"/>
          <w:bCs w:val="0"/>
          <w:color w:val="auto"/>
          <w:szCs w:val="32"/>
          <w:lang w:val="en-US" w:eastAsia="zh-CN"/>
        </w:rPr>
      </w:pPr>
      <w:r>
        <w:rPr>
          <w:rFonts w:hint="eastAsia" w:ascii="Times New Roman" w:hAnsi="Times New Roman" w:eastAsia="仿宋_GB2312" w:cs="Times New Roman"/>
          <w:bCs w:val="0"/>
          <w:color w:val="auto"/>
          <w:szCs w:val="32"/>
          <w:lang w:val="en-US" w:eastAsia="zh-CN"/>
        </w:rPr>
        <w:t>三、乡域乡村规模结构</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结合城镇（村）发展水平预测，对各村区位条件、交通条件、经济发展水平等发展潜力因素进行分析评价后，本次规划遵循重点培育集镇和中心村的发展思路，规划乡域形成三级规模结构体系。</w:t>
      </w:r>
    </w:p>
    <w:p>
      <w:pPr>
        <w:snapToGrid w:val="0"/>
        <w:spacing w:line="480" w:lineRule="exact"/>
        <w:ind w:firstLine="560"/>
        <w:rPr>
          <w:rFonts w:hint="eastAsia" w:ascii="Times New Roman" w:hAnsi="Times New Roman" w:eastAsia="仿宋_GB2312" w:cs="Times New Roman"/>
          <w:bCs/>
          <w:sz w:val="28"/>
          <w:szCs w:val="28"/>
          <w:lang w:val="en-US" w:eastAsia="zh-CN"/>
        </w:rPr>
      </w:pPr>
      <w:r>
        <w:rPr>
          <w:rFonts w:hint="eastAsia" w:ascii="Times New Roman" w:hAnsi="Times New Roman" w:eastAsia="仿宋_GB2312" w:cs="Times New Roman"/>
          <w:bCs/>
          <w:sz w:val="28"/>
          <w:szCs w:val="28"/>
          <w:lang w:val="en-US" w:eastAsia="zh-CN"/>
        </w:rPr>
        <w:t>第一级人口规模3-5千的1个，为集镇所在平富村和庄前村；第二级人口规模2-3千的2个，为上寨村和向前村；第三级人口规模在2千人以下的5个一般村，包含信地村、庄前村、庄坑村、横坑村、大潭村。</w:t>
      </w:r>
    </w:p>
    <w:p>
      <w:pPr>
        <w:pStyle w:val="36"/>
        <w:ind w:firstLine="562"/>
        <w:jc w:val="both"/>
        <w:rPr>
          <w:rFonts w:hint="eastAsia" w:ascii="Times New Roman" w:hAnsi="Times New Roman" w:eastAsia="仿宋_GB2312" w:cs="Times New Roman"/>
          <w:bCs w:val="0"/>
          <w:color w:val="auto"/>
          <w:szCs w:val="32"/>
          <w:lang w:val="en-US" w:eastAsia="zh-CN"/>
        </w:rPr>
      </w:pPr>
      <w:r>
        <w:rPr>
          <w:rFonts w:hint="eastAsia" w:ascii="Times New Roman" w:hAnsi="Times New Roman" w:eastAsia="仿宋_GB2312" w:cs="Times New Roman"/>
          <w:bCs w:val="0"/>
          <w:color w:val="auto"/>
          <w:szCs w:val="32"/>
          <w:lang w:val="en-US" w:eastAsia="zh-CN"/>
        </w:rPr>
        <w:t>四、乡域乡村职能结构</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从乡域各行政村的资源禀赋和经济基础出发，明确集镇、中心村和一般村的职能，确定其主导发展方向，强化村庄服务功能，形成分工明确、各具特色、协调发展的城镇（村）职能体系，规划平富乡域乡村职能结构分为3种类型。</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综合型：具备多种职能的综合性服务中心，共2个，为平富乡集镇所在的平富村和庄前村。</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农旅型：以农业休闲及观光旅游为主导职能，共2个，为中心村上寨村和一般村向前村。</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农业型：以农业生产及农产品加工业为主导职能，共5个，为</w:t>
      </w:r>
      <w:r>
        <w:rPr>
          <w:rFonts w:hint="eastAsia" w:ascii="Times New Roman" w:hAnsi="Times New Roman" w:eastAsia="仿宋_GB2312" w:cs="Times New Roman"/>
          <w:bCs/>
          <w:sz w:val="28"/>
          <w:szCs w:val="28"/>
          <w:lang w:val="en-US" w:eastAsia="zh-CN"/>
        </w:rPr>
        <w:t>信地村、庄坑村、横坑村、大潭村、</w:t>
      </w:r>
      <w:r>
        <w:rPr>
          <w:rFonts w:hint="eastAsia" w:ascii="Times New Roman" w:hAnsi="Times New Roman" w:eastAsia="仿宋_GB2312" w:cs="Times New Roman"/>
          <w:bCs/>
          <w:color w:val="auto"/>
          <w:sz w:val="28"/>
          <w:szCs w:val="28"/>
          <w:lang w:val="en-US" w:eastAsia="zh-CN"/>
        </w:rPr>
        <w:t>庄前村。</w:t>
      </w:r>
    </w:p>
    <w:p>
      <w:pPr>
        <w:pStyle w:val="30"/>
        <w:spacing w:before="62" w:beforeLines="20" w:after="62" w:afterLines="20"/>
        <w:rPr>
          <w:rFonts w:hint="eastAsia" w:ascii="Times New Roman" w:hAnsi="Times New Roman" w:eastAsia="仿宋_GB2312"/>
          <w:color w:val="auto"/>
          <w:lang w:val="en-US" w:eastAsia="zh-CN"/>
        </w:rPr>
      </w:pPr>
      <w:r>
        <w:rPr>
          <w:rFonts w:hint="eastAsia" w:ascii="Times New Roman" w:hAnsi="Times New Roman" w:eastAsia="仿宋_GB2312"/>
          <w:color w:val="auto"/>
          <w:lang w:val="en-US" w:eastAsia="zh-CN"/>
        </w:rPr>
        <w:t>表7-1 平富乡村体系规划表</w:t>
      </w:r>
    </w:p>
    <w:tbl>
      <w:tblPr>
        <w:tblStyle w:val="19"/>
        <w:tblW w:w="791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190"/>
        <w:gridCol w:w="1166"/>
        <w:gridCol w:w="1675"/>
        <w:gridCol w:w="2138"/>
        <w:gridCol w:w="17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39" w:hRule="atLeast"/>
        </w:trPr>
        <w:tc>
          <w:tcPr>
            <w:tcW w:w="119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等级规模</w:t>
            </w:r>
          </w:p>
        </w:tc>
        <w:tc>
          <w:tcPr>
            <w:tcW w:w="1166"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个数（个）</w:t>
            </w:r>
          </w:p>
        </w:tc>
        <w:tc>
          <w:tcPr>
            <w:tcW w:w="1675"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名称</w:t>
            </w:r>
          </w:p>
        </w:tc>
        <w:tc>
          <w:tcPr>
            <w:tcW w:w="2138"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规划人口（万人）</w:t>
            </w:r>
          </w:p>
        </w:tc>
        <w:tc>
          <w:tcPr>
            <w:tcW w:w="1749"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职能分类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4" w:hRule="atLeast"/>
        </w:trPr>
        <w:tc>
          <w:tcPr>
            <w:tcW w:w="1190" w:type="dxa"/>
            <w:vMerge w:val="restart"/>
            <w:tcBorders>
              <w:top w:val="single" w:color="000000" w:sz="6" w:space="0"/>
              <w:left w:val="single" w:color="000000" w:sz="6" w:space="0"/>
              <w:right w:val="single" w:color="000000" w:sz="6" w:space="0"/>
            </w:tcBorders>
            <w:shd w:val="clear" w:color="auto" w:fill="auto"/>
            <w:tcMar>
              <w:left w:w="108" w:type="dxa"/>
              <w:right w:w="108" w:type="dxa"/>
            </w:tcMar>
            <w:vAlign w:val="center"/>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集镇</w:t>
            </w:r>
          </w:p>
        </w:tc>
        <w:tc>
          <w:tcPr>
            <w:tcW w:w="1166" w:type="dxa"/>
            <w:vMerge w:val="restart"/>
            <w:tcBorders>
              <w:top w:val="single" w:color="000000" w:sz="6" w:space="0"/>
              <w:left w:val="single" w:color="000000" w:sz="6" w:space="0"/>
              <w:right w:val="single" w:color="000000" w:sz="6" w:space="0"/>
            </w:tcBorders>
            <w:shd w:val="clear" w:color="auto" w:fill="auto"/>
            <w:tcMar>
              <w:left w:w="108" w:type="dxa"/>
              <w:right w:w="108" w:type="dxa"/>
            </w:tcMar>
            <w:vAlign w:val="center"/>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2</w:t>
            </w:r>
          </w:p>
        </w:tc>
        <w:tc>
          <w:tcPr>
            <w:tcW w:w="1675"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平富村</w:t>
            </w:r>
          </w:p>
        </w:tc>
        <w:tc>
          <w:tcPr>
            <w:tcW w:w="2138" w:type="dxa"/>
            <w:vMerge w:val="restart"/>
            <w:tcBorders>
              <w:top w:val="single" w:color="000000" w:sz="6" w:space="0"/>
              <w:left w:val="single" w:color="000000" w:sz="6" w:space="0"/>
              <w:right w:val="single" w:color="000000" w:sz="6" w:space="0"/>
            </w:tcBorders>
            <w:shd w:val="clear" w:color="auto" w:fill="auto"/>
            <w:tcMar>
              <w:left w:w="108" w:type="dxa"/>
              <w:right w:w="108" w:type="dxa"/>
            </w:tcMar>
            <w:vAlign w:val="center"/>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0.3-0.5</w:t>
            </w:r>
          </w:p>
          <w:p>
            <w:pPr>
              <w:pStyle w:val="31"/>
              <w:ind w:firstLine="0" w:firstLineChars="0"/>
              <w:rPr>
                <w:rFonts w:hint="eastAsia" w:ascii="Times New Roman" w:hAnsi="Times New Roman" w:eastAsia="仿宋_GB2312" w:cs="Times New Roman"/>
                <w:b w:val="0"/>
                <w:bCs/>
                <w:color w:val="auto"/>
                <w:kern w:val="0"/>
                <w:sz w:val="21"/>
                <w:szCs w:val="24"/>
                <w:lang w:val="en-US" w:eastAsia="zh-CN" w:bidi="ar"/>
              </w:rPr>
            </w:pPr>
          </w:p>
        </w:tc>
        <w:tc>
          <w:tcPr>
            <w:tcW w:w="1749" w:type="dxa"/>
            <w:vMerge w:val="restart"/>
            <w:tcBorders>
              <w:top w:val="single" w:color="000000" w:sz="6" w:space="0"/>
              <w:left w:val="single" w:color="000000" w:sz="6" w:space="0"/>
              <w:right w:val="single" w:color="000000" w:sz="6" w:space="0"/>
            </w:tcBorders>
            <w:shd w:val="clear" w:color="auto" w:fill="auto"/>
            <w:tcMar>
              <w:left w:w="108" w:type="dxa"/>
              <w:right w:w="108" w:type="dxa"/>
            </w:tcMar>
            <w:vAlign w:val="center"/>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综合型</w:t>
            </w:r>
          </w:p>
          <w:p>
            <w:pPr>
              <w:pStyle w:val="31"/>
              <w:ind w:firstLine="0" w:firstLineChars="0"/>
              <w:rPr>
                <w:rFonts w:hint="eastAsia" w:ascii="Times New Roman" w:hAnsi="Times New Roman" w:eastAsia="仿宋_GB2312" w:cs="Times New Roman"/>
                <w:b w:val="0"/>
                <w:bCs/>
                <w:color w:val="auto"/>
                <w:kern w:val="0"/>
                <w:sz w:val="21"/>
                <w:szCs w:val="24"/>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4" w:hRule="atLeast"/>
        </w:trPr>
        <w:tc>
          <w:tcPr>
            <w:tcW w:w="1190" w:type="dxa"/>
            <w:vMerge w:val="continue"/>
            <w:tcBorders>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31"/>
              <w:rPr>
                <w:rFonts w:hint="eastAsia" w:ascii="Times New Roman" w:hAnsi="Times New Roman" w:eastAsia="仿宋_GB2312" w:cs="Times New Roman"/>
                <w:b w:val="0"/>
                <w:bCs/>
                <w:color w:val="auto"/>
                <w:lang w:val="en-US" w:eastAsia="zh-CN" w:bidi="ar"/>
              </w:rPr>
            </w:pPr>
          </w:p>
        </w:tc>
        <w:tc>
          <w:tcPr>
            <w:tcW w:w="1166" w:type="dxa"/>
            <w:vMerge w:val="continue"/>
            <w:tcBorders>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31"/>
              <w:rPr>
                <w:rFonts w:hint="eastAsia" w:ascii="Times New Roman" w:hAnsi="Times New Roman" w:eastAsia="仿宋_GB2312" w:cs="Times New Roman"/>
                <w:b w:val="0"/>
                <w:bCs/>
                <w:color w:val="auto"/>
                <w:lang w:val="en-US" w:eastAsia="zh-CN" w:bidi="ar"/>
              </w:rPr>
            </w:pPr>
          </w:p>
        </w:tc>
        <w:tc>
          <w:tcPr>
            <w:tcW w:w="1675"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bottom"/>
          </w:tcPr>
          <w:p>
            <w:pPr>
              <w:pStyle w:val="31"/>
              <w:ind w:firstLine="0" w:firstLineChars="0"/>
              <w:rPr>
                <w:rFonts w:hint="eastAsia" w:ascii="Times New Roman" w:hAnsi="Times New Roman" w:eastAsia="仿宋_GB2312" w:cs="Times New Roman"/>
                <w:b w:val="0"/>
                <w:bCs/>
                <w:color w:val="auto"/>
                <w:kern w:val="0"/>
                <w:sz w:val="21"/>
                <w:szCs w:val="24"/>
                <w:lang w:val="en-US" w:eastAsia="zh-CN" w:bidi="ar"/>
              </w:rPr>
            </w:pPr>
            <w:r>
              <w:rPr>
                <w:rFonts w:hint="eastAsia" w:ascii="Times New Roman" w:hAnsi="Times New Roman" w:eastAsia="仿宋_GB2312" w:cs="Times New Roman"/>
                <w:b w:val="0"/>
                <w:bCs/>
                <w:color w:val="auto"/>
                <w:lang w:val="en-US" w:eastAsia="zh-CN" w:bidi="ar"/>
              </w:rPr>
              <w:t>庄前村</w:t>
            </w:r>
          </w:p>
        </w:tc>
        <w:tc>
          <w:tcPr>
            <w:tcW w:w="2138" w:type="dxa"/>
            <w:vMerge w:val="continue"/>
            <w:tcBorders>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31"/>
              <w:ind w:firstLine="0" w:firstLineChars="0"/>
              <w:rPr>
                <w:rFonts w:hint="eastAsia" w:ascii="Times New Roman" w:hAnsi="Times New Roman" w:eastAsia="仿宋_GB2312" w:cs="Times New Roman"/>
                <w:b w:val="0"/>
                <w:bCs/>
                <w:color w:val="auto"/>
                <w:kern w:val="0"/>
                <w:sz w:val="21"/>
                <w:szCs w:val="24"/>
                <w:lang w:val="en-US" w:eastAsia="zh-CN" w:bidi="ar"/>
              </w:rPr>
            </w:pPr>
          </w:p>
        </w:tc>
        <w:tc>
          <w:tcPr>
            <w:tcW w:w="1749" w:type="dxa"/>
            <w:vMerge w:val="continue"/>
            <w:tcBorders>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31"/>
              <w:ind w:firstLine="0" w:firstLineChars="0"/>
              <w:rPr>
                <w:rFonts w:hint="eastAsia" w:ascii="Times New Roman" w:hAnsi="Times New Roman" w:eastAsia="仿宋_GB2312" w:cs="Times New Roman"/>
                <w:b w:val="0"/>
                <w:bCs/>
                <w:color w:val="auto"/>
                <w:kern w:val="0"/>
                <w:sz w:val="21"/>
                <w:szCs w:val="24"/>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39" w:hRule="atLeast"/>
        </w:trPr>
        <w:tc>
          <w:tcPr>
            <w:tcW w:w="1190"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中心村</w:t>
            </w:r>
          </w:p>
        </w:tc>
        <w:tc>
          <w:tcPr>
            <w:tcW w:w="1166"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1</w:t>
            </w:r>
          </w:p>
        </w:tc>
        <w:tc>
          <w:tcPr>
            <w:tcW w:w="1675"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上寨村</w:t>
            </w:r>
          </w:p>
        </w:tc>
        <w:tc>
          <w:tcPr>
            <w:tcW w:w="2138"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31"/>
              <w:rPr>
                <w:rFonts w:hint="default"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0.2-0.3</w:t>
            </w:r>
          </w:p>
        </w:tc>
        <w:tc>
          <w:tcPr>
            <w:tcW w:w="1749"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农旅型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42" w:hRule="atLeast"/>
        </w:trPr>
        <w:tc>
          <w:tcPr>
            <w:tcW w:w="1190" w:type="dxa"/>
            <w:vMerge w:val="restart"/>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一般村</w:t>
            </w:r>
          </w:p>
        </w:tc>
        <w:tc>
          <w:tcPr>
            <w:tcW w:w="1166" w:type="dxa"/>
            <w:vMerge w:val="restart"/>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31"/>
              <w:rPr>
                <w:rFonts w:hint="default"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5</w:t>
            </w:r>
          </w:p>
        </w:tc>
        <w:tc>
          <w:tcPr>
            <w:tcW w:w="1675"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向前村</w:t>
            </w:r>
          </w:p>
        </w:tc>
        <w:tc>
          <w:tcPr>
            <w:tcW w:w="2138"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0.2-0.3</w:t>
            </w:r>
          </w:p>
        </w:tc>
        <w:tc>
          <w:tcPr>
            <w:tcW w:w="1749"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农旅型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42" w:hRule="atLeast"/>
        </w:trPr>
        <w:tc>
          <w:tcPr>
            <w:tcW w:w="1190" w:type="dxa"/>
            <w:vMerge w:val="continue"/>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31"/>
              <w:rPr>
                <w:rFonts w:hint="eastAsia" w:ascii="Times New Roman" w:hAnsi="Times New Roman" w:eastAsia="仿宋_GB2312" w:cs="Times New Roman"/>
                <w:b w:val="0"/>
                <w:bCs/>
                <w:color w:val="auto"/>
                <w:lang w:val="en-US" w:eastAsia="zh-CN" w:bidi="ar"/>
              </w:rPr>
            </w:pPr>
          </w:p>
        </w:tc>
        <w:tc>
          <w:tcPr>
            <w:tcW w:w="1166" w:type="dxa"/>
            <w:vMerge w:val="continue"/>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31"/>
              <w:rPr>
                <w:rFonts w:hint="eastAsia" w:ascii="Times New Roman" w:hAnsi="Times New Roman" w:eastAsia="仿宋_GB2312" w:cs="Times New Roman"/>
                <w:b w:val="0"/>
                <w:bCs/>
                <w:color w:val="auto"/>
                <w:lang w:val="en-US" w:eastAsia="zh-CN" w:bidi="ar"/>
              </w:rPr>
            </w:pPr>
          </w:p>
        </w:tc>
        <w:tc>
          <w:tcPr>
            <w:tcW w:w="1675"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信地村</w:t>
            </w:r>
          </w:p>
        </w:tc>
        <w:tc>
          <w:tcPr>
            <w:tcW w:w="2138"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31"/>
              <w:rPr>
                <w:rFonts w:hint="default"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0.2以下</w:t>
            </w:r>
          </w:p>
        </w:tc>
        <w:tc>
          <w:tcPr>
            <w:tcW w:w="1749"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农业型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42" w:hRule="atLeast"/>
        </w:trPr>
        <w:tc>
          <w:tcPr>
            <w:tcW w:w="1190" w:type="dxa"/>
            <w:vMerge w:val="continue"/>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31"/>
              <w:rPr>
                <w:rFonts w:hint="eastAsia" w:ascii="Times New Roman" w:hAnsi="Times New Roman" w:eastAsia="仿宋_GB2312" w:cs="Times New Roman"/>
                <w:b w:val="0"/>
                <w:bCs/>
                <w:color w:val="auto"/>
                <w:lang w:val="en-US" w:eastAsia="zh-CN" w:bidi="ar"/>
              </w:rPr>
            </w:pPr>
          </w:p>
        </w:tc>
        <w:tc>
          <w:tcPr>
            <w:tcW w:w="1166" w:type="dxa"/>
            <w:vMerge w:val="continue"/>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31"/>
              <w:rPr>
                <w:rFonts w:hint="eastAsia" w:ascii="Times New Roman" w:hAnsi="Times New Roman" w:eastAsia="仿宋_GB2312" w:cs="Times New Roman"/>
                <w:b w:val="0"/>
                <w:bCs/>
                <w:color w:val="auto"/>
                <w:lang w:val="en-US" w:eastAsia="zh-CN" w:bidi="ar"/>
              </w:rPr>
            </w:pPr>
          </w:p>
        </w:tc>
        <w:tc>
          <w:tcPr>
            <w:tcW w:w="1675"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庄坑村</w:t>
            </w:r>
          </w:p>
        </w:tc>
        <w:tc>
          <w:tcPr>
            <w:tcW w:w="2138"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0.2以下</w:t>
            </w:r>
          </w:p>
        </w:tc>
        <w:tc>
          <w:tcPr>
            <w:tcW w:w="1749"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农业型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42" w:hRule="atLeast"/>
        </w:trPr>
        <w:tc>
          <w:tcPr>
            <w:tcW w:w="1190" w:type="dxa"/>
            <w:vMerge w:val="continue"/>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31"/>
              <w:rPr>
                <w:rFonts w:hint="eastAsia" w:ascii="Times New Roman" w:hAnsi="Times New Roman" w:eastAsia="仿宋_GB2312" w:cs="Times New Roman"/>
                <w:b w:val="0"/>
                <w:bCs/>
                <w:color w:val="auto"/>
                <w:lang w:val="en-US" w:eastAsia="zh-CN" w:bidi="ar"/>
              </w:rPr>
            </w:pPr>
          </w:p>
        </w:tc>
        <w:tc>
          <w:tcPr>
            <w:tcW w:w="1166" w:type="dxa"/>
            <w:vMerge w:val="continue"/>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31"/>
              <w:rPr>
                <w:rFonts w:hint="eastAsia" w:ascii="Times New Roman" w:hAnsi="Times New Roman" w:eastAsia="仿宋_GB2312" w:cs="Times New Roman"/>
                <w:b w:val="0"/>
                <w:bCs/>
                <w:color w:val="auto"/>
                <w:lang w:val="en-US" w:eastAsia="zh-CN" w:bidi="ar"/>
              </w:rPr>
            </w:pPr>
          </w:p>
        </w:tc>
        <w:tc>
          <w:tcPr>
            <w:tcW w:w="1675"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横坑村</w:t>
            </w:r>
          </w:p>
        </w:tc>
        <w:tc>
          <w:tcPr>
            <w:tcW w:w="2138"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0.2以下</w:t>
            </w:r>
          </w:p>
        </w:tc>
        <w:tc>
          <w:tcPr>
            <w:tcW w:w="1749"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农业型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63" w:hRule="atLeast"/>
        </w:trPr>
        <w:tc>
          <w:tcPr>
            <w:tcW w:w="1190" w:type="dxa"/>
            <w:vMerge w:val="continue"/>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31"/>
              <w:rPr>
                <w:rFonts w:hint="eastAsia" w:ascii="Times New Roman" w:hAnsi="Times New Roman" w:eastAsia="仿宋_GB2312" w:cs="Times New Roman"/>
                <w:b w:val="0"/>
                <w:bCs/>
                <w:color w:val="auto"/>
                <w:lang w:val="en-US" w:eastAsia="zh-CN" w:bidi="ar"/>
              </w:rPr>
            </w:pPr>
          </w:p>
        </w:tc>
        <w:tc>
          <w:tcPr>
            <w:tcW w:w="1166" w:type="dxa"/>
            <w:vMerge w:val="continue"/>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31"/>
              <w:rPr>
                <w:rFonts w:hint="eastAsia" w:ascii="Times New Roman" w:hAnsi="Times New Roman" w:eastAsia="仿宋_GB2312" w:cs="Times New Roman"/>
                <w:b w:val="0"/>
                <w:bCs/>
                <w:color w:val="auto"/>
                <w:lang w:val="en-US" w:eastAsia="zh-CN" w:bidi="ar"/>
              </w:rPr>
            </w:pPr>
          </w:p>
        </w:tc>
        <w:tc>
          <w:tcPr>
            <w:tcW w:w="1675" w:type="dxa"/>
            <w:tcBorders>
              <w:top w:val="single" w:color="000000" w:sz="6" w:space="0"/>
              <w:left w:val="single" w:color="000000" w:sz="6" w:space="0"/>
              <w:bottom w:val="single" w:color="000000" w:sz="6" w:space="0"/>
              <w:right w:val="single" w:color="000000" w:sz="6" w:space="0"/>
            </w:tcBorders>
            <w:shd w:val="clear" w:color="auto" w:fill="auto"/>
            <w:tcMar>
              <w:top w:w="20" w:type="dxa"/>
              <w:left w:w="20" w:type="dxa"/>
              <w:bottom w:w="72" w:type="dxa"/>
              <w:right w:w="20" w:type="dxa"/>
            </w:tcMar>
            <w:vAlign w:val="bottom"/>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大潭村</w:t>
            </w:r>
          </w:p>
        </w:tc>
        <w:tc>
          <w:tcPr>
            <w:tcW w:w="2138"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0.2以下</w:t>
            </w:r>
          </w:p>
        </w:tc>
        <w:tc>
          <w:tcPr>
            <w:tcW w:w="1749"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农业型</w:t>
            </w:r>
          </w:p>
        </w:tc>
      </w:tr>
    </w:tbl>
    <w:p>
      <w:pPr>
        <w:pStyle w:val="30"/>
        <w:spacing w:before="62" w:beforeLines="20" w:after="62" w:afterLines="20"/>
        <w:rPr>
          <w:rFonts w:hint="eastAsia" w:ascii="Times New Roman" w:hAnsi="Times New Roman" w:eastAsia="仿宋_GB2312"/>
          <w:color w:val="auto"/>
          <w:lang w:val="en-US" w:eastAsia="zh-CN"/>
        </w:rPr>
      </w:pPr>
    </w:p>
    <w:p>
      <w:pPr>
        <w:pStyle w:val="33"/>
        <w:spacing w:before="156" w:beforeLines="50" w:after="156" w:afterLines="50" w:line="520" w:lineRule="exact"/>
        <w:rPr>
          <w:rFonts w:hint="eastAsia" w:ascii="Times New Roman" w:hAnsi="Times New Roman" w:cs="Times New Roman"/>
          <w:bCs w:val="0"/>
          <w:color w:val="auto"/>
          <w:kern w:val="2"/>
          <w:szCs w:val="32"/>
          <w:lang w:val="en-US" w:eastAsia="zh-CN"/>
        </w:rPr>
      </w:pPr>
      <w:bookmarkStart w:id="51" w:name="_Toc26165"/>
      <w:r>
        <w:rPr>
          <w:rFonts w:hint="eastAsia" w:ascii="Times New Roman" w:hAnsi="Times New Roman" w:cs="Times New Roman"/>
          <w:bCs w:val="0"/>
          <w:color w:val="auto"/>
          <w:kern w:val="2"/>
          <w:szCs w:val="32"/>
          <w:lang w:val="en-US" w:eastAsia="zh-CN"/>
        </w:rPr>
        <w:t>第二节 优化产业空间布局</w:t>
      </w:r>
      <w:bookmarkEnd w:id="51"/>
    </w:p>
    <w:p>
      <w:pPr>
        <w:pStyle w:val="36"/>
        <w:ind w:firstLine="562"/>
        <w:jc w:val="both"/>
        <w:rPr>
          <w:rFonts w:hint="eastAsia" w:ascii="Times New Roman" w:hAnsi="Times New Roman" w:eastAsia="仿宋_GB2312" w:cs="Times New Roman"/>
          <w:bCs w:val="0"/>
          <w:color w:val="auto"/>
          <w:szCs w:val="32"/>
          <w:lang w:val="en-US" w:eastAsia="zh-CN"/>
        </w:rPr>
      </w:pPr>
      <w:r>
        <w:rPr>
          <w:rFonts w:hint="eastAsia" w:ascii="Times New Roman" w:hAnsi="Times New Roman" w:eastAsia="仿宋_GB2312" w:cs="Times New Roman"/>
          <w:bCs w:val="0"/>
          <w:color w:val="auto"/>
          <w:szCs w:val="32"/>
          <w:lang w:val="en-US" w:eastAsia="zh-CN"/>
        </w:rPr>
        <w:t xml:space="preserve">一、产业发展现状分析 </w:t>
      </w:r>
    </w:p>
    <w:p>
      <w:pPr>
        <w:snapToGrid w:val="0"/>
        <w:spacing w:line="480" w:lineRule="exact"/>
        <w:ind w:firstLine="560"/>
        <w:rPr>
          <w:rFonts w:hint="default"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1、现状产业构成</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第一产业：现状平富乡第一产业在三产中处于基础地位，现代化农业产业格局已经初步形成。平富乡现状共有耕地面积5570亩，主要生产水稻。上寨村有脐橙种植面积580亩，向前村有花生、生姜等种植面积100亩，全乡有茶园600亩主要位于上寨村、信地村、庄坑村、庄前村等村，全乡还有蜂蜜、毛竹、油茶、蔬菜、食用菌、黄桃、生姜等其他农产品。</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第二产业：工业企业较少，有少量的农产品加工业，如信地茶厂、庄坑酒厂。</w:t>
      </w:r>
    </w:p>
    <w:p>
      <w:pPr>
        <w:keepNext w:val="0"/>
        <w:keepLines w:val="0"/>
        <w:widowControl/>
        <w:suppressLineNumbers w:val="0"/>
        <w:jc w:val="left"/>
        <w:rPr>
          <w:rFonts w:hint="default"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第三产业：旅游休闲产业基础良好，已经发展形成了燕子岩旅游区、上寨红色文化体验区、平富信地民宿示范带等。</w:t>
      </w:r>
    </w:p>
    <w:p>
      <w:pPr>
        <w:snapToGrid w:val="0"/>
        <w:spacing w:line="480" w:lineRule="exact"/>
        <w:ind w:firstLine="560"/>
        <w:rPr>
          <w:rFonts w:hint="default"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2、经济发展状况</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平富乡经济总量持续提升，年增长率开始放缓，三产比值中第三产业占比逐渐提高。</w:t>
      </w:r>
    </w:p>
    <w:p>
      <w:pPr>
        <w:snapToGrid w:val="0"/>
        <w:spacing w:line="480" w:lineRule="exact"/>
        <w:ind w:firstLine="560"/>
        <w:rPr>
          <w:rFonts w:hint="eastAsia" w:ascii="Times New Roman" w:hAnsi="Times New Roman" w:eastAsia="仿宋_GB2312" w:cs="Times New Roman"/>
          <w:b/>
          <w:bCs w:val="0"/>
          <w:color w:val="auto"/>
          <w:kern w:val="2"/>
          <w:sz w:val="28"/>
          <w:szCs w:val="32"/>
          <w:lang w:val="en-US" w:eastAsia="zh-CN" w:bidi="ar-SA"/>
        </w:rPr>
      </w:pPr>
      <w:r>
        <w:rPr>
          <w:rFonts w:hint="eastAsia" w:ascii="Times New Roman" w:hAnsi="Times New Roman" w:eastAsia="仿宋_GB2312" w:cs="Times New Roman"/>
          <w:b/>
          <w:bCs w:val="0"/>
          <w:color w:val="auto"/>
          <w:kern w:val="2"/>
          <w:sz w:val="28"/>
          <w:szCs w:val="32"/>
          <w:lang w:val="en-US" w:eastAsia="zh-CN" w:bidi="ar-SA"/>
        </w:rPr>
        <w:t>二、产业发展战略</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依据平富乡现状产业基础，并结合当下新兴产业发展趋势和周边产业实际情况，通过对产业的详细比选，规划构建特色现代产业体系并提出产业发展策略。</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 w:val="0"/>
          <w:bCs/>
          <w:color w:val="auto"/>
          <w:sz w:val="28"/>
          <w:szCs w:val="28"/>
          <w:highlight w:val="none"/>
          <w:lang w:val="en-US" w:eastAsia="zh-CN"/>
        </w:rPr>
        <w:t>策略一：</w:t>
      </w:r>
      <w:r>
        <w:rPr>
          <w:rFonts w:hint="eastAsia" w:ascii="Times New Roman" w:hAnsi="Times New Roman" w:eastAsia="仿宋_GB2312" w:cs="Times New Roman"/>
          <w:bCs/>
          <w:color w:val="auto"/>
          <w:sz w:val="28"/>
          <w:szCs w:val="28"/>
          <w:lang w:val="en-US" w:eastAsia="zh-CN"/>
        </w:rPr>
        <w:t>重点培育茶叶、脐橙、蔬菜等农产品。加快构建现代化农业产业体系，健全涵盖农业生产全过程的专业化服务网络，加快构建高效实用的农业产业产销信息服务平台，促进产销一体化发展。以发展生态高效农业为目标，加快转变农业发展方式，优化农业结构布局，构建现代农业产业体系。应推动农业发展的“业态多元化”和“一产三产化”，走生态化、休闲化、特色化、精品化的道路，促进一产和三产互相借力、共同发展，完善平富乡的产业结构。</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 w:val="0"/>
          <w:bCs/>
          <w:color w:val="auto"/>
          <w:sz w:val="28"/>
          <w:szCs w:val="28"/>
          <w:highlight w:val="none"/>
          <w:lang w:val="en-US" w:eastAsia="zh-CN"/>
        </w:rPr>
        <w:t>策略二：</w:t>
      </w:r>
      <w:r>
        <w:rPr>
          <w:rFonts w:hint="eastAsia" w:ascii="Times New Roman" w:hAnsi="Times New Roman" w:eastAsia="仿宋_GB2312" w:cs="Times New Roman"/>
          <w:bCs/>
          <w:color w:val="auto"/>
          <w:sz w:val="28"/>
          <w:szCs w:val="28"/>
          <w:lang w:val="en-US" w:eastAsia="zh-CN"/>
        </w:rPr>
        <w:t>发展农产品深加工产业，打造特色农产品生产、加工、供应基地。</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 w:val="0"/>
          <w:bCs/>
          <w:color w:val="auto"/>
          <w:sz w:val="28"/>
          <w:szCs w:val="28"/>
          <w:highlight w:val="none"/>
          <w:lang w:val="en-US" w:eastAsia="zh-CN"/>
        </w:rPr>
        <w:t>策略三：</w:t>
      </w:r>
      <w:r>
        <w:rPr>
          <w:rFonts w:hint="eastAsia" w:ascii="Times New Roman" w:hAnsi="Times New Roman" w:eastAsia="仿宋_GB2312" w:cs="Times New Roman"/>
          <w:bCs/>
          <w:color w:val="auto"/>
          <w:sz w:val="28"/>
          <w:szCs w:val="28"/>
          <w:lang w:val="en-US" w:eastAsia="zh-CN"/>
        </w:rPr>
        <w:t>大力发展生态、文化、农业旅游，改造提升传统商贸业，加快发展现代物流业。挖掘旅游资源，整合景点布局，理顺开发级次，加大项目招引力度，尽快做大旅游业规模；加大旅游开发和环境整治力度，构建文化旅游、生态旅游及休闲农业旅游的协调发展模式。突出发展生产性服务业，鼓励现代物流、科技服务和信息服务等新型业态快速发展；巩固提升传统服务业，明晰地位，完善功能，提升形象。深入推动促进各类服务业向农村延伸，全面繁荣农村服务业。</w:t>
      </w:r>
    </w:p>
    <w:p>
      <w:pPr>
        <w:snapToGrid w:val="0"/>
        <w:spacing w:line="480" w:lineRule="exact"/>
        <w:ind w:firstLine="560"/>
        <w:rPr>
          <w:rFonts w:hint="eastAsia" w:ascii="Times New Roman" w:hAnsi="Times New Roman" w:eastAsia="仿宋_GB2312" w:cs="Times New Roman"/>
          <w:b/>
          <w:bCs w:val="0"/>
          <w:color w:val="auto"/>
          <w:kern w:val="2"/>
          <w:sz w:val="28"/>
          <w:szCs w:val="32"/>
          <w:lang w:val="en-US" w:eastAsia="zh-CN" w:bidi="ar-SA"/>
        </w:rPr>
      </w:pPr>
      <w:r>
        <w:rPr>
          <w:rFonts w:hint="eastAsia" w:ascii="Times New Roman" w:hAnsi="Times New Roman" w:eastAsia="仿宋_GB2312" w:cs="Times New Roman"/>
          <w:b/>
          <w:bCs w:val="0"/>
          <w:color w:val="auto"/>
          <w:kern w:val="2"/>
          <w:sz w:val="28"/>
          <w:szCs w:val="32"/>
          <w:lang w:val="en-US" w:eastAsia="zh-CN" w:bidi="ar-SA"/>
        </w:rPr>
        <w:t>三、产业发展空间布局</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规划统筹打造“一核四区”的产业空间格局。</w:t>
      </w:r>
    </w:p>
    <w:p>
      <w:pPr>
        <w:snapToGrid w:val="0"/>
        <w:spacing w:line="480" w:lineRule="exact"/>
        <w:ind w:firstLine="560"/>
        <w:rPr>
          <w:rFonts w:hint="eastAsia" w:ascii="Times New Roman" w:hAnsi="Times New Roman" w:eastAsia="仿宋_GB2312" w:cs="Times New Roman"/>
          <w:bCs/>
          <w:color w:val="auto"/>
          <w:sz w:val="28"/>
          <w:szCs w:val="28"/>
          <w:lang w:val="en-US" w:eastAsia="zh-CN"/>
        </w:rPr>
      </w:pPr>
      <w:r>
        <w:rPr>
          <w:rFonts w:hint="eastAsia" w:ascii="Times New Roman" w:hAnsi="Times New Roman" w:eastAsia="仿宋_GB2312" w:cs="Times New Roman"/>
          <w:bCs/>
          <w:color w:val="auto"/>
          <w:sz w:val="28"/>
          <w:szCs w:val="28"/>
          <w:lang w:val="en-US" w:eastAsia="zh-CN"/>
        </w:rPr>
        <w:t>“一核”为平富乡集镇综合服务核心。“四区”主要为生态旅游区、林业发展区、果业种植区、茶叶种植区。生态旅游区是指依托五指峰国家森林公园、燕子岩风景区及暖塘温泉，发展生态休闲度假旅游。林业发展区主要依托优质的林地资源发展林业种植和林业经济产业。果业种植区主要依托脐橙、黄桃等特色水果良好的基础发展果业种植产业，保持脐橙产业的强势劲头，借助G220国道的交通优势，推行</w:t>
      </w:r>
      <w:r>
        <w:rPr>
          <w:rFonts w:hint="default" w:ascii="Times New Roman" w:hAnsi="Times New Roman" w:eastAsia="仿宋_GB2312" w:cs="Times New Roman"/>
          <w:bCs/>
          <w:color w:val="auto"/>
          <w:sz w:val="28"/>
          <w:szCs w:val="28"/>
          <w:lang w:val="en-US" w:eastAsia="zh-CN"/>
        </w:rPr>
        <w:t>“</w:t>
      </w:r>
      <w:r>
        <w:rPr>
          <w:rFonts w:hint="eastAsia" w:ascii="Times New Roman" w:hAnsi="Times New Roman" w:eastAsia="仿宋_GB2312" w:cs="Times New Roman"/>
          <w:bCs/>
          <w:color w:val="auto"/>
          <w:sz w:val="28"/>
          <w:szCs w:val="28"/>
          <w:lang w:val="en-US" w:eastAsia="zh-CN"/>
        </w:rPr>
        <w:t>采摘游</w:t>
      </w:r>
      <w:r>
        <w:rPr>
          <w:rFonts w:hint="default" w:ascii="Times New Roman" w:hAnsi="Times New Roman" w:eastAsia="仿宋_GB2312" w:cs="Times New Roman"/>
          <w:bCs/>
          <w:color w:val="auto"/>
          <w:sz w:val="28"/>
          <w:szCs w:val="28"/>
          <w:lang w:val="en-US" w:eastAsia="zh-CN"/>
        </w:rPr>
        <w:t>”</w:t>
      </w:r>
      <w:r>
        <w:rPr>
          <w:rFonts w:hint="eastAsia" w:ascii="Times New Roman" w:hAnsi="Times New Roman" w:eastAsia="仿宋_GB2312" w:cs="Times New Roman"/>
          <w:bCs/>
          <w:color w:val="auto"/>
          <w:sz w:val="28"/>
          <w:szCs w:val="28"/>
          <w:lang w:val="en-US" w:eastAsia="zh-CN"/>
        </w:rPr>
        <w:t>一体化模式，打造上寨</w:t>
      </w:r>
      <w:r>
        <w:rPr>
          <w:rFonts w:hint="default" w:ascii="Times New Roman" w:hAnsi="Times New Roman" w:eastAsia="仿宋_GB2312" w:cs="Times New Roman"/>
          <w:bCs/>
          <w:color w:val="auto"/>
          <w:sz w:val="28"/>
          <w:szCs w:val="28"/>
          <w:lang w:val="en-US" w:eastAsia="zh-CN"/>
        </w:rPr>
        <w:t>“</w:t>
      </w:r>
      <w:r>
        <w:rPr>
          <w:rFonts w:hint="eastAsia" w:ascii="Times New Roman" w:hAnsi="Times New Roman" w:eastAsia="仿宋_GB2312" w:cs="Times New Roman"/>
          <w:bCs/>
          <w:color w:val="auto"/>
          <w:sz w:val="28"/>
          <w:szCs w:val="28"/>
          <w:lang w:val="en-US" w:eastAsia="zh-CN"/>
        </w:rPr>
        <w:t>英雄橙</w:t>
      </w:r>
      <w:r>
        <w:rPr>
          <w:rFonts w:hint="default" w:ascii="Times New Roman" w:hAnsi="Times New Roman" w:eastAsia="仿宋_GB2312" w:cs="Times New Roman"/>
          <w:bCs/>
          <w:color w:val="auto"/>
          <w:sz w:val="28"/>
          <w:szCs w:val="28"/>
          <w:lang w:val="en-US" w:eastAsia="zh-CN"/>
        </w:rPr>
        <w:t>”</w:t>
      </w:r>
      <w:r>
        <w:rPr>
          <w:rFonts w:hint="eastAsia" w:ascii="Times New Roman" w:hAnsi="Times New Roman" w:eastAsia="仿宋_GB2312" w:cs="Times New Roman"/>
          <w:bCs/>
          <w:color w:val="auto"/>
          <w:sz w:val="28"/>
          <w:szCs w:val="28"/>
          <w:lang w:val="en-US" w:eastAsia="zh-CN"/>
        </w:rPr>
        <w:t>品牌。茶叶种植区主要依托信地村、庄坑村、上寨村良好的茶叶种植基础，在茶叶发展上加大新品种、新技术引进推广力度，强化茶叶的管理与技术培训。</w:t>
      </w:r>
    </w:p>
    <w:p>
      <w:pPr>
        <w:pStyle w:val="33"/>
        <w:spacing w:before="156" w:beforeLines="50" w:after="156" w:afterLines="50" w:line="520" w:lineRule="exact"/>
        <w:rPr>
          <w:rFonts w:hint="eastAsia" w:ascii="Times New Roman" w:hAnsi="Times New Roman" w:cs="Times New Roman"/>
          <w:bCs w:val="0"/>
          <w:color w:val="auto"/>
          <w:kern w:val="2"/>
          <w:szCs w:val="32"/>
          <w:lang w:val="en-US" w:eastAsia="zh-CN"/>
        </w:rPr>
      </w:pPr>
      <w:bookmarkStart w:id="52" w:name="_Toc14202"/>
      <w:r>
        <w:rPr>
          <w:rFonts w:hint="eastAsia" w:ascii="Times New Roman" w:hAnsi="Times New Roman" w:cs="Times New Roman"/>
          <w:bCs w:val="0"/>
          <w:color w:val="auto"/>
          <w:kern w:val="2"/>
          <w:szCs w:val="32"/>
          <w:lang w:val="en-US" w:eastAsia="zh-CN"/>
        </w:rPr>
        <w:t>第三节 推动建设用地节约集约利用</w:t>
      </w:r>
      <w:bookmarkEnd w:id="52"/>
    </w:p>
    <w:p>
      <w:pPr>
        <w:spacing w:before="0" w:beforeLines="0" w:after="0" w:afterLines="0" w:line="480" w:lineRule="exact"/>
        <w:ind w:firstLine="560"/>
        <w:rPr>
          <w:rFonts w:hint="default" w:ascii="Times New Roman" w:hAnsi="Times New Roman" w:eastAsia="仿宋_GB2312" w:cs="Times New Roman"/>
          <w:b/>
          <w:bCs/>
          <w:color w:val="auto"/>
          <w:sz w:val="28"/>
          <w:szCs w:val="28"/>
          <w:lang w:val="en-US" w:eastAsia="zh-CN"/>
        </w:rPr>
      </w:pPr>
      <w:r>
        <w:rPr>
          <w:rFonts w:hint="eastAsia" w:ascii="Times New Roman" w:hAnsi="Times New Roman" w:eastAsia="仿宋_GB2312" w:cs="Times New Roman"/>
          <w:b/>
          <w:bCs/>
          <w:color w:val="auto"/>
          <w:sz w:val="28"/>
          <w:szCs w:val="28"/>
          <w:lang w:val="en-US" w:eastAsia="zh-CN"/>
        </w:rPr>
        <w:t>一、</w:t>
      </w:r>
      <w:r>
        <w:rPr>
          <w:rFonts w:hint="default" w:ascii="Times New Roman" w:hAnsi="Times New Roman" w:eastAsia="仿宋_GB2312" w:cs="Times New Roman"/>
          <w:b/>
          <w:bCs/>
          <w:color w:val="auto"/>
          <w:sz w:val="28"/>
          <w:szCs w:val="28"/>
          <w:lang w:val="en-US" w:eastAsia="zh-CN"/>
        </w:rPr>
        <w:t>提升建设用地节约集约水平</w:t>
      </w:r>
    </w:p>
    <w:p>
      <w:pPr>
        <w:spacing w:before="0" w:beforeLines="0" w:after="0" w:afterLines="0" w:line="480" w:lineRule="exact"/>
        <w:ind w:firstLine="56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坚持节约集约利用土地，以“总量锁定、增量递减、存量优化、流量增效、质量提高”为导向，促进区域建设用地集约利用水平提高；综合整治优化空间发展布局，推行差别化的城乡建设用地指标配给，多措并举提升</w:t>
      </w:r>
      <w:r>
        <w:rPr>
          <w:rFonts w:hint="eastAsia" w:ascii="Times New Roman" w:hAnsi="Times New Roman" w:eastAsia="仿宋_GB2312" w:cs="Times New Roman"/>
          <w:color w:val="auto"/>
          <w:sz w:val="28"/>
          <w:szCs w:val="28"/>
          <w:lang w:val="en-US" w:eastAsia="zh-CN"/>
        </w:rPr>
        <w:t>城镇地区</w:t>
      </w:r>
      <w:r>
        <w:rPr>
          <w:rFonts w:hint="default" w:ascii="Times New Roman" w:hAnsi="Times New Roman" w:eastAsia="仿宋_GB2312" w:cs="Times New Roman"/>
          <w:color w:val="auto"/>
          <w:sz w:val="28"/>
          <w:szCs w:val="28"/>
          <w:lang w:val="en-US" w:eastAsia="zh-CN"/>
        </w:rPr>
        <w:t>和乡村地区土地节约利用水平；精明利用形成高效节约产业空间，推进形成产业布局更集中、资源利用效率更高效、基础设施配置更完善的开发区用地格局，建立存量土地台账管理，优化提升开发区建设用地利用水平。</w:t>
      </w:r>
    </w:p>
    <w:p>
      <w:pPr>
        <w:numPr>
          <w:ilvl w:val="0"/>
          <w:numId w:val="10"/>
        </w:numPr>
        <w:spacing w:before="0" w:beforeLines="0" w:after="0" w:afterLines="0" w:line="480" w:lineRule="exact"/>
        <w:ind w:firstLine="560"/>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sz w:val="28"/>
          <w:szCs w:val="28"/>
          <w:lang w:val="en-US" w:eastAsia="zh-CN"/>
        </w:rPr>
        <w:t>加快推进</w:t>
      </w:r>
      <w:r>
        <w:rPr>
          <w:rFonts w:hint="eastAsia" w:ascii="Times New Roman" w:hAnsi="Times New Roman" w:eastAsia="仿宋_GB2312" w:cs="Times New Roman"/>
          <w:b/>
          <w:bCs/>
          <w:color w:val="auto"/>
          <w:sz w:val="28"/>
          <w:szCs w:val="28"/>
          <w:lang w:val="en-US" w:eastAsia="zh-CN"/>
        </w:rPr>
        <w:t>存量建设</w:t>
      </w:r>
      <w:r>
        <w:rPr>
          <w:rFonts w:hint="default" w:ascii="Times New Roman" w:hAnsi="Times New Roman" w:eastAsia="仿宋_GB2312" w:cs="Times New Roman"/>
          <w:b/>
          <w:bCs/>
          <w:color w:val="auto"/>
          <w:sz w:val="28"/>
          <w:szCs w:val="28"/>
          <w:lang w:val="en-US" w:eastAsia="zh-CN"/>
        </w:rPr>
        <w:t xml:space="preserve">用土地消化 </w:t>
      </w:r>
    </w:p>
    <w:p>
      <w:pPr>
        <w:numPr>
          <w:ilvl w:val="0"/>
          <w:numId w:val="0"/>
        </w:numPr>
        <w:spacing w:before="0" w:beforeLines="0" w:after="0" w:afterLines="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加快批而未用土地消化，统筹指标使用，实施精准供地。通过加快批而未用土地处置进度、推进“亩产效益”评价改革。强化存量建设用地盘活利用、加大增减挂钩挖潜等方式，达到盘活挖潜存量、节约集约用地目的，保障重大项目建设。</w:t>
      </w:r>
    </w:p>
    <w:p>
      <w:pPr>
        <w:pStyle w:val="34"/>
        <w:keepNext w:val="0"/>
        <w:keepLines/>
        <w:pageBreakBefore/>
        <w:widowControl w:val="0"/>
        <w:kinsoku/>
        <w:wordWrap/>
        <w:overflowPunct/>
        <w:topLinePunct w:val="0"/>
        <w:autoSpaceDE/>
        <w:autoSpaceDN/>
        <w:bidi w:val="0"/>
        <w:adjustRightInd/>
        <w:snapToGrid/>
        <w:spacing w:before="156" w:beforeLines="50" w:after="156" w:afterLines="50" w:line="480" w:lineRule="exact"/>
        <w:ind w:left="0" w:firstLine="0" w:firstLineChars="0"/>
        <w:jc w:val="center"/>
        <w:textAlignment w:val="center"/>
        <w:rPr>
          <w:rFonts w:hint="eastAsia" w:ascii="Times New Roman" w:hAnsi="Times New Roman" w:eastAsia="Arial Unicode MS"/>
          <w:color w:val="auto"/>
          <w:lang w:val="en-US" w:eastAsia="zh-CN"/>
        </w:rPr>
      </w:pPr>
      <w:bookmarkStart w:id="53" w:name="_Toc29404"/>
      <w:r>
        <w:rPr>
          <w:rFonts w:hint="eastAsia" w:ascii="Times New Roman" w:hAnsi="Times New Roman" w:eastAsia="Arial Unicode MS"/>
          <w:color w:val="auto"/>
          <w:lang w:val="en-US" w:eastAsia="zh-CN"/>
        </w:rPr>
        <w:t>第八章 塑造特色鲜明的魅力空间</w:t>
      </w:r>
      <w:bookmarkEnd w:id="53"/>
    </w:p>
    <w:p>
      <w:pPr>
        <w:pStyle w:val="33"/>
        <w:spacing w:before="156" w:beforeLines="50" w:after="156" w:afterLines="50" w:line="520" w:lineRule="exact"/>
        <w:rPr>
          <w:rFonts w:hint="eastAsia" w:ascii="Times New Roman" w:hAnsi="Times New Roman"/>
          <w:color w:val="auto"/>
          <w:kern w:val="2"/>
          <w:szCs w:val="32"/>
          <w:lang w:val="en-US" w:eastAsia="zh-CN"/>
        </w:rPr>
      </w:pPr>
      <w:bookmarkStart w:id="54" w:name="_Toc31508"/>
      <w:r>
        <w:rPr>
          <w:rFonts w:hint="eastAsia" w:ascii="Times New Roman" w:hAnsi="Times New Roman"/>
          <w:color w:val="auto"/>
          <w:kern w:val="2"/>
          <w:szCs w:val="32"/>
          <w:lang w:val="en-US" w:eastAsia="zh-CN"/>
        </w:rPr>
        <w:t>第一节 构建历史文化保护体系</w:t>
      </w:r>
      <w:bookmarkEnd w:id="54"/>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641" w:firstLineChars="228"/>
        <w:jc w:val="left"/>
        <w:textAlignment w:val="auto"/>
        <w:outlineLvl w:val="9"/>
        <w:rPr>
          <w:rFonts w:hint="eastAsia" w:ascii="Times New Roman" w:hAnsi="Times New Roman" w:eastAsia="仿宋_GB2312" w:cs="Times New Roman"/>
          <w:b/>
          <w:bCs w:val="0"/>
          <w:color w:val="auto"/>
          <w:kern w:val="2"/>
          <w:sz w:val="28"/>
          <w:szCs w:val="32"/>
          <w:lang w:val="en-US" w:eastAsia="zh-CN" w:bidi="ar-SA"/>
        </w:rPr>
      </w:pPr>
      <w:r>
        <w:rPr>
          <w:rFonts w:hint="eastAsia" w:ascii="Times New Roman" w:hAnsi="Times New Roman" w:eastAsia="仿宋_GB2312" w:cs="Times New Roman"/>
          <w:b/>
          <w:bCs w:val="0"/>
          <w:color w:val="auto"/>
          <w:kern w:val="2"/>
          <w:sz w:val="28"/>
          <w:szCs w:val="32"/>
          <w:lang w:val="en-US" w:eastAsia="zh-CN" w:bidi="ar-SA"/>
        </w:rPr>
        <w:t>一、历史文化资源现状</w:t>
      </w:r>
    </w:p>
    <w:p>
      <w:pPr>
        <w:spacing w:before="0" w:beforeLines="0" w:after="0" w:afterLines="0" w:line="480" w:lineRule="exact"/>
        <w:ind w:firstLine="560"/>
        <w:rPr>
          <w:rFonts w:hint="eastAsia" w:ascii="Times New Roman" w:hAnsi="Times New Roman" w:eastAsia="仿宋_GB2312"/>
          <w:color w:val="auto"/>
          <w:sz w:val="28"/>
          <w:szCs w:val="28"/>
          <w:lang w:val="en-US" w:eastAsia="zh-CN"/>
        </w:rPr>
      </w:pPr>
      <w:r>
        <w:rPr>
          <w:rFonts w:hint="eastAsia" w:ascii="Times New Roman" w:hAnsi="Times New Roman" w:eastAsia="仿宋_GB2312"/>
          <w:color w:val="auto"/>
          <w:sz w:val="28"/>
          <w:szCs w:val="28"/>
          <w:lang w:val="en-US" w:eastAsia="zh-CN"/>
        </w:rPr>
        <w:t>平富乡具有一定的历史文化及红色文化资源，有4处省级文保单位；有1处县级文保单位。</w:t>
      </w:r>
    </w:p>
    <w:p>
      <w:pPr>
        <w:spacing w:before="0" w:beforeLines="0" w:after="0" w:afterLines="0" w:line="480" w:lineRule="exact"/>
        <w:ind w:firstLine="560"/>
        <w:rPr>
          <w:rFonts w:hint="default" w:ascii="Times New Roman" w:hAnsi="Times New Roman" w:eastAsia="仿宋_GB2312"/>
          <w:color w:val="auto"/>
          <w:sz w:val="28"/>
          <w:szCs w:val="28"/>
          <w:lang w:val="en-US" w:eastAsia="zh-CN"/>
        </w:rPr>
      </w:pPr>
      <w:r>
        <w:rPr>
          <w:rFonts w:hint="eastAsia" w:ascii="Times New Roman" w:hAnsi="Times New Roman" w:eastAsia="仿宋_GB2312"/>
          <w:color w:val="auto"/>
          <w:sz w:val="28"/>
          <w:szCs w:val="28"/>
          <w:lang w:val="en-US" w:eastAsia="zh-CN"/>
        </w:rPr>
        <w:t>上寨红军医院旧址</w:t>
      </w:r>
      <w:r>
        <w:rPr>
          <w:rFonts w:hint="eastAsia" w:ascii="Times New Roman" w:hAnsi="Times New Roman" w:eastAsia="仿宋_GB2312" w:cs="Times New Roman"/>
          <w:color w:val="auto"/>
          <w:kern w:val="2"/>
          <w:sz w:val="28"/>
          <w:szCs w:val="28"/>
          <w:lang w:val="en-US" w:eastAsia="zh-CN" w:bidi="ar-SA"/>
        </w:rPr>
        <w:t>（省保）</w:t>
      </w:r>
      <w:r>
        <w:rPr>
          <w:rFonts w:hint="eastAsia" w:ascii="Times New Roman" w:hAnsi="Times New Roman" w:eastAsia="仿宋_GB2312"/>
          <w:color w:val="auto"/>
          <w:sz w:val="28"/>
          <w:szCs w:val="28"/>
          <w:lang w:val="en-US" w:eastAsia="zh-CN"/>
        </w:rPr>
        <w:t>。</w:t>
      </w:r>
      <w:r>
        <w:rPr>
          <w:rFonts w:hint="default" w:ascii="Times New Roman" w:hAnsi="Times New Roman" w:eastAsia="仿宋_GB2312"/>
          <w:color w:val="auto"/>
          <w:sz w:val="28"/>
          <w:szCs w:val="28"/>
          <w:lang w:val="en-US" w:eastAsia="zh-CN"/>
        </w:rPr>
        <w:t>建于明初，位于</w:t>
      </w:r>
      <w:r>
        <w:rPr>
          <w:rFonts w:hint="eastAsia" w:ascii="Times New Roman" w:hAnsi="Times New Roman" w:eastAsia="仿宋_GB2312"/>
          <w:color w:val="auto"/>
          <w:sz w:val="28"/>
          <w:szCs w:val="28"/>
          <w:lang w:val="en-US" w:eastAsia="zh-CN"/>
        </w:rPr>
        <w:t>赣州</w:t>
      </w:r>
      <w:r>
        <w:rPr>
          <w:rFonts w:hint="default" w:ascii="Times New Roman" w:hAnsi="Times New Roman" w:eastAsia="仿宋_GB2312"/>
          <w:color w:val="auto"/>
          <w:sz w:val="28"/>
          <w:szCs w:val="28"/>
          <w:lang w:val="en-US" w:eastAsia="zh-CN"/>
        </w:rPr>
        <w:t>市</w:t>
      </w:r>
      <w:r>
        <w:rPr>
          <w:rFonts w:hint="default" w:ascii="Times New Roman" w:hAnsi="Times New Roman" w:eastAsia="仿宋_GB2312"/>
          <w:color w:val="auto"/>
          <w:sz w:val="28"/>
          <w:szCs w:val="28"/>
          <w:lang w:val="en-US" w:eastAsia="zh-CN"/>
        </w:rPr>
        <w:fldChar w:fldCharType="begin"/>
      </w:r>
      <w:r>
        <w:rPr>
          <w:rFonts w:hint="default" w:ascii="Times New Roman" w:hAnsi="Times New Roman" w:eastAsia="仿宋_GB2312"/>
          <w:color w:val="auto"/>
          <w:sz w:val="28"/>
          <w:szCs w:val="28"/>
          <w:lang w:val="en-US" w:eastAsia="zh-CN"/>
        </w:rPr>
        <w:instrText xml:space="preserve"> HYPERLINK "https://baike.baidu.com/item/%E6%B3%B0%E5%92%8C%E5%8E%BF/83931?fromModule=lemma_inlink" \t "https://baike.baidu.com/item/%E7%8B%97%E5%AD%90%E8%84%91%E5%A1%94/_blank" </w:instrText>
      </w:r>
      <w:r>
        <w:rPr>
          <w:rFonts w:hint="default" w:ascii="Times New Roman" w:hAnsi="Times New Roman" w:eastAsia="仿宋_GB2312"/>
          <w:color w:val="auto"/>
          <w:sz w:val="28"/>
          <w:szCs w:val="28"/>
          <w:lang w:val="en-US" w:eastAsia="zh-CN"/>
        </w:rPr>
        <w:fldChar w:fldCharType="separate"/>
      </w:r>
      <w:r>
        <w:rPr>
          <w:rFonts w:hint="eastAsia" w:ascii="Times New Roman" w:hAnsi="Times New Roman" w:eastAsia="仿宋_GB2312"/>
          <w:color w:val="auto"/>
          <w:sz w:val="28"/>
          <w:szCs w:val="28"/>
          <w:lang w:val="en-US" w:eastAsia="zh-CN"/>
        </w:rPr>
        <w:t>上犹县</w:t>
      </w:r>
      <w:r>
        <w:rPr>
          <w:rFonts w:hint="default" w:ascii="Times New Roman" w:hAnsi="Times New Roman" w:eastAsia="仿宋_GB2312"/>
          <w:color w:val="auto"/>
          <w:sz w:val="28"/>
          <w:szCs w:val="28"/>
          <w:lang w:val="en-US" w:eastAsia="zh-CN"/>
        </w:rPr>
        <w:fldChar w:fldCharType="end"/>
      </w:r>
      <w:r>
        <w:rPr>
          <w:rFonts w:hint="eastAsia" w:ascii="Times New Roman" w:hAnsi="Times New Roman" w:eastAsia="仿宋_GB2312"/>
          <w:color w:val="auto"/>
          <w:sz w:val="28"/>
          <w:szCs w:val="28"/>
          <w:lang w:val="en-US" w:eastAsia="zh-CN"/>
        </w:rPr>
        <w:t>平富乡</w:t>
      </w:r>
      <w:r>
        <w:rPr>
          <w:rFonts w:hint="default" w:ascii="Times New Roman" w:hAnsi="Times New Roman" w:eastAsia="仿宋_GB2312"/>
          <w:color w:val="auto"/>
          <w:sz w:val="28"/>
          <w:szCs w:val="28"/>
          <w:lang w:val="en-US" w:eastAsia="zh-CN"/>
        </w:rPr>
        <w:t>上寨村石头桥自然村，矗立在</w:t>
      </w:r>
      <w:r>
        <w:rPr>
          <w:rFonts w:hint="default" w:ascii="Times New Roman" w:hAnsi="Times New Roman" w:eastAsia="仿宋_GB2312"/>
          <w:color w:val="auto"/>
          <w:sz w:val="28"/>
          <w:szCs w:val="28"/>
          <w:lang w:val="en-US" w:eastAsia="zh-CN"/>
        </w:rPr>
        <w:fldChar w:fldCharType="begin"/>
      </w:r>
      <w:r>
        <w:rPr>
          <w:rFonts w:hint="default" w:ascii="Times New Roman" w:hAnsi="Times New Roman" w:eastAsia="仿宋_GB2312"/>
          <w:color w:val="auto"/>
          <w:sz w:val="28"/>
          <w:szCs w:val="28"/>
          <w:lang w:val="en-US" w:eastAsia="zh-CN"/>
        </w:rPr>
        <w:instrText xml:space="preserve"> HYPERLINK "https://baike.baidu.com/item/105%E5%9B%BD%E9%81%93/761361?fromModule=lemma_inlink" \t "https://baike.baidu.com/item/%E7%8B%97%E5%AD%90%E8%84%91%E5%A1%94/_blank" </w:instrText>
      </w:r>
      <w:r>
        <w:rPr>
          <w:rFonts w:hint="default" w:ascii="Times New Roman" w:hAnsi="Times New Roman" w:eastAsia="仿宋_GB2312"/>
          <w:color w:val="auto"/>
          <w:sz w:val="28"/>
          <w:szCs w:val="28"/>
          <w:lang w:val="en-US" w:eastAsia="zh-CN"/>
        </w:rPr>
        <w:fldChar w:fldCharType="separate"/>
      </w:r>
      <w:r>
        <w:rPr>
          <w:rFonts w:hint="eastAsia" w:ascii="Times New Roman" w:hAnsi="Times New Roman" w:eastAsia="仿宋_GB2312"/>
          <w:color w:val="auto"/>
          <w:sz w:val="28"/>
          <w:szCs w:val="28"/>
          <w:lang w:val="en-US" w:eastAsia="zh-CN"/>
        </w:rPr>
        <w:t>220</w:t>
      </w:r>
      <w:r>
        <w:rPr>
          <w:rFonts w:hint="default" w:ascii="Times New Roman" w:hAnsi="Times New Roman" w:eastAsia="仿宋_GB2312"/>
          <w:color w:val="auto"/>
          <w:sz w:val="28"/>
          <w:szCs w:val="28"/>
          <w:lang w:val="en-US" w:eastAsia="zh-CN"/>
        </w:rPr>
        <w:t>国道</w:t>
      </w:r>
      <w:r>
        <w:rPr>
          <w:rFonts w:hint="default" w:ascii="Times New Roman" w:hAnsi="Times New Roman" w:eastAsia="仿宋_GB2312"/>
          <w:color w:val="auto"/>
          <w:sz w:val="28"/>
          <w:szCs w:val="28"/>
          <w:lang w:val="en-US" w:eastAsia="zh-CN"/>
        </w:rPr>
        <w:fldChar w:fldCharType="end"/>
      </w:r>
      <w:r>
        <w:rPr>
          <w:rFonts w:hint="eastAsia" w:ascii="Times New Roman" w:hAnsi="Times New Roman" w:eastAsia="仿宋_GB2312"/>
          <w:color w:val="auto"/>
          <w:sz w:val="28"/>
          <w:szCs w:val="28"/>
          <w:lang w:val="en-US" w:eastAsia="zh-CN"/>
        </w:rPr>
        <w:t>边</w:t>
      </w:r>
      <w:r>
        <w:rPr>
          <w:rFonts w:hint="default" w:ascii="Times New Roman" w:hAnsi="Times New Roman" w:eastAsia="仿宋_GB2312"/>
          <w:color w:val="auto"/>
          <w:sz w:val="28"/>
          <w:szCs w:val="28"/>
          <w:lang w:val="en-US" w:eastAsia="zh-CN"/>
        </w:rPr>
        <w:t>。</w:t>
      </w:r>
      <w:r>
        <w:rPr>
          <w:rFonts w:hint="eastAsia" w:ascii="Times New Roman" w:hAnsi="Times New Roman" w:eastAsia="仿宋_GB2312"/>
          <w:color w:val="auto"/>
          <w:sz w:val="28"/>
          <w:szCs w:val="28"/>
          <w:lang w:val="en-US" w:eastAsia="zh-CN"/>
        </w:rPr>
        <w:t>是近现代重要史迹</w:t>
      </w:r>
      <w:r>
        <w:rPr>
          <w:rFonts w:hint="default" w:ascii="Times New Roman" w:hAnsi="Times New Roman" w:eastAsia="仿宋_GB2312"/>
          <w:color w:val="auto"/>
          <w:sz w:val="28"/>
          <w:szCs w:val="28"/>
          <w:lang w:val="en-US" w:eastAsia="zh-CN"/>
        </w:rPr>
        <w:t>。该医院原称“上寨红军医院”，成立于1930年8月。1932年4月红三军团进驻此地，改称“红三军团后方医院”。内设办公室、会客室、诊疗室、药房、病房、厨房等。旧址系砖木结构，悬山顶，通面阔三间26.3m，进深三厅。月梁、屏风、门墩雕有花鸟、动物纹饰，木雕、石刻有较高的艺术价值。</w:t>
      </w:r>
    </w:p>
    <w:p>
      <w:pPr>
        <w:spacing w:before="0" w:beforeLines="0" w:after="0" w:afterLines="0" w:line="480" w:lineRule="exact"/>
        <w:ind w:firstLine="560"/>
        <w:rPr>
          <w:rFonts w:hint="default" w:ascii="Times New Roman" w:hAnsi="Times New Roman" w:eastAsia="仿宋_GB2312"/>
          <w:color w:val="auto"/>
          <w:sz w:val="28"/>
          <w:szCs w:val="28"/>
          <w:lang w:val="en-US" w:eastAsia="zh-CN"/>
        </w:rPr>
      </w:pPr>
      <w:r>
        <w:rPr>
          <w:rFonts w:hint="eastAsia" w:ascii="Times New Roman" w:hAnsi="Times New Roman" w:eastAsia="仿宋_GB2312" w:cs="Times New Roman"/>
          <w:color w:val="auto"/>
          <w:kern w:val="2"/>
          <w:sz w:val="28"/>
          <w:szCs w:val="28"/>
          <w:lang w:val="en-US" w:eastAsia="zh-CN" w:bidi="ar-SA"/>
        </w:rPr>
        <w:t>上寨红三军团兵工厂旧址（省保）。</w:t>
      </w:r>
      <w:r>
        <w:rPr>
          <w:rFonts w:hint="default" w:ascii="Times New Roman" w:hAnsi="Times New Roman" w:eastAsia="仿宋_GB2312"/>
          <w:color w:val="auto"/>
          <w:sz w:val="28"/>
          <w:szCs w:val="28"/>
          <w:lang w:val="en-US" w:eastAsia="zh-CN"/>
        </w:rPr>
        <w:t>建于1921年，位于</w:t>
      </w:r>
      <w:r>
        <w:rPr>
          <w:rFonts w:hint="eastAsia" w:ascii="Times New Roman" w:hAnsi="Times New Roman" w:eastAsia="仿宋_GB2312"/>
          <w:color w:val="auto"/>
          <w:sz w:val="28"/>
          <w:szCs w:val="28"/>
          <w:lang w:val="en-US" w:eastAsia="zh-CN"/>
        </w:rPr>
        <w:t>赣州</w:t>
      </w:r>
      <w:r>
        <w:rPr>
          <w:rFonts w:hint="default" w:ascii="Times New Roman" w:hAnsi="Times New Roman" w:eastAsia="仿宋_GB2312"/>
          <w:color w:val="auto"/>
          <w:sz w:val="28"/>
          <w:szCs w:val="28"/>
          <w:lang w:val="en-US" w:eastAsia="zh-CN"/>
        </w:rPr>
        <w:t>市</w:t>
      </w:r>
      <w:r>
        <w:rPr>
          <w:rFonts w:hint="default" w:ascii="Times New Roman" w:hAnsi="Times New Roman" w:eastAsia="仿宋_GB2312"/>
          <w:color w:val="auto"/>
          <w:sz w:val="28"/>
          <w:szCs w:val="28"/>
          <w:lang w:val="en-US" w:eastAsia="zh-CN"/>
        </w:rPr>
        <w:fldChar w:fldCharType="begin"/>
      </w:r>
      <w:r>
        <w:rPr>
          <w:rFonts w:hint="default" w:ascii="Times New Roman" w:hAnsi="Times New Roman" w:eastAsia="仿宋_GB2312"/>
          <w:color w:val="auto"/>
          <w:sz w:val="28"/>
          <w:szCs w:val="28"/>
          <w:lang w:val="en-US" w:eastAsia="zh-CN"/>
        </w:rPr>
        <w:instrText xml:space="preserve"> HYPERLINK "https://baike.baidu.com/item/%E6%B3%B0%E5%92%8C%E5%8E%BF/83931?fromModule=lemma_inlink" \t "https://baike.baidu.com/item/%E7%8B%97%E5%AD%90%E8%84%91%E5%A1%94/_blank" </w:instrText>
      </w:r>
      <w:r>
        <w:rPr>
          <w:rFonts w:hint="default" w:ascii="Times New Roman" w:hAnsi="Times New Roman" w:eastAsia="仿宋_GB2312"/>
          <w:color w:val="auto"/>
          <w:sz w:val="28"/>
          <w:szCs w:val="28"/>
          <w:lang w:val="en-US" w:eastAsia="zh-CN"/>
        </w:rPr>
        <w:fldChar w:fldCharType="separate"/>
      </w:r>
      <w:r>
        <w:rPr>
          <w:rFonts w:hint="eastAsia" w:ascii="Times New Roman" w:hAnsi="Times New Roman" w:eastAsia="仿宋_GB2312"/>
          <w:color w:val="auto"/>
          <w:sz w:val="28"/>
          <w:szCs w:val="28"/>
          <w:lang w:val="en-US" w:eastAsia="zh-CN"/>
        </w:rPr>
        <w:t>上犹县</w:t>
      </w:r>
      <w:r>
        <w:rPr>
          <w:rFonts w:hint="default" w:ascii="Times New Roman" w:hAnsi="Times New Roman" w:eastAsia="仿宋_GB2312"/>
          <w:color w:val="auto"/>
          <w:sz w:val="28"/>
          <w:szCs w:val="28"/>
          <w:lang w:val="en-US" w:eastAsia="zh-CN"/>
        </w:rPr>
        <w:fldChar w:fldCharType="end"/>
      </w:r>
      <w:r>
        <w:rPr>
          <w:rFonts w:hint="default" w:ascii="Times New Roman" w:hAnsi="Times New Roman" w:eastAsia="仿宋_GB2312"/>
          <w:color w:val="auto"/>
          <w:sz w:val="28"/>
          <w:szCs w:val="28"/>
          <w:lang w:val="en-US" w:eastAsia="zh-CN"/>
        </w:rPr>
        <w:t>平富乡上寨村，矗立在</w:t>
      </w:r>
      <w:r>
        <w:rPr>
          <w:rFonts w:hint="default" w:ascii="Times New Roman" w:hAnsi="Times New Roman" w:eastAsia="仿宋_GB2312"/>
          <w:color w:val="auto"/>
          <w:sz w:val="28"/>
          <w:szCs w:val="28"/>
          <w:lang w:val="en-US" w:eastAsia="zh-CN"/>
        </w:rPr>
        <w:fldChar w:fldCharType="begin"/>
      </w:r>
      <w:r>
        <w:rPr>
          <w:rFonts w:hint="default" w:ascii="Times New Roman" w:hAnsi="Times New Roman" w:eastAsia="仿宋_GB2312"/>
          <w:color w:val="auto"/>
          <w:sz w:val="28"/>
          <w:szCs w:val="28"/>
          <w:lang w:val="en-US" w:eastAsia="zh-CN"/>
        </w:rPr>
        <w:instrText xml:space="preserve"> HYPERLINK "https://baike.baidu.com/item/105%E5%9B%BD%E9%81%93/761361?fromModule=lemma_inlink" \t "https://baike.baidu.com/item/%E7%8B%97%E5%AD%90%E8%84%91%E5%A1%94/_blank" </w:instrText>
      </w:r>
      <w:r>
        <w:rPr>
          <w:rFonts w:hint="default" w:ascii="Times New Roman" w:hAnsi="Times New Roman" w:eastAsia="仿宋_GB2312"/>
          <w:color w:val="auto"/>
          <w:sz w:val="28"/>
          <w:szCs w:val="28"/>
          <w:lang w:val="en-US" w:eastAsia="zh-CN"/>
        </w:rPr>
        <w:fldChar w:fldCharType="separate"/>
      </w:r>
      <w:r>
        <w:rPr>
          <w:rFonts w:hint="eastAsia" w:ascii="Times New Roman" w:hAnsi="Times New Roman" w:eastAsia="仿宋_GB2312"/>
          <w:color w:val="auto"/>
          <w:sz w:val="28"/>
          <w:szCs w:val="28"/>
          <w:lang w:val="en-US" w:eastAsia="zh-CN"/>
        </w:rPr>
        <w:t>220</w:t>
      </w:r>
      <w:r>
        <w:rPr>
          <w:rFonts w:hint="default" w:ascii="Times New Roman" w:hAnsi="Times New Roman" w:eastAsia="仿宋_GB2312"/>
          <w:color w:val="auto"/>
          <w:sz w:val="28"/>
          <w:szCs w:val="28"/>
          <w:lang w:val="en-US" w:eastAsia="zh-CN"/>
        </w:rPr>
        <w:t>国道</w:t>
      </w:r>
      <w:r>
        <w:rPr>
          <w:rFonts w:hint="default" w:ascii="Times New Roman" w:hAnsi="Times New Roman" w:eastAsia="仿宋_GB2312"/>
          <w:color w:val="auto"/>
          <w:sz w:val="28"/>
          <w:szCs w:val="28"/>
          <w:lang w:val="en-US" w:eastAsia="zh-CN"/>
        </w:rPr>
        <w:fldChar w:fldCharType="end"/>
      </w:r>
      <w:r>
        <w:rPr>
          <w:rFonts w:hint="eastAsia" w:ascii="Times New Roman" w:hAnsi="Times New Roman" w:eastAsia="仿宋_GB2312"/>
          <w:color w:val="auto"/>
          <w:sz w:val="28"/>
          <w:szCs w:val="28"/>
          <w:lang w:val="en-US" w:eastAsia="zh-CN"/>
        </w:rPr>
        <w:t>边</w:t>
      </w:r>
      <w:r>
        <w:rPr>
          <w:rFonts w:hint="default" w:ascii="Times New Roman" w:hAnsi="Times New Roman" w:eastAsia="仿宋_GB2312"/>
          <w:color w:val="auto"/>
          <w:sz w:val="28"/>
          <w:szCs w:val="28"/>
          <w:lang w:val="en-US" w:eastAsia="zh-CN"/>
        </w:rPr>
        <w:t>。</w:t>
      </w:r>
      <w:r>
        <w:rPr>
          <w:rFonts w:hint="eastAsia" w:ascii="Times New Roman" w:hAnsi="Times New Roman" w:eastAsia="仿宋_GB2312"/>
          <w:color w:val="auto"/>
          <w:sz w:val="28"/>
          <w:szCs w:val="28"/>
          <w:lang w:val="en-US" w:eastAsia="zh-CN"/>
        </w:rPr>
        <w:t>是近现代重要史迹及代表性建筑</w:t>
      </w:r>
      <w:r>
        <w:rPr>
          <w:rFonts w:hint="default" w:ascii="Times New Roman" w:hAnsi="Times New Roman" w:eastAsia="仿宋_GB2312"/>
          <w:color w:val="auto"/>
          <w:sz w:val="28"/>
          <w:szCs w:val="28"/>
          <w:lang w:val="en-US" w:eastAsia="zh-CN"/>
        </w:rPr>
        <w:t>。旧址始建于清代道光年间，坐北朝南，土木结构，悬山顶，面阔四间38.1米，进深二厅，总面积544.8平方米。1931年6月红三军团兵工厂从崇义金坑迁来此屋，主要修理-械（单响、-、-）和制造-、-等，在革命战争时期发挥过重要作用。该旧址对研究红军在赣南战斗历史及-弹的制造技术具有重要价值。</w:t>
      </w:r>
    </w:p>
    <w:p>
      <w:pPr>
        <w:spacing w:before="0" w:beforeLines="0" w:after="0" w:afterLines="0" w:line="480" w:lineRule="exact"/>
        <w:ind w:firstLine="560"/>
        <w:rPr>
          <w:rFonts w:hint="default" w:ascii="Times New Roman" w:hAnsi="Times New Roman" w:eastAsia="仿宋_GB2312"/>
          <w:color w:val="auto"/>
          <w:sz w:val="28"/>
          <w:szCs w:val="28"/>
          <w:lang w:val="en-US" w:eastAsia="zh-CN"/>
        </w:rPr>
      </w:pPr>
      <w:r>
        <w:rPr>
          <w:rFonts w:hint="default" w:ascii="Times New Roman" w:hAnsi="Times New Roman" w:eastAsia="仿宋_GB2312" w:cs="Times New Roman"/>
          <w:color w:val="auto"/>
          <w:kern w:val="2"/>
          <w:sz w:val="28"/>
          <w:szCs w:val="28"/>
          <w:lang w:val="en-US" w:eastAsia="zh-CN" w:bidi="ar-SA"/>
        </w:rPr>
        <w:t>上寨红三军团政治处旧址（省保）</w:t>
      </w:r>
      <w:r>
        <w:rPr>
          <w:rFonts w:hint="eastAsia" w:ascii="Times New Roman" w:hAnsi="Times New Roman" w:eastAsia="仿宋_GB2312" w:cs="Times New Roman"/>
          <w:color w:val="auto"/>
          <w:kern w:val="2"/>
          <w:sz w:val="28"/>
          <w:szCs w:val="28"/>
          <w:lang w:val="en-US" w:eastAsia="zh-CN" w:bidi="ar-SA"/>
        </w:rPr>
        <w:t>。</w:t>
      </w:r>
      <w:r>
        <w:rPr>
          <w:rFonts w:hint="default" w:ascii="Times New Roman" w:hAnsi="Times New Roman" w:eastAsia="仿宋_GB2312"/>
          <w:color w:val="auto"/>
          <w:sz w:val="28"/>
          <w:szCs w:val="28"/>
          <w:lang w:val="en-US" w:eastAsia="zh-CN"/>
        </w:rPr>
        <w:t>建于土地革命时期，位于</w:t>
      </w:r>
      <w:r>
        <w:rPr>
          <w:rFonts w:hint="eastAsia" w:ascii="Times New Roman" w:hAnsi="Times New Roman" w:eastAsia="仿宋_GB2312"/>
          <w:color w:val="auto"/>
          <w:sz w:val="28"/>
          <w:szCs w:val="28"/>
          <w:lang w:val="en-US" w:eastAsia="zh-CN"/>
        </w:rPr>
        <w:t>赣州</w:t>
      </w:r>
      <w:r>
        <w:rPr>
          <w:rFonts w:hint="default" w:ascii="Times New Roman" w:hAnsi="Times New Roman" w:eastAsia="仿宋_GB2312"/>
          <w:color w:val="auto"/>
          <w:sz w:val="28"/>
          <w:szCs w:val="28"/>
          <w:lang w:val="en-US" w:eastAsia="zh-CN"/>
        </w:rPr>
        <w:t>市</w:t>
      </w:r>
      <w:r>
        <w:rPr>
          <w:rFonts w:hint="default" w:ascii="Times New Roman" w:hAnsi="Times New Roman" w:eastAsia="仿宋_GB2312"/>
          <w:color w:val="auto"/>
          <w:sz w:val="28"/>
          <w:szCs w:val="28"/>
          <w:lang w:val="en-US" w:eastAsia="zh-CN"/>
        </w:rPr>
        <w:fldChar w:fldCharType="begin"/>
      </w:r>
      <w:r>
        <w:rPr>
          <w:rFonts w:hint="default" w:ascii="Times New Roman" w:hAnsi="Times New Roman" w:eastAsia="仿宋_GB2312"/>
          <w:color w:val="auto"/>
          <w:sz w:val="28"/>
          <w:szCs w:val="28"/>
          <w:lang w:val="en-US" w:eastAsia="zh-CN"/>
        </w:rPr>
        <w:instrText xml:space="preserve"> HYPERLINK "https://baike.baidu.com/item/%E6%B3%B0%E5%92%8C%E5%8E%BF/83931?fromModule=lemma_inlink" \t "https://baike.baidu.com/item/%E7%8B%97%E5%AD%90%E8%84%91%E5%A1%94/_blank" </w:instrText>
      </w:r>
      <w:r>
        <w:rPr>
          <w:rFonts w:hint="default" w:ascii="Times New Roman" w:hAnsi="Times New Roman" w:eastAsia="仿宋_GB2312"/>
          <w:color w:val="auto"/>
          <w:sz w:val="28"/>
          <w:szCs w:val="28"/>
          <w:lang w:val="en-US" w:eastAsia="zh-CN"/>
        </w:rPr>
        <w:fldChar w:fldCharType="separate"/>
      </w:r>
      <w:r>
        <w:rPr>
          <w:rFonts w:hint="eastAsia" w:ascii="Times New Roman" w:hAnsi="Times New Roman" w:eastAsia="仿宋_GB2312"/>
          <w:color w:val="auto"/>
          <w:sz w:val="28"/>
          <w:szCs w:val="28"/>
          <w:lang w:val="en-US" w:eastAsia="zh-CN"/>
        </w:rPr>
        <w:t>上犹县</w:t>
      </w:r>
      <w:r>
        <w:rPr>
          <w:rFonts w:hint="default" w:ascii="Times New Roman" w:hAnsi="Times New Roman" w:eastAsia="仿宋_GB2312"/>
          <w:color w:val="auto"/>
          <w:sz w:val="28"/>
          <w:szCs w:val="28"/>
          <w:lang w:val="en-US" w:eastAsia="zh-CN"/>
        </w:rPr>
        <w:fldChar w:fldCharType="end"/>
      </w:r>
      <w:r>
        <w:rPr>
          <w:rFonts w:hint="eastAsia" w:ascii="Times New Roman" w:hAnsi="Times New Roman" w:eastAsia="仿宋_GB2312"/>
          <w:color w:val="auto"/>
          <w:sz w:val="28"/>
          <w:szCs w:val="28"/>
          <w:lang w:val="en-US" w:eastAsia="zh-CN"/>
        </w:rPr>
        <w:t>平富乡</w:t>
      </w:r>
      <w:r>
        <w:rPr>
          <w:rFonts w:hint="default" w:ascii="Times New Roman" w:hAnsi="Times New Roman" w:eastAsia="仿宋_GB2312"/>
          <w:color w:val="auto"/>
          <w:sz w:val="28"/>
          <w:szCs w:val="28"/>
          <w:lang w:val="en-US" w:eastAsia="zh-CN"/>
        </w:rPr>
        <w:t>上寨村，矗立在</w:t>
      </w:r>
      <w:r>
        <w:rPr>
          <w:rFonts w:hint="default" w:ascii="Times New Roman" w:hAnsi="Times New Roman" w:eastAsia="仿宋_GB2312"/>
          <w:color w:val="auto"/>
          <w:sz w:val="28"/>
          <w:szCs w:val="28"/>
          <w:lang w:val="en-US" w:eastAsia="zh-CN"/>
        </w:rPr>
        <w:fldChar w:fldCharType="begin"/>
      </w:r>
      <w:r>
        <w:rPr>
          <w:rFonts w:hint="default" w:ascii="Times New Roman" w:hAnsi="Times New Roman" w:eastAsia="仿宋_GB2312"/>
          <w:color w:val="auto"/>
          <w:sz w:val="28"/>
          <w:szCs w:val="28"/>
          <w:lang w:val="en-US" w:eastAsia="zh-CN"/>
        </w:rPr>
        <w:instrText xml:space="preserve"> HYPERLINK "https://baike.baidu.com/item/105%E5%9B%BD%E9%81%93/761361?fromModule=lemma_inlink" \t "https://baike.baidu.com/item/%E7%8B%97%E5%AD%90%E8%84%91%E5%A1%94/_blank" </w:instrText>
      </w:r>
      <w:r>
        <w:rPr>
          <w:rFonts w:hint="default" w:ascii="Times New Roman" w:hAnsi="Times New Roman" w:eastAsia="仿宋_GB2312"/>
          <w:color w:val="auto"/>
          <w:sz w:val="28"/>
          <w:szCs w:val="28"/>
          <w:lang w:val="en-US" w:eastAsia="zh-CN"/>
        </w:rPr>
        <w:fldChar w:fldCharType="separate"/>
      </w:r>
      <w:r>
        <w:rPr>
          <w:rFonts w:hint="eastAsia" w:ascii="Times New Roman" w:hAnsi="Times New Roman" w:eastAsia="仿宋_GB2312"/>
          <w:color w:val="auto"/>
          <w:sz w:val="28"/>
          <w:szCs w:val="28"/>
          <w:lang w:val="en-US" w:eastAsia="zh-CN"/>
        </w:rPr>
        <w:t>220</w:t>
      </w:r>
      <w:r>
        <w:rPr>
          <w:rFonts w:hint="default" w:ascii="Times New Roman" w:hAnsi="Times New Roman" w:eastAsia="仿宋_GB2312"/>
          <w:color w:val="auto"/>
          <w:sz w:val="28"/>
          <w:szCs w:val="28"/>
          <w:lang w:val="en-US" w:eastAsia="zh-CN"/>
        </w:rPr>
        <w:t>国道</w:t>
      </w:r>
      <w:r>
        <w:rPr>
          <w:rFonts w:hint="default" w:ascii="Times New Roman" w:hAnsi="Times New Roman" w:eastAsia="仿宋_GB2312"/>
          <w:color w:val="auto"/>
          <w:sz w:val="28"/>
          <w:szCs w:val="28"/>
          <w:lang w:val="en-US" w:eastAsia="zh-CN"/>
        </w:rPr>
        <w:fldChar w:fldCharType="end"/>
      </w:r>
      <w:r>
        <w:rPr>
          <w:rFonts w:hint="eastAsia" w:ascii="Times New Roman" w:hAnsi="Times New Roman" w:eastAsia="仿宋_GB2312"/>
          <w:color w:val="auto"/>
          <w:sz w:val="28"/>
          <w:szCs w:val="28"/>
          <w:lang w:val="en-US" w:eastAsia="zh-CN"/>
        </w:rPr>
        <w:t>边</w:t>
      </w:r>
      <w:r>
        <w:rPr>
          <w:rFonts w:hint="default" w:ascii="Times New Roman" w:hAnsi="Times New Roman" w:eastAsia="仿宋_GB2312"/>
          <w:color w:val="auto"/>
          <w:sz w:val="28"/>
          <w:szCs w:val="28"/>
          <w:lang w:val="en-US" w:eastAsia="zh-CN"/>
        </w:rPr>
        <w:t>。</w:t>
      </w:r>
      <w:r>
        <w:rPr>
          <w:rFonts w:hint="eastAsia" w:ascii="Times New Roman" w:hAnsi="Times New Roman" w:eastAsia="仿宋_GB2312"/>
          <w:color w:val="auto"/>
          <w:sz w:val="28"/>
          <w:szCs w:val="28"/>
          <w:lang w:val="en-US" w:eastAsia="zh-CN"/>
        </w:rPr>
        <w:t>是近现代重要史迹及代表性建筑</w:t>
      </w:r>
      <w:r>
        <w:rPr>
          <w:rFonts w:hint="default" w:ascii="Times New Roman" w:hAnsi="Times New Roman" w:eastAsia="仿宋_GB2312"/>
          <w:color w:val="auto"/>
          <w:sz w:val="28"/>
          <w:szCs w:val="28"/>
          <w:lang w:val="en-US" w:eastAsia="zh-CN"/>
        </w:rPr>
        <w:t>。旧址始建于清代道光年间，坐北朝南，砖、木结构，悬山顶，面阔九间，通面宽为45.29米，通进深为18.9米，总占地面积871平方米。2018年3月被江西省人民政府公布为江西省第六批文物保护单位。</w:t>
      </w:r>
    </w:p>
    <w:p>
      <w:pPr>
        <w:spacing w:before="0" w:beforeLines="0" w:after="0" w:afterLines="0" w:line="480" w:lineRule="exact"/>
        <w:ind w:firstLine="560"/>
        <w:rPr>
          <w:rFonts w:hint="default" w:ascii="Times New Roman" w:hAnsi="Times New Roman" w:eastAsia="仿宋_GB2312"/>
          <w:color w:val="auto"/>
          <w:sz w:val="28"/>
          <w:szCs w:val="28"/>
          <w:lang w:val="en-US" w:eastAsia="zh-CN"/>
        </w:rPr>
      </w:pPr>
      <w:r>
        <w:rPr>
          <w:rFonts w:hint="default" w:ascii="Times New Roman" w:hAnsi="Times New Roman" w:eastAsia="仿宋_GB2312" w:cs="Times New Roman"/>
          <w:color w:val="auto"/>
          <w:kern w:val="2"/>
          <w:sz w:val="28"/>
          <w:szCs w:val="28"/>
          <w:lang w:val="en-US" w:eastAsia="zh-CN" w:bidi="ar-SA"/>
        </w:rPr>
        <w:t>红三军团保卫部旧址（省保）</w:t>
      </w:r>
      <w:r>
        <w:rPr>
          <w:rFonts w:hint="eastAsia" w:ascii="Times New Roman" w:hAnsi="Times New Roman" w:eastAsia="仿宋_GB2312" w:cs="Times New Roman"/>
          <w:color w:val="auto"/>
          <w:kern w:val="2"/>
          <w:sz w:val="28"/>
          <w:szCs w:val="28"/>
          <w:lang w:val="en-US" w:eastAsia="zh-CN" w:bidi="ar-SA"/>
        </w:rPr>
        <w:t>。</w:t>
      </w:r>
      <w:r>
        <w:rPr>
          <w:rFonts w:hint="default" w:ascii="Times New Roman" w:hAnsi="Times New Roman" w:eastAsia="仿宋_GB2312"/>
          <w:color w:val="auto"/>
          <w:sz w:val="28"/>
          <w:szCs w:val="28"/>
          <w:lang w:val="en-US" w:eastAsia="zh-CN"/>
        </w:rPr>
        <w:t>建于清代，位于</w:t>
      </w:r>
      <w:r>
        <w:rPr>
          <w:rFonts w:hint="eastAsia" w:ascii="Times New Roman" w:hAnsi="Times New Roman" w:eastAsia="仿宋_GB2312"/>
          <w:color w:val="auto"/>
          <w:sz w:val="28"/>
          <w:szCs w:val="28"/>
          <w:lang w:val="en-US" w:eastAsia="zh-CN"/>
        </w:rPr>
        <w:t>赣州</w:t>
      </w:r>
      <w:r>
        <w:rPr>
          <w:rFonts w:hint="default" w:ascii="Times New Roman" w:hAnsi="Times New Roman" w:eastAsia="仿宋_GB2312"/>
          <w:color w:val="auto"/>
          <w:sz w:val="28"/>
          <w:szCs w:val="28"/>
          <w:lang w:val="en-US" w:eastAsia="zh-CN"/>
        </w:rPr>
        <w:t>市</w:t>
      </w:r>
      <w:r>
        <w:rPr>
          <w:rFonts w:hint="default" w:ascii="Times New Roman" w:hAnsi="Times New Roman" w:eastAsia="仿宋_GB2312"/>
          <w:color w:val="auto"/>
          <w:sz w:val="28"/>
          <w:szCs w:val="28"/>
          <w:lang w:val="en-US" w:eastAsia="zh-CN"/>
        </w:rPr>
        <w:fldChar w:fldCharType="begin"/>
      </w:r>
      <w:r>
        <w:rPr>
          <w:rFonts w:hint="default" w:ascii="Times New Roman" w:hAnsi="Times New Roman" w:eastAsia="仿宋_GB2312"/>
          <w:color w:val="auto"/>
          <w:sz w:val="28"/>
          <w:szCs w:val="28"/>
          <w:lang w:val="en-US" w:eastAsia="zh-CN"/>
        </w:rPr>
        <w:instrText xml:space="preserve"> HYPERLINK "https://baike.baidu.com/item/%E6%B3%B0%E5%92%8C%E5%8E%BF/83931?fromModule=lemma_inlink" \t "https://baike.baidu.com/item/%E7%8B%97%E5%AD%90%E8%84%91%E5%A1%94/_blank" </w:instrText>
      </w:r>
      <w:r>
        <w:rPr>
          <w:rFonts w:hint="default" w:ascii="Times New Roman" w:hAnsi="Times New Roman" w:eastAsia="仿宋_GB2312"/>
          <w:color w:val="auto"/>
          <w:sz w:val="28"/>
          <w:szCs w:val="28"/>
          <w:lang w:val="en-US" w:eastAsia="zh-CN"/>
        </w:rPr>
        <w:fldChar w:fldCharType="separate"/>
      </w:r>
      <w:r>
        <w:rPr>
          <w:rFonts w:hint="eastAsia" w:ascii="Times New Roman" w:hAnsi="Times New Roman" w:eastAsia="仿宋_GB2312"/>
          <w:color w:val="auto"/>
          <w:sz w:val="28"/>
          <w:szCs w:val="28"/>
          <w:lang w:val="en-US" w:eastAsia="zh-CN"/>
        </w:rPr>
        <w:t>上犹县</w:t>
      </w:r>
      <w:r>
        <w:rPr>
          <w:rFonts w:hint="default" w:ascii="Times New Roman" w:hAnsi="Times New Roman" w:eastAsia="仿宋_GB2312"/>
          <w:color w:val="auto"/>
          <w:sz w:val="28"/>
          <w:szCs w:val="28"/>
          <w:lang w:val="en-US" w:eastAsia="zh-CN"/>
        </w:rPr>
        <w:fldChar w:fldCharType="end"/>
      </w:r>
      <w:r>
        <w:rPr>
          <w:rFonts w:hint="eastAsia" w:ascii="Times New Roman" w:hAnsi="Times New Roman" w:eastAsia="仿宋_GB2312"/>
          <w:color w:val="auto"/>
          <w:sz w:val="28"/>
          <w:szCs w:val="28"/>
          <w:lang w:val="en-US" w:eastAsia="zh-CN"/>
        </w:rPr>
        <w:t>平富乡</w:t>
      </w:r>
      <w:r>
        <w:rPr>
          <w:rFonts w:hint="default" w:ascii="Times New Roman" w:hAnsi="Times New Roman" w:eastAsia="仿宋_GB2312"/>
          <w:color w:val="auto"/>
          <w:sz w:val="28"/>
          <w:szCs w:val="28"/>
          <w:lang w:val="en-US" w:eastAsia="zh-CN"/>
        </w:rPr>
        <w:t>上寨村，矗立在</w:t>
      </w:r>
      <w:r>
        <w:rPr>
          <w:rFonts w:hint="default" w:ascii="Times New Roman" w:hAnsi="Times New Roman" w:eastAsia="仿宋_GB2312"/>
          <w:color w:val="auto"/>
          <w:sz w:val="28"/>
          <w:szCs w:val="28"/>
          <w:lang w:val="en-US" w:eastAsia="zh-CN"/>
        </w:rPr>
        <w:fldChar w:fldCharType="begin"/>
      </w:r>
      <w:r>
        <w:rPr>
          <w:rFonts w:hint="default" w:ascii="Times New Roman" w:hAnsi="Times New Roman" w:eastAsia="仿宋_GB2312"/>
          <w:color w:val="auto"/>
          <w:sz w:val="28"/>
          <w:szCs w:val="28"/>
          <w:lang w:val="en-US" w:eastAsia="zh-CN"/>
        </w:rPr>
        <w:instrText xml:space="preserve"> HYPERLINK "https://baike.baidu.com/item/105%E5%9B%BD%E9%81%93/761361?fromModule=lemma_inlink" \t "https://baike.baidu.com/item/%E7%8B%97%E5%AD%90%E8%84%91%E5%A1%94/_blank" </w:instrText>
      </w:r>
      <w:r>
        <w:rPr>
          <w:rFonts w:hint="default" w:ascii="Times New Roman" w:hAnsi="Times New Roman" w:eastAsia="仿宋_GB2312"/>
          <w:color w:val="auto"/>
          <w:sz w:val="28"/>
          <w:szCs w:val="28"/>
          <w:lang w:val="en-US" w:eastAsia="zh-CN"/>
        </w:rPr>
        <w:fldChar w:fldCharType="separate"/>
      </w:r>
      <w:r>
        <w:rPr>
          <w:rFonts w:hint="eastAsia" w:ascii="Times New Roman" w:hAnsi="Times New Roman" w:eastAsia="仿宋_GB2312"/>
          <w:color w:val="auto"/>
          <w:sz w:val="28"/>
          <w:szCs w:val="28"/>
          <w:lang w:val="en-US" w:eastAsia="zh-CN"/>
        </w:rPr>
        <w:t>220</w:t>
      </w:r>
      <w:r>
        <w:rPr>
          <w:rFonts w:hint="default" w:ascii="Times New Roman" w:hAnsi="Times New Roman" w:eastAsia="仿宋_GB2312"/>
          <w:color w:val="auto"/>
          <w:sz w:val="28"/>
          <w:szCs w:val="28"/>
          <w:lang w:val="en-US" w:eastAsia="zh-CN"/>
        </w:rPr>
        <w:t>国道</w:t>
      </w:r>
      <w:r>
        <w:rPr>
          <w:rFonts w:hint="default" w:ascii="Times New Roman" w:hAnsi="Times New Roman" w:eastAsia="仿宋_GB2312"/>
          <w:color w:val="auto"/>
          <w:sz w:val="28"/>
          <w:szCs w:val="28"/>
          <w:lang w:val="en-US" w:eastAsia="zh-CN"/>
        </w:rPr>
        <w:fldChar w:fldCharType="end"/>
      </w:r>
      <w:r>
        <w:rPr>
          <w:rFonts w:hint="eastAsia" w:ascii="Times New Roman" w:hAnsi="Times New Roman" w:eastAsia="仿宋_GB2312"/>
          <w:color w:val="auto"/>
          <w:sz w:val="28"/>
          <w:szCs w:val="28"/>
          <w:lang w:val="en-US" w:eastAsia="zh-CN"/>
        </w:rPr>
        <w:t>边</w:t>
      </w:r>
      <w:r>
        <w:rPr>
          <w:rFonts w:hint="default" w:ascii="Times New Roman" w:hAnsi="Times New Roman" w:eastAsia="仿宋_GB2312"/>
          <w:color w:val="auto"/>
          <w:sz w:val="28"/>
          <w:szCs w:val="28"/>
          <w:lang w:val="en-US" w:eastAsia="zh-CN"/>
        </w:rPr>
        <w:t>。</w:t>
      </w:r>
      <w:r>
        <w:rPr>
          <w:rFonts w:hint="eastAsia" w:ascii="Times New Roman" w:hAnsi="Times New Roman" w:eastAsia="仿宋_GB2312"/>
          <w:color w:val="auto"/>
          <w:sz w:val="28"/>
          <w:szCs w:val="28"/>
          <w:lang w:val="en-US" w:eastAsia="zh-CN"/>
        </w:rPr>
        <w:t>是重要古建筑</w:t>
      </w:r>
      <w:r>
        <w:rPr>
          <w:rFonts w:hint="default" w:ascii="Times New Roman" w:hAnsi="Times New Roman" w:eastAsia="仿宋_GB2312"/>
          <w:color w:val="auto"/>
          <w:sz w:val="28"/>
          <w:szCs w:val="28"/>
          <w:lang w:val="en-US" w:eastAsia="zh-CN"/>
        </w:rPr>
        <w:t>。</w:t>
      </w:r>
    </w:p>
    <w:p>
      <w:pPr>
        <w:spacing w:before="0" w:beforeLines="0" w:after="0" w:afterLines="0" w:line="480" w:lineRule="exact"/>
        <w:ind w:firstLine="560"/>
        <w:rPr>
          <w:rFonts w:hint="default" w:ascii="Times New Roman" w:hAnsi="Times New Roman" w:eastAsia="仿宋_GB2312"/>
          <w:color w:val="auto"/>
          <w:sz w:val="28"/>
          <w:szCs w:val="28"/>
          <w:lang w:val="en-US" w:eastAsia="zh-CN"/>
        </w:rPr>
      </w:pPr>
      <w:r>
        <w:rPr>
          <w:rFonts w:hint="default" w:ascii="Times New Roman" w:hAnsi="Times New Roman" w:eastAsia="仿宋_GB2312" w:cs="Times New Roman"/>
          <w:color w:val="auto"/>
          <w:kern w:val="2"/>
          <w:sz w:val="28"/>
          <w:szCs w:val="28"/>
          <w:lang w:val="en-US" w:eastAsia="zh-CN" w:bidi="ar-SA"/>
        </w:rPr>
        <w:t>红三军团后勤部（县保）</w:t>
      </w:r>
      <w:r>
        <w:rPr>
          <w:rFonts w:hint="eastAsia" w:ascii="Times New Roman" w:hAnsi="Times New Roman" w:eastAsia="仿宋_GB2312" w:cs="Times New Roman"/>
          <w:color w:val="auto"/>
          <w:kern w:val="2"/>
          <w:sz w:val="28"/>
          <w:szCs w:val="28"/>
          <w:lang w:val="en-US" w:eastAsia="zh-CN" w:bidi="ar-SA"/>
        </w:rPr>
        <w:t>。</w:t>
      </w:r>
      <w:r>
        <w:rPr>
          <w:rFonts w:hint="default" w:ascii="Times New Roman" w:hAnsi="Times New Roman" w:eastAsia="仿宋_GB2312"/>
          <w:color w:val="auto"/>
          <w:sz w:val="28"/>
          <w:szCs w:val="28"/>
          <w:lang w:val="en-US" w:eastAsia="zh-CN"/>
        </w:rPr>
        <w:t>建于清代，位于</w:t>
      </w:r>
      <w:r>
        <w:rPr>
          <w:rFonts w:hint="eastAsia" w:ascii="Times New Roman" w:hAnsi="Times New Roman" w:eastAsia="仿宋_GB2312"/>
          <w:color w:val="auto"/>
          <w:sz w:val="28"/>
          <w:szCs w:val="28"/>
          <w:lang w:val="en-US" w:eastAsia="zh-CN"/>
        </w:rPr>
        <w:t>赣州</w:t>
      </w:r>
      <w:r>
        <w:rPr>
          <w:rFonts w:hint="default" w:ascii="Times New Roman" w:hAnsi="Times New Roman" w:eastAsia="仿宋_GB2312"/>
          <w:color w:val="auto"/>
          <w:sz w:val="28"/>
          <w:szCs w:val="28"/>
          <w:lang w:val="en-US" w:eastAsia="zh-CN"/>
        </w:rPr>
        <w:t>市</w:t>
      </w:r>
      <w:r>
        <w:rPr>
          <w:rFonts w:hint="default" w:ascii="Times New Roman" w:hAnsi="Times New Roman" w:eastAsia="仿宋_GB2312"/>
          <w:color w:val="auto"/>
          <w:sz w:val="28"/>
          <w:szCs w:val="28"/>
          <w:lang w:val="en-US" w:eastAsia="zh-CN"/>
        </w:rPr>
        <w:fldChar w:fldCharType="begin"/>
      </w:r>
      <w:r>
        <w:rPr>
          <w:rFonts w:hint="default" w:ascii="Times New Roman" w:hAnsi="Times New Roman" w:eastAsia="仿宋_GB2312"/>
          <w:color w:val="auto"/>
          <w:sz w:val="28"/>
          <w:szCs w:val="28"/>
          <w:lang w:val="en-US" w:eastAsia="zh-CN"/>
        </w:rPr>
        <w:instrText xml:space="preserve"> HYPERLINK "https://baike.baidu.com/item/%E6%B3%B0%E5%92%8C%E5%8E%BF/83931?fromModule=lemma_inlink" \t "https://baike.baidu.com/item/%E7%8B%97%E5%AD%90%E8%84%91%E5%A1%94/_blank" </w:instrText>
      </w:r>
      <w:r>
        <w:rPr>
          <w:rFonts w:hint="default" w:ascii="Times New Roman" w:hAnsi="Times New Roman" w:eastAsia="仿宋_GB2312"/>
          <w:color w:val="auto"/>
          <w:sz w:val="28"/>
          <w:szCs w:val="28"/>
          <w:lang w:val="en-US" w:eastAsia="zh-CN"/>
        </w:rPr>
        <w:fldChar w:fldCharType="separate"/>
      </w:r>
      <w:r>
        <w:rPr>
          <w:rFonts w:hint="eastAsia" w:ascii="Times New Roman" w:hAnsi="Times New Roman" w:eastAsia="仿宋_GB2312"/>
          <w:color w:val="auto"/>
          <w:sz w:val="28"/>
          <w:szCs w:val="28"/>
          <w:lang w:val="en-US" w:eastAsia="zh-CN"/>
        </w:rPr>
        <w:t>上犹县</w:t>
      </w:r>
      <w:r>
        <w:rPr>
          <w:rFonts w:hint="default" w:ascii="Times New Roman" w:hAnsi="Times New Roman" w:eastAsia="仿宋_GB2312"/>
          <w:color w:val="auto"/>
          <w:sz w:val="28"/>
          <w:szCs w:val="28"/>
          <w:lang w:val="en-US" w:eastAsia="zh-CN"/>
        </w:rPr>
        <w:fldChar w:fldCharType="end"/>
      </w:r>
      <w:r>
        <w:rPr>
          <w:rFonts w:hint="eastAsia" w:ascii="Times New Roman" w:hAnsi="Times New Roman" w:eastAsia="仿宋_GB2312"/>
          <w:color w:val="auto"/>
          <w:sz w:val="28"/>
          <w:szCs w:val="28"/>
          <w:lang w:val="en-US" w:eastAsia="zh-CN"/>
        </w:rPr>
        <w:t>平富乡</w:t>
      </w:r>
      <w:r>
        <w:rPr>
          <w:rFonts w:hint="default" w:ascii="Times New Roman" w:hAnsi="Times New Roman" w:eastAsia="仿宋_GB2312"/>
          <w:color w:val="auto"/>
          <w:sz w:val="28"/>
          <w:szCs w:val="28"/>
          <w:lang w:val="en-US" w:eastAsia="zh-CN"/>
        </w:rPr>
        <w:t>上寨村，矗立在</w:t>
      </w:r>
      <w:r>
        <w:rPr>
          <w:rFonts w:hint="default" w:ascii="Times New Roman" w:hAnsi="Times New Roman" w:eastAsia="仿宋_GB2312"/>
          <w:color w:val="auto"/>
          <w:sz w:val="28"/>
          <w:szCs w:val="28"/>
          <w:lang w:val="en-US" w:eastAsia="zh-CN"/>
        </w:rPr>
        <w:fldChar w:fldCharType="begin"/>
      </w:r>
      <w:r>
        <w:rPr>
          <w:rFonts w:hint="default" w:ascii="Times New Roman" w:hAnsi="Times New Roman" w:eastAsia="仿宋_GB2312"/>
          <w:color w:val="auto"/>
          <w:sz w:val="28"/>
          <w:szCs w:val="28"/>
          <w:lang w:val="en-US" w:eastAsia="zh-CN"/>
        </w:rPr>
        <w:instrText xml:space="preserve"> HYPERLINK "https://baike.baidu.com/item/105%E5%9B%BD%E9%81%93/761361?fromModule=lemma_inlink" \t "https://baike.baidu.com/item/%E7%8B%97%E5%AD%90%E8%84%91%E5%A1%94/_blank" </w:instrText>
      </w:r>
      <w:r>
        <w:rPr>
          <w:rFonts w:hint="default" w:ascii="Times New Roman" w:hAnsi="Times New Roman" w:eastAsia="仿宋_GB2312"/>
          <w:color w:val="auto"/>
          <w:sz w:val="28"/>
          <w:szCs w:val="28"/>
          <w:lang w:val="en-US" w:eastAsia="zh-CN"/>
        </w:rPr>
        <w:fldChar w:fldCharType="separate"/>
      </w:r>
      <w:r>
        <w:rPr>
          <w:rFonts w:hint="eastAsia" w:ascii="Times New Roman" w:hAnsi="Times New Roman" w:eastAsia="仿宋_GB2312"/>
          <w:color w:val="auto"/>
          <w:sz w:val="28"/>
          <w:szCs w:val="28"/>
          <w:lang w:val="en-US" w:eastAsia="zh-CN"/>
        </w:rPr>
        <w:t>220</w:t>
      </w:r>
      <w:r>
        <w:rPr>
          <w:rFonts w:hint="default" w:ascii="Times New Roman" w:hAnsi="Times New Roman" w:eastAsia="仿宋_GB2312"/>
          <w:color w:val="auto"/>
          <w:sz w:val="28"/>
          <w:szCs w:val="28"/>
          <w:lang w:val="en-US" w:eastAsia="zh-CN"/>
        </w:rPr>
        <w:t>国道</w:t>
      </w:r>
      <w:r>
        <w:rPr>
          <w:rFonts w:hint="default" w:ascii="Times New Roman" w:hAnsi="Times New Roman" w:eastAsia="仿宋_GB2312"/>
          <w:color w:val="auto"/>
          <w:sz w:val="28"/>
          <w:szCs w:val="28"/>
          <w:lang w:val="en-US" w:eastAsia="zh-CN"/>
        </w:rPr>
        <w:fldChar w:fldCharType="end"/>
      </w:r>
      <w:r>
        <w:rPr>
          <w:rFonts w:hint="eastAsia" w:ascii="Times New Roman" w:hAnsi="Times New Roman" w:eastAsia="仿宋_GB2312"/>
          <w:color w:val="auto"/>
          <w:sz w:val="28"/>
          <w:szCs w:val="28"/>
          <w:lang w:val="en-US" w:eastAsia="zh-CN"/>
        </w:rPr>
        <w:t>边</w:t>
      </w:r>
      <w:r>
        <w:rPr>
          <w:rFonts w:hint="default" w:ascii="Times New Roman" w:hAnsi="Times New Roman" w:eastAsia="仿宋_GB2312"/>
          <w:color w:val="auto"/>
          <w:sz w:val="28"/>
          <w:szCs w:val="28"/>
          <w:lang w:val="en-US" w:eastAsia="zh-CN"/>
        </w:rPr>
        <w:t>。</w:t>
      </w:r>
      <w:r>
        <w:rPr>
          <w:rFonts w:hint="eastAsia" w:ascii="Times New Roman" w:hAnsi="Times New Roman" w:eastAsia="仿宋_GB2312"/>
          <w:color w:val="auto"/>
          <w:sz w:val="28"/>
          <w:szCs w:val="28"/>
          <w:lang w:val="en-US" w:eastAsia="zh-CN"/>
        </w:rPr>
        <w:t>是重要古建筑</w:t>
      </w:r>
      <w:r>
        <w:rPr>
          <w:rFonts w:hint="default" w:ascii="Times New Roman" w:hAnsi="Times New Roman" w:eastAsia="仿宋_GB2312"/>
          <w:color w:val="auto"/>
          <w:sz w:val="28"/>
          <w:szCs w:val="28"/>
          <w:lang w:val="en-US" w:eastAsia="zh-CN"/>
        </w:rPr>
        <w:t>。</w:t>
      </w:r>
    </w:p>
    <w:p>
      <w:pPr>
        <w:keepNext w:val="0"/>
        <w:keepLines w:val="0"/>
        <w:pageBreakBefore w:val="0"/>
        <w:widowControl/>
        <w:suppressLineNumbers w:val="0"/>
        <w:kinsoku/>
        <w:wordWrap/>
        <w:overflowPunct/>
        <w:topLinePunct w:val="0"/>
        <w:bidi w:val="0"/>
        <w:adjustRightInd/>
        <w:snapToGrid w:val="0"/>
        <w:spacing w:line="480" w:lineRule="exact"/>
        <w:ind w:left="0" w:leftChars="0" w:firstLine="0" w:firstLineChars="0"/>
        <w:jc w:val="center"/>
        <w:textAlignment w:val="auto"/>
        <w:rPr>
          <w:rFonts w:hint="eastAsia" w:ascii="Times New Roman" w:hAnsi="Times New Roman" w:eastAsia="仿宋_GB2312" w:cs="Times New Roman"/>
          <w:b/>
          <w:color w:val="auto"/>
          <w:kern w:val="2"/>
          <w:sz w:val="21"/>
          <w:szCs w:val="22"/>
          <w:lang w:val="en-US" w:eastAsia="zh-CN" w:bidi="ar-SA"/>
        </w:rPr>
      </w:pPr>
      <w:r>
        <w:rPr>
          <w:rFonts w:hint="eastAsia" w:ascii="Times New Roman" w:hAnsi="Times New Roman" w:eastAsia="仿宋_GB2312" w:cs="Times New Roman"/>
          <w:b/>
          <w:color w:val="auto"/>
          <w:kern w:val="2"/>
          <w:sz w:val="21"/>
          <w:szCs w:val="22"/>
          <w:lang w:val="en-US" w:eastAsia="zh-CN" w:bidi="ar-SA"/>
        </w:rPr>
        <w:t>表8-1平富乡主要文化资源一览表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2691"/>
        <w:gridCol w:w="1200"/>
        <w:gridCol w:w="950"/>
        <w:gridCol w:w="2009"/>
        <w:gridCol w:w="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dxa"/>
            <w:vAlign w:val="top"/>
          </w:tcPr>
          <w:p>
            <w:pPr>
              <w:pStyle w:val="31"/>
              <w:rPr>
                <w:rFonts w:hint="default" w:ascii="Times New Roman" w:hAnsi="Times New Roman" w:eastAsia="仿宋_GB2312" w:cs="Times New Roman"/>
                <w:b/>
                <w:bCs w:val="0"/>
                <w:color w:val="auto"/>
                <w:lang w:val="en-US" w:eastAsia="zh-CN" w:bidi="ar"/>
              </w:rPr>
            </w:pPr>
            <w:r>
              <w:rPr>
                <w:rFonts w:hint="eastAsia" w:ascii="Times New Roman" w:hAnsi="Times New Roman" w:eastAsia="仿宋_GB2312" w:cs="Times New Roman"/>
                <w:b/>
                <w:bCs w:val="0"/>
                <w:color w:val="auto"/>
                <w:lang w:val="en-US" w:eastAsia="zh-CN" w:bidi="ar"/>
              </w:rPr>
              <w:t>序号</w:t>
            </w:r>
          </w:p>
        </w:tc>
        <w:tc>
          <w:tcPr>
            <w:tcW w:w="2691" w:type="dxa"/>
            <w:vAlign w:val="top"/>
          </w:tcPr>
          <w:p>
            <w:pPr>
              <w:pStyle w:val="31"/>
              <w:rPr>
                <w:rFonts w:hint="default" w:ascii="Times New Roman" w:hAnsi="Times New Roman" w:eastAsia="仿宋_GB2312" w:cs="Times New Roman"/>
                <w:b/>
                <w:bCs w:val="0"/>
                <w:color w:val="auto"/>
                <w:lang w:val="en-US" w:eastAsia="zh-CN" w:bidi="ar"/>
              </w:rPr>
            </w:pPr>
            <w:r>
              <w:rPr>
                <w:rFonts w:hint="eastAsia" w:ascii="Times New Roman" w:hAnsi="Times New Roman" w:eastAsia="仿宋_GB2312" w:cs="Times New Roman"/>
                <w:b/>
                <w:bCs w:val="0"/>
                <w:color w:val="auto"/>
                <w:lang w:val="en-US" w:eastAsia="zh-CN" w:bidi="ar"/>
              </w:rPr>
              <w:t>名称</w:t>
            </w:r>
          </w:p>
        </w:tc>
        <w:tc>
          <w:tcPr>
            <w:tcW w:w="1200" w:type="dxa"/>
            <w:vAlign w:val="top"/>
          </w:tcPr>
          <w:p>
            <w:pPr>
              <w:pStyle w:val="31"/>
              <w:rPr>
                <w:rFonts w:hint="default" w:ascii="Times New Roman" w:hAnsi="Times New Roman" w:eastAsia="仿宋_GB2312" w:cs="Times New Roman"/>
                <w:b/>
                <w:bCs w:val="0"/>
                <w:color w:val="auto"/>
                <w:lang w:val="en-US" w:eastAsia="zh-CN" w:bidi="ar"/>
              </w:rPr>
            </w:pPr>
            <w:r>
              <w:rPr>
                <w:rFonts w:hint="eastAsia" w:ascii="Times New Roman" w:hAnsi="Times New Roman" w:eastAsia="仿宋_GB2312" w:cs="Times New Roman"/>
                <w:b/>
                <w:bCs w:val="0"/>
                <w:color w:val="auto"/>
                <w:lang w:val="en-US" w:eastAsia="zh-CN" w:bidi="ar"/>
              </w:rPr>
              <w:t>行政辖区</w:t>
            </w:r>
          </w:p>
        </w:tc>
        <w:tc>
          <w:tcPr>
            <w:tcW w:w="950" w:type="dxa"/>
            <w:vAlign w:val="top"/>
          </w:tcPr>
          <w:p>
            <w:pPr>
              <w:pStyle w:val="31"/>
              <w:rPr>
                <w:rFonts w:hint="default" w:ascii="Times New Roman" w:hAnsi="Times New Roman" w:eastAsia="仿宋_GB2312" w:cs="Times New Roman"/>
                <w:b/>
                <w:bCs w:val="0"/>
                <w:color w:val="auto"/>
                <w:lang w:val="en-US" w:eastAsia="zh-CN" w:bidi="ar"/>
              </w:rPr>
            </w:pPr>
            <w:r>
              <w:rPr>
                <w:rFonts w:hint="eastAsia" w:ascii="Times New Roman" w:hAnsi="Times New Roman" w:eastAsia="仿宋_GB2312" w:cs="Times New Roman"/>
                <w:b/>
                <w:bCs w:val="0"/>
                <w:color w:val="auto"/>
                <w:lang w:val="en-US" w:eastAsia="zh-CN" w:bidi="ar"/>
              </w:rPr>
              <w:t>级别</w:t>
            </w:r>
          </w:p>
        </w:tc>
        <w:tc>
          <w:tcPr>
            <w:tcW w:w="2009" w:type="dxa"/>
            <w:vAlign w:val="top"/>
          </w:tcPr>
          <w:p>
            <w:pPr>
              <w:pStyle w:val="31"/>
              <w:rPr>
                <w:rFonts w:hint="default" w:ascii="Times New Roman" w:hAnsi="Times New Roman" w:eastAsia="仿宋_GB2312" w:cs="Times New Roman"/>
                <w:b/>
                <w:bCs w:val="0"/>
                <w:color w:val="auto"/>
                <w:lang w:val="en-US" w:eastAsia="zh-CN" w:bidi="ar"/>
              </w:rPr>
            </w:pPr>
            <w:r>
              <w:rPr>
                <w:rFonts w:hint="eastAsia" w:ascii="Times New Roman" w:hAnsi="Times New Roman" w:eastAsia="仿宋_GB2312" w:cs="Times New Roman"/>
                <w:b/>
                <w:bCs w:val="0"/>
                <w:color w:val="auto"/>
                <w:lang w:val="en-US" w:eastAsia="zh-CN" w:bidi="ar"/>
              </w:rPr>
              <w:t>类别</w:t>
            </w:r>
          </w:p>
        </w:tc>
        <w:tc>
          <w:tcPr>
            <w:tcW w:w="819" w:type="dxa"/>
            <w:vAlign w:val="top"/>
          </w:tcPr>
          <w:p>
            <w:pPr>
              <w:pStyle w:val="31"/>
              <w:rPr>
                <w:rFonts w:hint="default" w:ascii="Times New Roman" w:hAnsi="Times New Roman" w:eastAsia="仿宋_GB2312" w:cs="Times New Roman"/>
                <w:b/>
                <w:bCs w:val="0"/>
                <w:color w:val="auto"/>
                <w:lang w:val="en-US" w:eastAsia="zh-CN" w:bidi="ar"/>
              </w:rPr>
            </w:pPr>
            <w:r>
              <w:rPr>
                <w:rFonts w:hint="eastAsia" w:ascii="Times New Roman" w:hAnsi="Times New Roman" w:eastAsia="仿宋_GB2312" w:cs="Times New Roman"/>
                <w:b/>
                <w:bCs w:val="0"/>
                <w:color w:val="auto"/>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dxa"/>
            <w:vAlign w:val="top"/>
          </w:tcPr>
          <w:p>
            <w:pPr>
              <w:pStyle w:val="31"/>
              <w:rPr>
                <w:rFonts w:hint="default"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1</w:t>
            </w:r>
          </w:p>
        </w:tc>
        <w:tc>
          <w:tcPr>
            <w:tcW w:w="2691" w:type="dxa"/>
            <w:vAlign w:val="top"/>
          </w:tcPr>
          <w:p>
            <w:pPr>
              <w:pStyle w:val="16"/>
              <w:keepNext w:val="0"/>
              <w:keepLines w:val="0"/>
              <w:widowControl/>
              <w:suppressLineNumbers w:val="0"/>
              <w:ind w:left="0" w:leftChars="0" w:right="0" w:rightChars="0" w:firstLine="0" w:firstLineChars="0"/>
              <w:rPr>
                <w:rFonts w:hint="default" w:ascii="Times New Roman" w:hAnsi="Times New Roman" w:eastAsia="仿宋_GB2312" w:cs="Times New Roman"/>
                <w:b w:val="0"/>
                <w:bCs/>
                <w:color w:val="auto"/>
                <w:kern w:val="0"/>
                <w:sz w:val="21"/>
                <w:szCs w:val="24"/>
                <w:lang w:val="en-US" w:eastAsia="zh-CN" w:bidi="ar"/>
              </w:rPr>
            </w:pPr>
            <w:r>
              <w:rPr>
                <w:rFonts w:hint="eastAsia" w:ascii="Times New Roman" w:hAnsi="Times New Roman" w:eastAsia="仿宋_GB2312" w:cs="Times New Roman"/>
                <w:b w:val="0"/>
                <w:bCs/>
                <w:color w:val="auto"/>
                <w:kern w:val="0"/>
                <w:sz w:val="21"/>
                <w:szCs w:val="24"/>
                <w:lang w:val="en-US" w:eastAsia="zh-CN" w:bidi="ar"/>
              </w:rPr>
              <w:t>上寨红军医院旧址</w:t>
            </w:r>
          </w:p>
        </w:tc>
        <w:tc>
          <w:tcPr>
            <w:tcW w:w="1200" w:type="dxa"/>
            <w:vAlign w:val="top"/>
          </w:tcPr>
          <w:p>
            <w:pPr>
              <w:pStyle w:val="31"/>
              <w:rPr>
                <w:rFonts w:hint="default" w:ascii="Times New Roman" w:hAnsi="Times New Roman" w:eastAsia="仿宋_GB2312" w:cs="Times New Roman"/>
                <w:b w:val="0"/>
                <w:bCs/>
                <w:color w:val="auto"/>
                <w:lang w:val="en-US" w:eastAsia="zh-CN" w:bidi="ar"/>
              </w:rPr>
            </w:pPr>
            <w:r>
              <w:rPr>
                <w:rFonts w:hint="default" w:ascii="Times New Roman" w:hAnsi="Times New Roman" w:eastAsia="仿宋_GB2312" w:cs="Times New Roman"/>
                <w:b w:val="0"/>
                <w:bCs/>
                <w:color w:val="auto"/>
                <w:lang w:val="en-US" w:eastAsia="zh-CN" w:bidi="ar"/>
              </w:rPr>
              <w:t>上寨村</w:t>
            </w:r>
          </w:p>
        </w:tc>
        <w:tc>
          <w:tcPr>
            <w:tcW w:w="950" w:type="dxa"/>
            <w:vAlign w:val="top"/>
          </w:tcPr>
          <w:p>
            <w:pPr>
              <w:pStyle w:val="31"/>
              <w:rPr>
                <w:rFonts w:hint="default"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省级</w:t>
            </w:r>
          </w:p>
        </w:tc>
        <w:tc>
          <w:tcPr>
            <w:tcW w:w="2009" w:type="dxa"/>
            <w:vAlign w:val="top"/>
          </w:tcPr>
          <w:p>
            <w:pPr>
              <w:pStyle w:val="16"/>
              <w:keepNext w:val="0"/>
              <w:keepLines w:val="0"/>
              <w:widowControl/>
              <w:suppressLineNumbers w:val="0"/>
              <w:ind w:left="0" w:leftChars="0" w:right="0" w:rightChars="0" w:firstLine="0" w:firstLineChars="0"/>
              <w:rPr>
                <w:rFonts w:hint="default" w:ascii="Times New Roman" w:hAnsi="Times New Roman" w:eastAsia="仿宋_GB2312" w:cs="Times New Roman"/>
                <w:b w:val="0"/>
                <w:bCs/>
                <w:color w:val="auto"/>
                <w:kern w:val="0"/>
                <w:sz w:val="21"/>
                <w:szCs w:val="24"/>
                <w:lang w:val="en-US" w:eastAsia="zh-CN" w:bidi="ar"/>
              </w:rPr>
            </w:pPr>
            <w:r>
              <w:rPr>
                <w:rFonts w:hint="eastAsia" w:ascii="Times New Roman" w:hAnsi="Times New Roman" w:eastAsia="仿宋_GB2312" w:cs="Times New Roman"/>
                <w:b w:val="0"/>
                <w:bCs/>
                <w:color w:val="auto"/>
                <w:kern w:val="0"/>
                <w:sz w:val="21"/>
                <w:szCs w:val="24"/>
                <w:lang w:val="en-US" w:eastAsia="zh-CN" w:bidi="ar"/>
              </w:rPr>
              <w:t>近现代重要史迹及代表性建筑</w:t>
            </w:r>
          </w:p>
        </w:tc>
        <w:tc>
          <w:tcPr>
            <w:tcW w:w="819" w:type="dxa"/>
            <w:vAlign w:val="top"/>
          </w:tcPr>
          <w:p>
            <w:pPr>
              <w:pStyle w:val="31"/>
              <w:rPr>
                <w:rFonts w:hint="default" w:ascii="Times New Roman" w:hAnsi="Times New Roman" w:eastAsia="仿宋_GB2312" w:cs="Times New Roman"/>
                <w:b w:val="0"/>
                <w:bCs/>
                <w:color w:val="auto"/>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dxa"/>
            <w:vAlign w:val="top"/>
          </w:tcPr>
          <w:p>
            <w:pPr>
              <w:pStyle w:val="31"/>
              <w:rPr>
                <w:rFonts w:hint="default"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2</w:t>
            </w:r>
          </w:p>
        </w:tc>
        <w:tc>
          <w:tcPr>
            <w:tcW w:w="2691" w:type="dxa"/>
            <w:vAlign w:val="bottom"/>
          </w:tcPr>
          <w:p>
            <w:pPr>
              <w:pStyle w:val="16"/>
              <w:keepNext w:val="0"/>
              <w:keepLines w:val="0"/>
              <w:widowControl/>
              <w:suppressLineNumbers w:val="0"/>
              <w:ind w:left="0" w:leftChars="0" w:right="0" w:rightChars="0" w:firstLine="0" w:firstLineChars="0"/>
              <w:rPr>
                <w:rFonts w:hint="default" w:ascii="Times New Roman" w:hAnsi="Times New Roman" w:eastAsia="仿宋_GB2312" w:cs="Times New Roman"/>
                <w:b w:val="0"/>
                <w:bCs/>
                <w:color w:val="auto"/>
                <w:kern w:val="0"/>
                <w:sz w:val="21"/>
                <w:szCs w:val="24"/>
                <w:lang w:val="en-US" w:eastAsia="zh-CN" w:bidi="ar"/>
              </w:rPr>
            </w:pPr>
            <w:r>
              <w:rPr>
                <w:rFonts w:hint="eastAsia" w:ascii="Times New Roman" w:hAnsi="Times New Roman" w:eastAsia="仿宋_GB2312" w:cs="Times New Roman"/>
                <w:b w:val="0"/>
                <w:bCs/>
                <w:color w:val="auto"/>
                <w:kern w:val="0"/>
                <w:sz w:val="21"/>
                <w:szCs w:val="24"/>
                <w:lang w:val="en-US" w:eastAsia="zh-CN" w:bidi="ar"/>
              </w:rPr>
              <w:t>上寨红三军团兵工厂旧址</w:t>
            </w:r>
          </w:p>
        </w:tc>
        <w:tc>
          <w:tcPr>
            <w:tcW w:w="1200" w:type="dxa"/>
            <w:vAlign w:val="top"/>
          </w:tcPr>
          <w:p>
            <w:pPr>
              <w:pStyle w:val="31"/>
              <w:rPr>
                <w:rFonts w:hint="default" w:ascii="Times New Roman" w:hAnsi="Times New Roman" w:eastAsia="仿宋_GB2312" w:cs="Times New Roman"/>
                <w:b w:val="0"/>
                <w:bCs/>
                <w:color w:val="auto"/>
                <w:lang w:val="en-US" w:eastAsia="zh-CN" w:bidi="ar"/>
              </w:rPr>
            </w:pPr>
            <w:r>
              <w:rPr>
                <w:rFonts w:hint="default" w:ascii="Times New Roman" w:hAnsi="Times New Roman" w:eastAsia="仿宋_GB2312" w:cs="Times New Roman"/>
                <w:b w:val="0"/>
                <w:bCs/>
                <w:color w:val="auto"/>
                <w:lang w:val="en-US" w:eastAsia="zh-CN" w:bidi="ar"/>
              </w:rPr>
              <w:t>上寨村</w:t>
            </w:r>
          </w:p>
        </w:tc>
        <w:tc>
          <w:tcPr>
            <w:tcW w:w="950" w:type="dxa"/>
            <w:vAlign w:val="top"/>
          </w:tcPr>
          <w:p>
            <w:pPr>
              <w:pStyle w:val="31"/>
              <w:rPr>
                <w:rFonts w:hint="default"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省级</w:t>
            </w:r>
          </w:p>
        </w:tc>
        <w:tc>
          <w:tcPr>
            <w:tcW w:w="2009" w:type="dxa"/>
            <w:vAlign w:val="bottom"/>
          </w:tcPr>
          <w:p>
            <w:pPr>
              <w:pStyle w:val="16"/>
              <w:keepNext w:val="0"/>
              <w:keepLines w:val="0"/>
              <w:widowControl/>
              <w:suppressLineNumbers w:val="0"/>
              <w:ind w:left="0" w:leftChars="0" w:right="0" w:rightChars="0" w:firstLine="0" w:firstLineChars="0"/>
              <w:rPr>
                <w:rFonts w:hint="default" w:ascii="Times New Roman" w:hAnsi="Times New Roman" w:eastAsia="仿宋_GB2312" w:cs="Times New Roman"/>
                <w:b w:val="0"/>
                <w:bCs/>
                <w:color w:val="auto"/>
                <w:kern w:val="0"/>
                <w:sz w:val="21"/>
                <w:szCs w:val="24"/>
                <w:lang w:val="en-US" w:eastAsia="zh-CN" w:bidi="ar"/>
              </w:rPr>
            </w:pPr>
            <w:r>
              <w:rPr>
                <w:rFonts w:hint="eastAsia" w:ascii="Times New Roman" w:hAnsi="Times New Roman" w:eastAsia="仿宋_GB2312" w:cs="Times New Roman"/>
                <w:b w:val="0"/>
                <w:bCs/>
                <w:color w:val="auto"/>
                <w:kern w:val="0"/>
                <w:sz w:val="21"/>
                <w:szCs w:val="24"/>
                <w:lang w:val="en-US" w:eastAsia="zh-CN" w:bidi="ar"/>
              </w:rPr>
              <w:t>近现代重要史迹</w:t>
            </w:r>
          </w:p>
        </w:tc>
        <w:tc>
          <w:tcPr>
            <w:tcW w:w="819" w:type="dxa"/>
          </w:tcPr>
          <w:p>
            <w:pPr>
              <w:pStyle w:val="31"/>
              <w:rPr>
                <w:rFonts w:hint="default" w:ascii="Times New Roman" w:hAnsi="Times New Roman" w:eastAsia="仿宋_GB2312" w:cs="Times New Roman"/>
                <w:b w:val="0"/>
                <w:bCs/>
                <w:color w:val="auto"/>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dxa"/>
            <w:vAlign w:val="top"/>
          </w:tcPr>
          <w:p>
            <w:pPr>
              <w:pStyle w:val="31"/>
              <w:rPr>
                <w:rFonts w:hint="default"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3</w:t>
            </w:r>
          </w:p>
        </w:tc>
        <w:tc>
          <w:tcPr>
            <w:tcW w:w="2691" w:type="dxa"/>
            <w:vAlign w:val="bottom"/>
          </w:tcPr>
          <w:p>
            <w:pPr>
              <w:pStyle w:val="16"/>
              <w:keepNext w:val="0"/>
              <w:keepLines w:val="0"/>
              <w:widowControl/>
              <w:suppressLineNumbers w:val="0"/>
              <w:ind w:left="0" w:leftChars="0" w:right="0" w:rightChars="0" w:firstLine="0" w:firstLineChars="0"/>
              <w:rPr>
                <w:rFonts w:hint="default" w:ascii="Times New Roman" w:hAnsi="Times New Roman" w:eastAsia="仿宋_GB2312" w:cs="Times New Roman"/>
                <w:b w:val="0"/>
                <w:bCs/>
                <w:color w:val="auto"/>
                <w:kern w:val="0"/>
                <w:sz w:val="21"/>
                <w:szCs w:val="24"/>
                <w:lang w:val="en-US" w:eastAsia="zh-CN" w:bidi="ar"/>
              </w:rPr>
            </w:pPr>
            <w:r>
              <w:rPr>
                <w:rFonts w:hint="eastAsia" w:ascii="Times New Roman" w:hAnsi="Times New Roman" w:eastAsia="仿宋_GB2312" w:cs="Times New Roman"/>
                <w:b w:val="0"/>
                <w:bCs/>
                <w:color w:val="auto"/>
                <w:kern w:val="0"/>
                <w:sz w:val="21"/>
                <w:szCs w:val="24"/>
                <w:lang w:val="en-US" w:eastAsia="zh-CN" w:bidi="ar"/>
              </w:rPr>
              <w:t>上寨红三军团政治处旧址</w:t>
            </w:r>
          </w:p>
        </w:tc>
        <w:tc>
          <w:tcPr>
            <w:tcW w:w="1200" w:type="dxa"/>
            <w:vAlign w:val="top"/>
          </w:tcPr>
          <w:p>
            <w:pPr>
              <w:pStyle w:val="31"/>
              <w:rPr>
                <w:rFonts w:hint="default" w:ascii="Times New Roman" w:hAnsi="Times New Roman" w:eastAsia="仿宋_GB2312" w:cs="Times New Roman"/>
                <w:b w:val="0"/>
                <w:bCs/>
                <w:color w:val="auto"/>
                <w:lang w:val="en-US" w:eastAsia="zh-CN" w:bidi="ar"/>
              </w:rPr>
            </w:pPr>
            <w:r>
              <w:rPr>
                <w:rFonts w:hint="default" w:ascii="Times New Roman" w:hAnsi="Times New Roman" w:eastAsia="仿宋_GB2312" w:cs="Times New Roman"/>
                <w:b w:val="0"/>
                <w:bCs/>
                <w:color w:val="auto"/>
                <w:lang w:val="en-US" w:eastAsia="zh-CN" w:bidi="ar"/>
              </w:rPr>
              <w:t>上寨村</w:t>
            </w:r>
          </w:p>
        </w:tc>
        <w:tc>
          <w:tcPr>
            <w:tcW w:w="950" w:type="dxa"/>
            <w:vAlign w:val="top"/>
          </w:tcPr>
          <w:p>
            <w:pPr>
              <w:pStyle w:val="31"/>
              <w:rPr>
                <w:rFonts w:hint="default"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省级</w:t>
            </w:r>
          </w:p>
        </w:tc>
        <w:tc>
          <w:tcPr>
            <w:tcW w:w="2009" w:type="dxa"/>
            <w:vAlign w:val="bottom"/>
          </w:tcPr>
          <w:p>
            <w:pPr>
              <w:pStyle w:val="16"/>
              <w:keepNext w:val="0"/>
              <w:keepLines w:val="0"/>
              <w:widowControl/>
              <w:suppressLineNumbers w:val="0"/>
              <w:ind w:left="0" w:leftChars="0" w:right="0" w:rightChars="0" w:firstLine="0" w:firstLineChars="0"/>
              <w:rPr>
                <w:rFonts w:hint="default" w:ascii="Times New Roman" w:hAnsi="Times New Roman" w:eastAsia="仿宋_GB2312" w:cs="Times New Roman"/>
                <w:b w:val="0"/>
                <w:bCs/>
                <w:color w:val="auto"/>
                <w:kern w:val="0"/>
                <w:sz w:val="21"/>
                <w:szCs w:val="24"/>
                <w:lang w:val="en-US" w:eastAsia="zh-CN" w:bidi="ar"/>
              </w:rPr>
            </w:pPr>
            <w:r>
              <w:rPr>
                <w:rFonts w:hint="eastAsia" w:ascii="Times New Roman" w:hAnsi="Times New Roman" w:eastAsia="仿宋_GB2312" w:cs="Times New Roman"/>
                <w:b w:val="0"/>
                <w:bCs/>
                <w:color w:val="auto"/>
                <w:kern w:val="0"/>
                <w:sz w:val="21"/>
                <w:szCs w:val="24"/>
                <w:lang w:val="en-US" w:eastAsia="zh-CN" w:bidi="ar"/>
              </w:rPr>
              <w:t>近现代重要史迹</w:t>
            </w:r>
          </w:p>
        </w:tc>
        <w:tc>
          <w:tcPr>
            <w:tcW w:w="819" w:type="dxa"/>
          </w:tcPr>
          <w:p>
            <w:pPr>
              <w:pStyle w:val="31"/>
              <w:rPr>
                <w:rFonts w:hint="default" w:ascii="Times New Roman" w:hAnsi="Times New Roman" w:eastAsia="仿宋_GB2312" w:cs="Times New Roman"/>
                <w:b w:val="0"/>
                <w:bCs/>
                <w:color w:val="auto"/>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dxa"/>
            <w:vAlign w:val="top"/>
          </w:tcPr>
          <w:p>
            <w:pPr>
              <w:pStyle w:val="31"/>
              <w:rPr>
                <w:rFonts w:hint="default"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4</w:t>
            </w:r>
          </w:p>
        </w:tc>
        <w:tc>
          <w:tcPr>
            <w:tcW w:w="2691" w:type="dxa"/>
            <w:vAlign w:val="bottom"/>
          </w:tcPr>
          <w:p>
            <w:pPr>
              <w:pStyle w:val="16"/>
              <w:keepNext w:val="0"/>
              <w:keepLines w:val="0"/>
              <w:widowControl/>
              <w:suppressLineNumbers w:val="0"/>
              <w:ind w:left="0" w:leftChars="0" w:right="0" w:rightChars="0" w:firstLine="0" w:firstLineChars="0"/>
              <w:rPr>
                <w:rFonts w:hint="default" w:ascii="Times New Roman" w:hAnsi="Times New Roman" w:eastAsia="仿宋_GB2312" w:cs="Times New Roman"/>
                <w:b w:val="0"/>
                <w:bCs/>
                <w:color w:val="auto"/>
                <w:kern w:val="0"/>
                <w:sz w:val="21"/>
                <w:szCs w:val="24"/>
                <w:lang w:val="en-US" w:eastAsia="zh-CN" w:bidi="ar"/>
              </w:rPr>
            </w:pPr>
            <w:r>
              <w:rPr>
                <w:rFonts w:hint="eastAsia" w:ascii="Times New Roman" w:hAnsi="Times New Roman" w:eastAsia="仿宋_GB2312" w:cs="Times New Roman"/>
                <w:b w:val="0"/>
                <w:bCs/>
                <w:color w:val="auto"/>
                <w:kern w:val="0"/>
                <w:sz w:val="21"/>
                <w:szCs w:val="24"/>
                <w:lang w:val="en-US" w:eastAsia="zh-CN" w:bidi="ar"/>
              </w:rPr>
              <w:t>红三军团保卫部旧址</w:t>
            </w:r>
          </w:p>
        </w:tc>
        <w:tc>
          <w:tcPr>
            <w:tcW w:w="1200" w:type="dxa"/>
            <w:vAlign w:val="top"/>
          </w:tcPr>
          <w:p>
            <w:pPr>
              <w:pStyle w:val="31"/>
              <w:rPr>
                <w:rFonts w:hint="default" w:ascii="Times New Roman" w:hAnsi="Times New Roman" w:eastAsia="仿宋_GB2312" w:cs="Times New Roman"/>
                <w:b w:val="0"/>
                <w:bCs/>
                <w:color w:val="auto"/>
                <w:lang w:val="en-US" w:eastAsia="zh-CN" w:bidi="ar"/>
              </w:rPr>
            </w:pPr>
            <w:r>
              <w:rPr>
                <w:rFonts w:hint="default" w:ascii="Times New Roman" w:hAnsi="Times New Roman" w:eastAsia="仿宋_GB2312" w:cs="Times New Roman"/>
                <w:b w:val="0"/>
                <w:bCs/>
                <w:color w:val="auto"/>
                <w:lang w:val="en-US" w:eastAsia="zh-CN" w:bidi="ar"/>
              </w:rPr>
              <w:t>上寨村</w:t>
            </w:r>
          </w:p>
        </w:tc>
        <w:tc>
          <w:tcPr>
            <w:tcW w:w="950" w:type="dxa"/>
            <w:vAlign w:val="top"/>
          </w:tcPr>
          <w:p>
            <w:pPr>
              <w:pStyle w:val="31"/>
              <w:rPr>
                <w:rFonts w:hint="default"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省级</w:t>
            </w:r>
          </w:p>
        </w:tc>
        <w:tc>
          <w:tcPr>
            <w:tcW w:w="2009" w:type="dxa"/>
            <w:vAlign w:val="top"/>
          </w:tcPr>
          <w:p>
            <w:pPr>
              <w:pStyle w:val="31"/>
              <w:rPr>
                <w:rFonts w:hint="default"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古建筑</w:t>
            </w:r>
          </w:p>
        </w:tc>
        <w:tc>
          <w:tcPr>
            <w:tcW w:w="819" w:type="dxa"/>
          </w:tcPr>
          <w:p>
            <w:pPr>
              <w:pStyle w:val="31"/>
              <w:rPr>
                <w:rFonts w:hint="default" w:ascii="Times New Roman" w:hAnsi="Times New Roman" w:eastAsia="仿宋_GB2312" w:cs="Times New Roman"/>
                <w:b w:val="0"/>
                <w:bCs/>
                <w:color w:val="auto"/>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dxa"/>
            <w:vAlign w:val="top"/>
          </w:tcPr>
          <w:p>
            <w:pPr>
              <w:pStyle w:val="31"/>
              <w:rPr>
                <w:rFonts w:hint="default"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5</w:t>
            </w:r>
          </w:p>
        </w:tc>
        <w:tc>
          <w:tcPr>
            <w:tcW w:w="2691" w:type="dxa"/>
            <w:vAlign w:val="bottom"/>
          </w:tcPr>
          <w:p>
            <w:pPr>
              <w:pStyle w:val="16"/>
              <w:keepNext w:val="0"/>
              <w:keepLines w:val="0"/>
              <w:widowControl/>
              <w:suppressLineNumbers w:val="0"/>
              <w:ind w:left="0" w:leftChars="0" w:right="0" w:rightChars="0" w:firstLine="0" w:firstLineChars="0"/>
              <w:rPr>
                <w:rFonts w:hint="default" w:ascii="Times New Roman" w:hAnsi="Times New Roman" w:eastAsia="仿宋_GB2312" w:cs="Times New Roman"/>
                <w:b w:val="0"/>
                <w:bCs/>
                <w:color w:val="auto"/>
                <w:kern w:val="0"/>
                <w:sz w:val="21"/>
                <w:szCs w:val="24"/>
                <w:lang w:val="en-US" w:eastAsia="zh-CN" w:bidi="ar"/>
              </w:rPr>
            </w:pPr>
            <w:r>
              <w:rPr>
                <w:rFonts w:hint="eastAsia" w:ascii="Times New Roman" w:hAnsi="Times New Roman" w:eastAsia="仿宋_GB2312" w:cs="Times New Roman"/>
                <w:b w:val="0"/>
                <w:bCs/>
                <w:color w:val="auto"/>
                <w:kern w:val="0"/>
                <w:sz w:val="21"/>
                <w:szCs w:val="24"/>
                <w:lang w:val="en-US" w:eastAsia="zh-CN" w:bidi="ar"/>
              </w:rPr>
              <w:t>红三军团后勤部</w:t>
            </w:r>
          </w:p>
        </w:tc>
        <w:tc>
          <w:tcPr>
            <w:tcW w:w="1200" w:type="dxa"/>
            <w:vAlign w:val="top"/>
          </w:tcPr>
          <w:p>
            <w:pPr>
              <w:pStyle w:val="31"/>
              <w:rPr>
                <w:rFonts w:hint="default" w:ascii="Times New Roman" w:hAnsi="Times New Roman" w:eastAsia="仿宋_GB2312" w:cs="Times New Roman"/>
                <w:b w:val="0"/>
                <w:bCs/>
                <w:color w:val="auto"/>
                <w:lang w:val="en-US" w:eastAsia="zh-CN" w:bidi="ar"/>
              </w:rPr>
            </w:pPr>
            <w:r>
              <w:rPr>
                <w:rFonts w:hint="default" w:ascii="Times New Roman" w:hAnsi="Times New Roman" w:eastAsia="仿宋_GB2312" w:cs="Times New Roman"/>
                <w:b w:val="0"/>
                <w:bCs/>
                <w:color w:val="auto"/>
                <w:lang w:val="en-US" w:eastAsia="zh-CN" w:bidi="ar"/>
              </w:rPr>
              <w:t>上寨村</w:t>
            </w:r>
          </w:p>
        </w:tc>
        <w:tc>
          <w:tcPr>
            <w:tcW w:w="950" w:type="dxa"/>
            <w:vAlign w:val="top"/>
          </w:tcPr>
          <w:p>
            <w:pPr>
              <w:pStyle w:val="31"/>
              <w:rPr>
                <w:rFonts w:hint="default"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县级</w:t>
            </w:r>
          </w:p>
        </w:tc>
        <w:tc>
          <w:tcPr>
            <w:tcW w:w="2009" w:type="dxa"/>
            <w:vAlign w:val="top"/>
          </w:tcPr>
          <w:p>
            <w:pPr>
              <w:pStyle w:val="31"/>
              <w:rPr>
                <w:rFonts w:hint="default"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古建筑</w:t>
            </w:r>
          </w:p>
        </w:tc>
        <w:tc>
          <w:tcPr>
            <w:tcW w:w="819" w:type="dxa"/>
          </w:tcPr>
          <w:p>
            <w:pPr>
              <w:pStyle w:val="31"/>
              <w:rPr>
                <w:rFonts w:hint="default" w:ascii="Times New Roman" w:hAnsi="Times New Roman" w:eastAsia="仿宋_GB2312" w:cs="Times New Roman"/>
                <w:b w:val="0"/>
                <w:bCs/>
                <w:color w:val="auto"/>
                <w:lang w:val="en-US" w:eastAsia="zh-CN" w:bidi="ar"/>
              </w:rPr>
            </w:pPr>
          </w:p>
        </w:tc>
      </w:tr>
    </w:tbl>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641" w:firstLineChars="228"/>
        <w:jc w:val="left"/>
        <w:textAlignment w:val="auto"/>
        <w:rPr>
          <w:rFonts w:hint="eastAsia" w:ascii="Times New Roman" w:hAnsi="Times New Roman" w:eastAsia="仿宋_GB2312" w:cs="Times New Roman"/>
          <w:b/>
          <w:color w:val="auto"/>
          <w:kern w:val="2"/>
          <w:sz w:val="28"/>
          <w:szCs w:val="32"/>
          <w:lang w:val="en-US" w:eastAsia="zh-CN" w:bidi="ar-SA"/>
        </w:rPr>
      </w:pPr>
      <w:r>
        <w:rPr>
          <w:rFonts w:hint="eastAsia" w:ascii="Times New Roman" w:hAnsi="Times New Roman" w:eastAsia="仿宋_GB2312" w:cs="Times New Roman"/>
          <w:b/>
          <w:bCs w:val="0"/>
          <w:color w:val="auto"/>
          <w:kern w:val="2"/>
          <w:sz w:val="28"/>
          <w:szCs w:val="32"/>
          <w:lang w:val="en-US" w:eastAsia="zh-CN" w:bidi="ar-SA"/>
        </w:rPr>
        <w:t>二、历史文化保护原则和目</w:t>
      </w:r>
      <w:r>
        <w:rPr>
          <w:rFonts w:hint="eastAsia" w:ascii="Times New Roman" w:hAnsi="Times New Roman" w:eastAsia="仿宋_GB2312" w:cs="Times New Roman"/>
          <w:b/>
          <w:color w:val="auto"/>
          <w:kern w:val="2"/>
          <w:sz w:val="28"/>
          <w:szCs w:val="32"/>
          <w:lang w:val="en-US" w:eastAsia="zh-CN" w:bidi="ar-SA"/>
        </w:rPr>
        <w:t>标</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560" w:firstLineChars="200"/>
        <w:jc w:val="left"/>
        <w:textAlignment w:val="auto"/>
        <w:rPr>
          <w:rFonts w:hint="eastAsia" w:ascii="Times New Roman" w:hAnsi="Times New Roman" w:eastAsia="仿宋_GB2312" w:cs="Times New Roman"/>
          <w:b w:val="0"/>
          <w:bCs/>
          <w:color w:val="auto"/>
          <w:kern w:val="2"/>
          <w:sz w:val="28"/>
          <w:szCs w:val="32"/>
          <w:lang w:val="en-US" w:eastAsia="zh-CN" w:bidi="ar-SA"/>
        </w:rPr>
      </w:pPr>
      <w:r>
        <w:rPr>
          <w:rFonts w:hint="eastAsia" w:ascii="Times New Roman" w:hAnsi="Times New Roman" w:eastAsia="仿宋_GB2312" w:cs="Times New Roman"/>
          <w:b w:val="0"/>
          <w:bCs/>
          <w:color w:val="auto"/>
          <w:kern w:val="2"/>
          <w:sz w:val="28"/>
          <w:szCs w:val="32"/>
          <w:lang w:val="en-US" w:eastAsia="zh-CN" w:bidi="ar-SA"/>
        </w:rPr>
        <w:t>1、历史文化保护原则</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560" w:firstLineChars="200"/>
        <w:jc w:val="left"/>
        <w:textAlignment w:val="auto"/>
        <w:rPr>
          <w:rFonts w:hint="eastAsia" w:ascii="Times New Roman" w:hAnsi="Times New Roman" w:eastAsia="仿宋_GB2312" w:cs="Times New Roman"/>
          <w:b w:val="0"/>
          <w:bCs/>
          <w:color w:val="auto"/>
          <w:kern w:val="2"/>
          <w:sz w:val="28"/>
          <w:szCs w:val="32"/>
          <w:lang w:val="en-US" w:eastAsia="zh-CN" w:bidi="ar-SA"/>
        </w:rPr>
      </w:pPr>
      <w:r>
        <w:rPr>
          <w:rFonts w:hint="eastAsia" w:ascii="Times New Roman" w:hAnsi="Times New Roman" w:eastAsia="仿宋_GB2312" w:cs="Times New Roman"/>
          <w:b w:val="0"/>
          <w:bCs/>
          <w:color w:val="auto"/>
          <w:kern w:val="2"/>
          <w:sz w:val="28"/>
          <w:szCs w:val="32"/>
          <w:lang w:val="en-US" w:eastAsia="zh-CN" w:bidi="ar-SA"/>
        </w:rPr>
        <w:t xml:space="preserve">（1）真实性原则 </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真实性是定义历史文化名城、历史文化街区和历史建筑等一切文 </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0" w:firstLineChars="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化遗产的基本因素，遗存具有的历史文化价值依赖于历史真实载体， </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0" w:firstLineChars="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承载历史文化价值的载体一旦失去真实性，它的价值便会丧失，因此 </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0" w:firstLineChars="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应传承文化遗存真实的全部信息。 </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638" w:firstLineChars="228"/>
        <w:jc w:val="left"/>
        <w:textAlignment w:val="auto"/>
        <w:rPr>
          <w:rFonts w:hint="eastAsia" w:ascii="Times New Roman" w:hAnsi="Times New Roman" w:eastAsia="仿宋_GB2312" w:cs="Times New Roman"/>
          <w:b w:val="0"/>
          <w:bCs/>
          <w:color w:val="auto"/>
          <w:kern w:val="2"/>
          <w:sz w:val="28"/>
          <w:szCs w:val="32"/>
          <w:lang w:val="en-US" w:eastAsia="zh-CN" w:bidi="ar-SA"/>
        </w:rPr>
      </w:pPr>
      <w:r>
        <w:rPr>
          <w:rFonts w:hint="eastAsia" w:ascii="Times New Roman" w:hAnsi="Times New Roman" w:eastAsia="仿宋_GB2312" w:cs="Times New Roman"/>
          <w:b w:val="0"/>
          <w:bCs/>
          <w:color w:val="auto"/>
          <w:kern w:val="2"/>
          <w:sz w:val="28"/>
          <w:szCs w:val="32"/>
          <w:lang w:val="en-US" w:eastAsia="zh-CN" w:bidi="ar-SA"/>
        </w:rPr>
        <w:t xml:space="preserve">（2）完整性原则 </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历史环境是历史文化保护的重要组成部分。2005年国际古迹遗 </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0" w:firstLineChars="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址理事会第15大会通过的《西安宣言》，将历史环境的重要性提升 到了一个新的高度。2008年国务院颁布的《历史文化名城名镇名村保护条例》明确要求历史文化名城应当整体保护，保护历史环境的完整性是应有之义。</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638" w:firstLineChars="228"/>
        <w:jc w:val="left"/>
        <w:textAlignment w:val="auto"/>
        <w:rPr>
          <w:rFonts w:hint="eastAsia" w:ascii="Times New Roman" w:hAnsi="Times New Roman" w:eastAsia="仿宋_GB2312" w:cs="Times New Roman"/>
          <w:b w:val="0"/>
          <w:bCs/>
          <w:color w:val="auto"/>
          <w:kern w:val="2"/>
          <w:sz w:val="28"/>
          <w:szCs w:val="32"/>
          <w:lang w:val="en-US" w:eastAsia="zh-CN" w:bidi="ar-SA"/>
        </w:rPr>
      </w:pPr>
      <w:r>
        <w:rPr>
          <w:rFonts w:hint="eastAsia" w:ascii="Times New Roman" w:hAnsi="Times New Roman" w:eastAsia="仿宋_GB2312" w:cs="Times New Roman"/>
          <w:b w:val="0"/>
          <w:bCs/>
          <w:color w:val="auto"/>
          <w:kern w:val="2"/>
          <w:sz w:val="28"/>
          <w:szCs w:val="32"/>
          <w:lang w:val="en-US" w:eastAsia="zh-CN" w:bidi="ar-SA"/>
        </w:rPr>
        <w:t xml:space="preserve">（3）合理利用、可持续发展原则 </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在保护好真实的物质载体和完整的历史环境前提下，探索历史文 </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0" w:firstLineChars="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化资源合理利用、永续发展的途径是重要的任务。大拆大建、拆真建假、大量动迁街区内部居民、过度商业化开发等急功近利追求经济效 益的做法应坚决摒弃，以免对历史文化资源造成无法挽回的破坏。</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638" w:firstLineChars="228"/>
        <w:jc w:val="left"/>
        <w:textAlignment w:val="auto"/>
        <w:rPr>
          <w:rFonts w:hint="eastAsia" w:ascii="Times New Roman" w:hAnsi="Times New Roman" w:eastAsia="仿宋_GB2312" w:cs="Times New Roman"/>
          <w:b w:val="0"/>
          <w:bCs/>
          <w:color w:val="auto"/>
          <w:kern w:val="2"/>
          <w:sz w:val="28"/>
          <w:szCs w:val="32"/>
          <w:lang w:val="en-US" w:eastAsia="zh-CN" w:bidi="ar-SA"/>
        </w:rPr>
      </w:pPr>
      <w:r>
        <w:rPr>
          <w:rFonts w:hint="eastAsia" w:ascii="Times New Roman" w:hAnsi="Times New Roman" w:eastAsia="仿宋_GB2312" w:cs="Times New Roman"/>
          <w:b w:val="0"/>
          <w:bCs/>
          <w:color w:val="auto"/>
          <w:kern w:val="2"/>
          <w:sz w:val="28"/>
          <w:szCs w:val="32"/>
          <w:lang w:val="en-US" w:eastAsia="zh-CN" w:bidi="ar-SA"/>
        </w:rPr>
        <w:t xml:space="preserve">（4）统筹规划、建设、管理的原则 </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历史文化保护是城市发展的关键内容，要树立系统思维，统筹规 </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0" w:firstLineChars="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划、建设、管理三个环节。历史文化保护规划的制定，要综合考虑城 </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0" w:firstLineChars="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镇发展战略、功能定位、文化特色、建设管理等多种因素，提高规划 </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0" w:firstLineChars="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的综合性和系统性；要在规划理念和方法上不断创新，新增规划的科 </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0" w:firstLineChars="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学性和指导性；要充分考虑与实施管理的对接，改善规划的可操作性。</w:t>
      </w:r>
    </w:p>
    <w:p>
      <w:pPr>
        <w:keepNext w:val="0"/>
        <w:keepLines w:val="0"/>
        <w:pageBreakBefore w:val="0"/>
        <w:widowControl/>
        <w:suppressLineNumbers w:val="0"/>
        <w:kinsoku/>
        <w:wordWrap/>
        <w:overflowPunct/>
        <w:topLinePunct w:val="0"/>
        <w:autoSpaceDE/>
        <w:autoSpaceDN/>
        <w:bidi w:val="0"/>
        <w:adjustRightInd/>
        <w:snapToGrid w:val="0"/>
        <w:spacing w:line="480" w:lineRule="exact"/>
        <w:ind w:firstLine="560" w:firstLineChars="200"/>
        <w:jc w:val="left"/>
        <w:textAlignment w:val="auto"/>
        <w:outlineLvl w:val="9"/>
        <w:rPr>
          <w:rFonts w:hint="eastAsia" w:ascii="仿宋" w:hAnsi="仿宋" w:eastAsia="仿宋" w:cs="仿宋"/>
          <w:b w:val="0"/>
          <w:bCs w:val="0"/>
          <w:color w:val="auto"/>
          <w:kern w:val="0"/>
          <w:sz w:val="28"/>
          <w:szCs w:val="28"/>
          <w:lang w:val="en-US" w:eastAsia="zh-CN" w:bidi="ar"/>
        </w:rPr>
      </w:pPr>
      <w:r>
        <w:rPr>
          <w:rFonts w:hint="eastAsia" w:ascii="仿宋" w:hAnsi="仿宋" w:eastAsia="仿宋" w:cs="仿宋"/>
          <w:b w:val="0"/>
          <w:bCs w:val="0"/>
          <w:color w:val="auto"/>
          <w:kern w:val="0"/>
          <w:sz w:val="28"/>
          <w:szCs w:val="28"/>
          <w:lang w:val="en-US" w:eastAsia="zh-CN" w:bidi="ar"/>
        </w:rPr>
        <w:t>2、历史文化保护目标</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（1）加强历史文化资源保护 </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挖掘本地历史文化资源，梳理乡域历史文化遗产保护名录，明确 </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0" w:firstLineChars="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和整合各级历史文化名村、传统村落、文物保护单位、不可移动文物、 </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0" w:firstLineChars="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历史建筑等历史文化遗存的保护范围。保护历史性城市景观和文化景 </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0" w:firstLineChars="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观，针对历史文化和自然景观资源富集、空间分布集中的区域和走廊， </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0" w:firstLineChars="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明确整体保护和活化利用的空间要求。</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（2）促进历史文化资源活化利用 </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在保护的前提下合理利用相关历史文化资源。一方面，将历史文 </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0" w:firstLineChars="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化资源的保护、整治和利用相结合，通过必要的修缮和整治改造，植 入新业态、新功能，促进历史空间得到有机、持续的发展；另一方面，坚持以文塑旅、以旅彰文，推动文化和旅游融合发展，二者相辅相成形成合力，推动文旅产业高质量发展。</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（3）提升城市文化软实力 </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贯彻落实习近平总书记提出的“历史文化是城市的灵魂”，以历 </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0" w:firstLineChars="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史文化为触媒提升城市竞争力。彰显客家文化和红色文化的独特魅力，传承红色基因，塑造历史文化底蕴深厚、特色突出的区域性文化高地。</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641" w:firstLineChars="228"/>
        <w:jc w:val="left"/>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三、构建全域历史文化保护体系</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560" w:firstLineChars="200"/>
        <w:jc w:val="left"/>
        <w:textAlignment w:val="auto"/>
        <w:rPr>
          <w:rFonts w:hint="eastAsia"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乡域构建由文物保护单位、红色文化等组成的全时空、全要素、全方位的历史文化资源保护体系。</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560" w:firstLineChars="200"/>
        <w:jc w:val="left"/>
        <w:textAlignment w:val="auto"/>
        <w:rPr>
          <w:rFonts w:hint="eastAsia"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2、文物保护单位</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638" w:firstLineChars="228"/>
        <w:jc w:val="left"/>
        <w:textAlignment w:val="auto"/>
        <w:rPr>
          <w:rFonts w:hint="eastAsia"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 xml:space="preserve">按照《中华人民共和国文物保护法》的相关要求，严格保护省级文物保护单位4处，县级文物保护单位1处。       </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638" w:firstLineChars="228"/>
        <w:jc w:val="left"/>
        <w:textAlignment w:val="auto"/>
        <w:rPr>
          <w:rFonts w:hint="eastAsia"/>
          <w:color w:val="auto"/>
          <w:sz w:val="28"/>
          <w:szCs w:val="28"/>
          <w:lang w:val="en-US" w:eastAsia="zh-CN"/>
        </w:rPr>
      </w:pPr>
      <w:r>
        <w:rPr>
          <w:rFonts w:hint="eastAsia" w:ascii="Times New Roman" w:hAnsi="Times New Roman" w:eastAsia="仿宋_GB2312" w:cs="Times New Roman"/>
          <w:b w:val="0"/>
          <w:bCs w:val="0"/>
          <w:color w:val="auto"/>
          <w:kern w:val="2"/>
          <w:sz w:val="28"/>
          <w:szCs w:val="28"/>
          <w:lang w:val="en-US" w:eastAsia="zh-CN" w:bidi="ar-SA"/>
        </w:rPr>
        <w:t>（1）保护区划</w:t>
      </w:r>
    </w:p>
    <w:p>
      <w:pPr>
        <w:keepNext w:val="0"/>
        <w:keepLines w:val="0"/>
        <w:pageBreakBefore w:val="0"/>
        <w:widowControl/>
        <w:suppressLineNumbers w:val="0"/>
        <w:kinsoku/>
        <w:wordWrap/>
        <w:overflowPunct/>
        <w:topLinePunct w:val="0"/>
        <w:bidi w:val="0"/>
        <w:adjustRightInd/>
        <w:snapToGrid w:val="0"/>
        <w:spacing w:line="480" w:lineRule="exact"/>
        <w:ind w:left="0" w:leftChars="0" w:firstLine="0" w:firstLineChars="0"/>
        <w:jc w:val="center"/>
        <w:textAlignment w:val="auto"/>
        <w:rPr>
          <w:rFonts w:hint="default"/>
          <w:color w:val="auto"/>
          <w:sz w:val="28"/>
          <w:szCs w:val="28"/>
          <w:lang w:val="en-US" w:eastAsia="zh-CN"/>
        </w:rPr>
      </w:pPr>
      <w:r>
        <w:rPr>
          <w:rFonts w:hint="eastAsia" w:ascii="Times New Roman" w:hAnsi="Times New Roman" w:eastAsia="仿宋_GB2312" w:cs="Times New Roman"/>
          <w:b/>
          <w:color w:val="auto"/>
          <w:kern w:val="2"/>
          <w:sz w:val="21"/>
          <w:szCs w:val="22"/>
          <w:lang w:val="en-US" w:eastAsia="zh-CN" w:bidi="ar-SA"/>
        </w:rPr>
        <w:t>表8-2文物保护单位保护控制范围</w:t>
      </w:r>
    </w:p>
    <w:tbl>
      <w:tblPr>
        <w:tblStyle w:val="20"/>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853"/>
        <w:gridCol w:w="630"/>
        <w:gridCol w:w="897"/>
        <w:gridCol w:w="1384"/>
        <w:gridCol w:w="1584"/>
        <w:gridCol w:w="993"/>
        <w:gridCol w:w="1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985" w:type="dxa"/>
          </w:tcPr>
          <w:p>
            <w:pPr>
              <w:pStyle w:val="31"/>
              <w:rPr>
                <w:rFonts w:hint="eastAsia" w:ascii="Times New Roman" w:hAnsi="Times New Roman" w:eastAsia="仿宋_GB2312" w:cs="Times New Roman"/>
                <w:b/>
                <w:bCs w:val="0"/>
                <w:color w:val="auto"/>
                <w:lang w:val="en-US" w:eastAsia="zh-CN" w:bidi="ar"/>
              </w:rPr>
            </w:pPr>
            <w:r>
              <w:rPr>
                <w:rFonts w:hint="eastAsia" w:ascii="Times New Roman" w:hAnsi="Times New Roman" w:eastAsia="仿宋_GB2312" w:cs="Times New Roman"/>
                <w:b/>
                <w:bCs w:val="0"/>
                <w:color w:val="auto"/>
                <w:lang w:val="en-US" w:eastAsia="zh-CN" w:bidi="ar"/>
              </w:rPr>
              <w:t>文物保护单位名称</w:t>
            </w:r>
          </w:p>
        </w:tc>
        <w:tc>
          <w:tcPr>
            <w:tcW w:w="853" w:type="dxa"/>
          </w:tcPr>
          <w:p>
            <w:pPr>
              <w:pStyle w:val="31"/>
              <w:rPr>
                <w:rFonts w:hint="eastAsia" w:ascii="Times New Roman" w:hAnsi="Times New Roman" w:eastAsia="仿宋_GB2312" w:cs="Times New Roman"/>
                <w:b/>
                <w:bCs w:val="0"/>
                <w:color w:val="auto"/>
                <w:lang w:val="en-US" w:eastAsia="zh-CN" w:bidi="ar"/>
              </w:rPr>
            </w:pPr>
            <w:r>
              <w:rPr>
                <w:rFonts w:hint="eastAsia" w:ascii="Times New Roman" w:hAnsi="Times New Roman" w:eastAsia="仿宋_GB2312" w:cs="Times New Roman"/>
                <w:b/>
                <w:bCs w:val="0"/>
                <w:color w:val="auto"/>
                <w:lang w:val="en-US" w:eastAsia="zh-CN" w:bidi="ar"/>
              </w:rPr>
              <w:t>地点</w:t>
            </w:r>
          </w:p>
        </w:tc>
        <w:tc>
          <w:tcPr>
            <w:tcW w:w="630" w:type="dxa"/>
          </w:tcPr>
          <w:p>
            <w:pPr>
              <w:pStyle w:val="31"/>
              <w:rPr>
                <w:rFonts w:hint="eastAsia" w:ascii="Times New Roman" w:hAnsi="Times New Roman" w:eastAsia="仿宋_GB2312" w:cs="Times New Roman"/>
                <w:b/>
                <w:bCs w:val="0"/>
                <w:color w:val="auto"/>
                <w:lang w:val="en-US" w:eastAsia="zh-CN" w:bidi="ar"/>
              </w:rPr>
            </w:pPr>
            <w:r>
              <w:rPr>
                <w:rFonts w:hint="eastAsia" w:ascii="Times New Roman" w:hAnsi="Times New Roman" w:eastAsia="仿宋_GB2312" w:cs="Times New Roman"/>
                <w:b/>
                <w:bCs w:val="0"/>
                <w:color w:val="auto"/>
                <w:lang w:val="en-US" w:eastAsia="zh-CN" w:bidi="ar"/>
              </w:rPr>
              <w:t>年代</w:t>
            </w:r>
          </w:p>
        </w:tc>
        <w:tc>
          <w:tcPr>
            <w:tcW w:w="897" w:type="dxa"/>
          </w:tcPr>
          <w:p>
            <w:pPr>
              <w:pStyle w:val="31"/>
              <w:rPr>
                <w:rFonts w:hint="eastAsia" w:ascii="Times New Roman" w:hAnsi="Times New Roman" w:eastAsia="仿宋_GB2312" w:cs="Times New Roman"/>
                <w:b/>
                <w:bCs w:val="0"/>
                <w:color w:val="auto"/>
                <w:lang w:val="en-US" w:eastAsia="zh-CN" w:bidi="ar"/>
              </w:rPr>
            </w:pPr>
            <w:r>
              <w:rPr>
                <w:rFonts w:hint="eastAsia" w:ascii="Times New Roman" w:hAnsi="Times New Roman" w:eastAsia="仿宋_GB2312" w:cs="Times New Roman"/>
                <w:b/>
                <w:bCs w:val="0"/>
                <w:color w:val="auto"/>
                <w:lang w:val="en-US" w:eastAsia="zh-CN" w:bidi="ar"/>
              </w:rPr>
              <w:t>类别</w:t>
            </w:r>
          </w:p>
        </w:tc>
        <w:tc>
          <w:tcPr>
            <w:tcW w:w="1384" w:type="dxa"/>
          </w:tcPr>
          <w:p>
            <w:pPr>
              <w:pStyle w:val="31"/>
              <w:rPr>
                <w:rFonts w:hint="eastAsia" w:ascii="Times New Roman" w:hAnsi="Times New Roman" w:eastAsia="仿宋_GB2312" w:cs="Times New Roman"/>
                <w:b/>
                <w:bCs w:val="0"/>
                <w:color w:val="auto"/>
                <w:lang w:val="en-US" w:eastAsia="zh-CN" w:bidi="ar"/>
              </w:rPr>
            </w:pPr>
            <w:r>
              <w:rPr>
                <w:rFonts w:hint="eastAsia" w:ascii="Times New Roman" w:hAnsi="Times New Roman" w:eastAsia="仿宋_GB2312" w:cs="Times New Roman"/>
                <w:b/>
                <w:bCs w:val="0"/>
                <w:color w:val="auto"/>
                <w:lang w:val="en-US" w:eastAsia="zh-CN" w:bidi="ar"/>
              </w:rPr>
              <w:t>保护范围</w:t>
            </w:r>
          </w:p>
        </w:tc>
        <w:tc>
          <w:tcPr>
            <w:tcW w:w="1584" w:type="dxa"/>
          </w:tcPr>
          <w:p>
            <w:pPr>
              <w:pStyle w:val="31"/>
              <w:rPr>
                <w:rFonts w:hint="eastAsia" w:ascii="Times New Roman" w:hAnsi="Times New Roman" w:eastAsia="仿宋_GB2312" w:cs="Times New Roman"/>
                <w:b/>
                <w:bCs w:val="0"/>
                <w:color w:val="auto"/>
                <w:lang w:val="en-US" w:eastAsia="zh-CN" w:bidi="ar"/>
              </w:rPr>
            </w:pPr>
            <w:r>
              <w:rPr>
                <w:rFonts w:hint="eastAsia" w:ascii="Times New Roman" w:hAnsi="Times New Roman" w:eastAsia="仿宋_GB2312" w:cs="Times New Roman"/>
                <w:b/>
                <w:bCs w:val="0"/>
                <w:color w:val="auto"/>
                <w:lang w:val="en-US" w:eastAsia="zh-CN" w:bidi="ar"/>
              </w:rPr>
              <w:t>建设控制地带</w:t>
            </w:r>
          </w:p>
        </w:tc>
        <w:tc>
          <w:tcPr>
            <w:tcW w:w="993" w:type="dxa"/>
          </w:tcPr>
          <w:p>
            <w:pPr>
              <w:pStyle w:val="31"/>
              <w:rPr>
                <w:rFonts w:hint="eastAsia" w:ascii="Times New Roman" w:hAnsi="Times New Roman" w:eastAsia="仿宋_GB2312" w:cs="Times New Roman"/>
                <w:b/>
                <w:bCs w:val="0"/>
                <w:color w:val="auto"/>
                <w:lang w:val="en-US" w:eastAsia="zh-CN" w:bidi="ar"/>
              </w:rPr>
            </w:pPr>
            <w:r>
              <w:rPr>
                <w:rFonts w:hint="eastAsia" w:ascii="Times New Roman" w:hAnsi="Times New Roman" w:eastAsia="仿宋_GB2312" w:cs="Times New Roman"/>
                <w:b/>
                <w:bCs w:val="0"/>
                <w:color w:val="auto"/>
                <w:lang w:val="en-US" w:eastAsia="zh-CN" w:bidi="ar"/>
              </w:rPr>
              <w:t>建设控制高度</w:t>
            </w:r>
          </w:p>
        </w:tc>
        <w:tc>
          <w:tcPr>
            <w:tcW w:w="1193" w:type="dxa"/>
          </w:tcPr>
          <w:p>
            <w:pPr>
              <w:pStyle w:val="31"/>
              <w:rPr>
                <w:rFonts w:hint="eastAsia" w:ascii="Times New Roman" w:hAnsi="Times New Roman" w:eastAsia="仿宋_GB2312" w:cs="Times New Roman"/>
                <w:b/>
                <w:bCs w:val="0"/>
                <w:color w:val="auto"/>
                <w:lang w:val="en-US" w:eastAsia="zh-CN" w:bidi="ar"/>
              </w:rPr>
            </w:pPr>
            <w:r>
              <w:rPr>
                <w:rFonts w:hint="eastAsia" w:ascii="Times New Roman" w:hAnsi="Times New Roman" w:eastAsia="仿宋_GB2312" w:cs="Times New Roman"/>
                <w:b/>
                <w:bCs w:val="0"/>
                <w:color w:val="auto"/>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7" w:hRule="atLeast"/>
        </w:trPr>
        <w:tc>
          <w:tcPr>
            <w:tcW w:w="985" w:type="dxa"/>
            <w:vAlign w:val="bottom"/>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上寨红军医院旧址</w:t>
            </w:r>
          </w:p>
        </w:tc>
        <w:tc>
          <w:tcPr>
            <w:tcW w:w="853" w:type="dxa"/>
            <w:vAlign w:val="bottom"/>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平富乡上寨村</w:t>
            </w:r>
          </w:p>
        </w:tc>
        <w:tc>
          <w:tcPr>
            <w:tcW w:w="630" w:type="dxa"/>
            <w:vAlign w:val="bottom"/>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1921年</w:t>
            </w:r>
          </w:p>
        </w:tc>
        <w:tc>
          <w:tcPr>
            <w:tcW w:w="897" w:type="dxa"/>
            <w:vAlign w:val="bottom"/>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近现代重要史迹及代表性建筑</w:t>
            </w:r>
          </w:p>
        </w:tc>
        <w:tc>
          <w:tcPr>
            <w:tcW w:w="1384" w:type="dxa"/>
            <w:shd w:val="clear" w:color="auto" w:fill="auto"/>
            <w:vAlign w:val="bottom"/>
          </w:tcPr>
          <w:p>
            <w:pPr>
              <w:pStyle w:val="31"/>
              <w:ind w:firstLine="0" w:firstLineChars="0"/>
              <w:rPr>
                <w:rFonts w:hint="eastAsia" w:ascii="Times New Roman" w:hAnsi="Times New Roman" w:eastAsia="仿宋_GB2312" w:cs="Times New Roman"/>
                <w:b w:val="0"/>
                <w:bCs/>
                <w:color w:val="auto"/>
                <w:kern w:val="0"/>
                <w:sz w:val="21"/>
                <w:szCs w:val="24"/>
                <w:lang w:val="en-US" w:eastAsia="zh-CN" w:bidi="ar"/>
              </w:rPr>
            </w:pPr>
            <w:r>
              <w:rPr>
                <w:rFonts w:hint="eastAsia" w:ascii="Times New Roman" w:hAnsi="Times New Roman" w:eastAsia="仿宋_GB2312" w:cs="Times New Roman"/>
                <w:b w:val="0"/>
                <w:bCs/>
                <w:color w:val="auto"/>
                <w:lang w:val="en-US" w:eastAsia="zh-CN" w:bidi="ar"/>
              </w:rPr>
              <w:t>东以外墙为界，南以公路为界，西、北各以齐檐滴水为界。</w:t>
            </w:r>
          </w:p>
        </w:tc>
        <w:tc>
          <w:tcPr>
            <w:tcW w:w="1584" w:type="dxa"/>
            <w:shd w:val="clear" w:color="auto" w:fill="auto"/>
            <w:vAlign w:val="bottom"/>
          </w:tcPr>
          <w:p>
            <w:pPr>
              <w:pStyle w:val="31"/>
              <w:ind w:firstLine="0" w:firstLineChars="0"/>
              <w:rPr>
                <w:rFonts w:hint="eastAsia" w:ascii="Times New Roman" w:hAnsi="Times New Roman" w:eastAsia="仿宋_GB2312" w:cs="Times New Roman"/>
                <w:b w:val="0"/>
                <w:bCs/>
                <w:color w:val="auto"/>
                <w:kern w:val="0"/>
                <w:sz w:val="21"/>
                <w:szCs w:val="24"/>
                <w:lang w:val="en-US" w:eastAsia="zh-CN" w:bidi="ar"/>
              </w:rPr>
            </w:pPr>
            <w:r>
              <w:rPr>
                <w:rFonts w:hint="eastAsia" w:ascii="Times New Roman" w:hAnsi="Times New Roman" w:eastAsia="仿宋_GB2312" w:cs="Times New Roman"/>
                <w:b w:val="0"/>
                <w:bCs/>
                <w:color w:val="auto"/>
                <w:lang w:val="en-US" w:eastAsia="zh-CN" w:bidi="ar"/>
              </w:rPr>
              <w:t>同保护范围。</w:t>
            </w:r>
          </w:p>
        </w:tc>
        <w:tc>
          <w:tcPr>
            <w:tcW w:w="993" w:type="dxa"/>
            <w:vAlign w:val="bottom"/>
          </w:tcPr>
          <w:p>
            <w:pPr>
              <w:pStyle w:val="31"/>
              <w:rPr>
                <w:rFonts w:hint="eastAsia" w:ascii="Times New Roman" w:hAnsi="Times New Roman" w:eastAsia="仿宋_GB2312" w:cs="Times New Roman"/>
                <w:b w:val="0"/>
                <w:bCs/>
                <w:color w:val="auto"/>
                <w:lang w:val="en-US" w:eastAsia="zh-CN" w:bidi="ar"/>
              </w:rPr>
            </w:pPr>
            <w:r>
              <w:rPr>
                <w:rFonts w:hint="eastAsia" w:ascii="宋体" w:hAnsi="宋体" w:cs="宋体"/>
                <w:kern w:val="0"/>
                <w:sz w:val="19"/>
                <w:szCs w:val="21"/>
              </w:rPr>
              <w:t>5米</w:t>
            </w:r>
          </w:p>
        </w:tc>
        <w:tc>
          <w:tcPr>
            <w:tcW w:w="1193" w:type="dxa"/>
            <w:vAlign w:val="bottom"/>
          </w:tcPr>
          <w:p>
            <w:pPr>
              <w:widowControl/>
              <w:snapToGrid w:val="0"/>
              <w:jc w:val="center"/>
              <w:rPr>
                <w:rFonts w:hint="eastAsia" w:ascii="宋体" w:hAnsi="宋体" w:cs="宋体"/>
                <w:kern w:val="0"/>
                <w:sz w:val="19"/>
                <w:szCs w:val="21"/>
              </w:rPr>
            </w:pPr>
            <w:r>
              <w:rPr>
                <w:rFonts w:hint="eastAsia" w:ascii="宋体" w:hAnsi="宋体" w:cs="宋体"/>
                <w:kern w:val="0"/>
                <w:sz w:val="19"/>
                <w:szCs w:val="21"/>
              </w:rPr>
              <w:t>第一批1983.4犹政</w:t>
            </w:r>
          </w:p>
          <w:p>
            <w:pPr>
              <w:pStyle w:val="31"/>
              <w:rPr>
                <w:rFonts w:hint="eastAsia" w:ascii="Times New Roman" w:hAnsi="Times New Roman" w:eastAsia="仿宋_GB2312" w:cs="Times New Roman"/>
                <w:b w:val="0"/>
                <w:bCs/>
                <w:color w:val="auto"/>
                <w:lang w:val="en-US" w:eastAsia="zh-CN" w:bidi="ar"/>
              </w:rPr>
            </w:pPr>
            <w:r>
              <w:rPr>
                <w:rFonts w:hint="eastAsia" w:ascii="宋体" w:hAnsi="宋体" w:cs="宋体"/>
                <w:kern w:val="0"/>
                <w:sz w:val="19"/>
                <w:szCs w:val="21"/>
              </w:rPr>
              <w:t>总字</w:t>
            </w:r>
            <w:r>
              <w:rPr>
                <w:rFonts w:hint="eastAsia" w:ascii="宋体" w:hAnsi="宋体" w:cs="宋体"/>
                <w:kern w:val="0"/>
                <w:sz w:val="19"/>
                <w:szCs w:val="21"/>
                <w:lang w:eastAsia="zh-CN"/>
              </w:rPr>
              <w:t>〔1983〕56号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985" w:type="dxa"/>
            <w:vAlign w:val="bottom"/>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上寨红三军团兵工厂旧址（省保）</w:t>
            </w:r>
          </w:p>
        </w:tc>
        <w:tc>
          <w:tcPr>
            <w:tcW w:w="853" w:type="dxa"/>
            <w:vAlign w:val="bottom"/>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平富乡上寨村石头桥自然村</w:t>
            </w:r>
          </w:p>
        </w:tc>
        <w:tc>
          <w:tcPr>
            <w:tcW w:w="630" w:type="dxa"/>
            <w:vAlign w:val="bottom"/>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明初</w:t>
            </w:r>
          </w:p>
        </w:tc>
        <w:tc>
          <w:tcPr>
            <w:tcW w:w="897" w:type="dxa"/>
            <w:vAlign w:val="bottom"/>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近现代重要史迹</w:t>
            </w:r>
          </w:p>
        </w:tc>
        <w:tc>
          <w:tcPr>
            <w:tcW w:w="1384" w:type="dxa"/>
            <w:vAlign w:val="bottom"/>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东以滴水为界，南以河为界，西以己墙外５米为界,北至山脚。</w:t>
            </w:r>
          </w:p>
        </w:tc>
        <w:tc>
          <w:tcPr>
            <w:tcW w:w="1584" w:type="dxa"/>
            <w:vAlign w:val="bottom"/>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以保护范围为界，东向外延伸 5 米，西向外延伸 10 米，南、北同保护范围。</w:t>
            </w:r>
          </w:p>
        </w:tc>
        <w:tc>
          <w:tcPr>
            <w:tcW w:w="993" w:type="dxa"/>
            <w:vAlign w:val="bottom"/>
          </w:tcPr>
          <w:p>
            <w:pPr>
              <w:pStyle w:val="31"/>
              <w:rPr>
                <w:rFonts w:hint="eastAsia" w:ascii="Times New Roman" w:hAnsi="Times New Roman" w:eastAsia="仿宋_GB2312" w:cs="Times New Roman"/>
                <w:b w:val="0"/>
                <w:bCs/>
                <w:color w:val="auto"/>
                <w:lang w:val="en-US" w:eastAsia="zh-CN" w:bidi="ar"/>
              </w:rPr>
            </w:pPr>
            <w:r>
              <w:rPr>
                <w:rFonts w:hint="eastAsia" w:ascii="宋体" w:hAnsi="宋体" w:cs="宋体"/>
                <w:kern w:val="0"/>
                <w:sz w:val="19"/>
                <w:szCs w:val="22"/>
              </w:rPr>
              <w:t>7米</w:t>
            </w:r>
          </w:p>
        </w:tc>
        <w:tc>
          <w:tcPr>
            <w:tcW w:w="1193" w:type="dxa"/>
            <w:vAlign w:val="bottom"/>
          </w:tcPr>
          <w:p>
            <w:pPr>
              <w:widowControl/>
              <w:snapToGrid w:val="0"/>
              <w:jc w:val="center"/>
              <w:rPr>
                <w:rFonts w:hint="eastAsia" w:ascii="宋体" w:hAnsi="宋体" w:cs="宋体"/>
                <w:kern w:val="0"/>
                <w:sz w:val="19"/>
                <w:szCs w:val="22"/>
              </w:rPr>
            </w:pPr>
            <w:r>
              <w:rPr>
                <w:rFonts w:hint="eastAsia" w:ascii="宋体" w:hAnsi="宋体" w:cs="宋体"/>
                <w:kern w:val="0"/>
                <w:sz w:val="19"/>
                <w:szCs w:val="22"/>
              </w:rPr>
              <w:t>第四批2005.8.16上府字[2005]</w:t>
            </w:r>
          </w:p>
          <w:p>
            <w:pPr>
              <w:pStyle w:val="31"/>
              <w:rPr>
                <w:rFonts w:hint="eastAsia" w:ascii="Times New Roman" w:hAnsi="Times New Roman" w:eastAsia="仿宋_GB2312" w:cs="Times New Roman"/>
                <w:b w:val="0"/>
                <w:bCs/>
                <w:color w:val="auto"/>
                <w:lang w:val="en-US" w:eastAsia="zh-CN" w:bidi="ar"/>
              </w:rPr>
            </w:pPr>
            <w:r>
              <w:rPr>
                <w:rFonts w:hint="eastAsia" w:ascii="宋体" w:hAnsi="宋体" w:cs="宋体"/>
                <w:kern w:val="0"/>
                <w:sz w:val="19"/>
                <w:szCs w:val="22"/>
              </w:rPr>
              <w:t>19号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985" w:type="dxa"/>
            <w:vAlign w:val="bottom"/>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上寨红三军团政治处旧址（省保）</w:t>
            </w:r>
          </w:p>
        </w:tc>
        <w:tc>
          <w:tcPr>
            <w:tcW w:w="853" w:type="dxa"/>
            <w:vAlign w:val="bottom"/>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平富乡上寨村</w:t>
            </w:r>
          </w:p>
        </w:tc>
        <w:tc>
          <w:tcPr>
            <w:tcW w:w="630" w:type="dxa"/>
            <w:vAlign w:val="bottom"/>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土地革命时期</w:t>
            </w:r>
          </w:p>
        </w:tc>
        <w:tc>
          <w:tcPr>
            <w:tcW w:w="897" w:type="dxa"/>
            <w:vAlign w:val="bottom"/>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近现代重要史迹</w:t>
            </w:r>
          </w:p>
        </w:tc>
        <w:tc>
          <w:tcPr>
            <w:tcW w:w="1384" w:type="dxa"/>
            <w:vAlign w:val="bottom"/>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东以围墙为界，南以己墙为界，西至山脚，北以滴水为界。</w:t>
            </w:r>
          </w:p>
        </w:tc>
        <w:tc>
          <w:tcPr>
            <w:tcW w:w="1584" w:type="dxa"/>
            <w:vAlign w:val="bottom"/>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以保护范围为界，东至河，南、西、北同保护范围。</w:t>
            </w:r>
          </w:p>
        </w:tc>
        <w:tc>
          <w:tcPr>
            <w:tcW w:w="993" w:type="dxa"/>
            <w:vAlign w:val="bottom"/>
          </w:tcPr>
          <w:p>
            <w:pPr>
              <w:pStyle w:val="31"/>
              <w:rPr>
                <w:rFonts w:hint="eastAsia" w:ascii="Times New Roman" w:hAnsi="Times New Roman" w:eastAsia="仿宋_GB2312" w:cs="Times New Roman"/>
                <w:b w:val="0"/>
                <w:bCs/>
                <w:color w:val="auto"/>
                <w:lang w:val="en-US" w:eastAsia="zh-CN" w:bidi="ar"/>
              </w:rPr>
            </w:pPr>
            <w:r>
              <w:rPr>
                <w:rFonts w:hint="eastAsia" w:ascii="宋体" w:hAnsi="宋体" w:cs="宋体"/>
                <w:kern w:val="0"/>
                <w:sz w:val="19"/>
                <w:szCs w:val="22"/>
              </w:rPr>
              <w:t>5米</w:t>
            </w:r>
          </w:p>
        </w:tc>
        <w:tc>
          <w:tcPr>
            <w:tcW w:w="1193" w:type="dxa"/>
            <w:vAlign w:val="bottom"/>
          </w:tcPr>
          <w:p>
            <w:pPr>
              <w:widowControl/>
              <w:snapToGrid w:val="0"/>
              <w:jc w:val="center"/>
              <w:rPr>
                <w:rFonts w:hint="eastAsia" w:ascii="宋体" w:hAnsi="宋体" w:cs="宋体"/>
                <w:kern w:val="0"/>
                <w:sz w:val="19"/>
                <w:szCs w:val="22"/>
              </w:rPr>
            </w:pPr>
            <w:r>
              <w:rPr>
                <w:rFonts w:hint="eastAsia" w:ascii="宋体" w:hAnsi="宋体" w:cs="宋体"/>
                <w:kern w:val="0"/>
                <w:sz w:val="19"/>
                <w:szCs w:val="22"/>
              </w:rPr>
              <w:t>第六批2012.10.18上府字[2012]</w:t>
            </w:r>
          </w:p>
          <w:p>
            <w:pPr>
              <w:pStyle w:val="31"/>
              <w:rPr>
                <w:rFonts w:hint="eastAsia" w:ascii="Times New Roman" w:hAnsi="Times New Roman" w:eastAsia="仿宋_GB2312" w:cs="Times New Roman"/>
                <w:b w:val="0"/>
                <w:bCs/>
                <w:color w:val="auto"/>
                <w:lang w:val="en-US" w:eastAsia="zh-CN" w:bidi="ar"/>
              </w:rPr>
            </w:pPr>
            <w:r>
              <w:rPr>
                <w:rFonts w:hint="eastAsia" w:ascii="宋体" w:hAnsi="宋体" w:cs="宋体"/>
                <w:kern w:val="0"/>
                <w:sz w:val="19"/>
                <w:szCs w:val="22"/>
              </w:rPr>
              <w:t>20号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985" w:type="dxa"/>
            <w:vAlign w:val="bottom"/>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红三军团保卫部旧址（省保）</w:t>
            </w:r>
          </w:p>
        </w:tc>
        <w:tc>
          <w:tcPr>
            <w:tcW w:w="853" w:type="dxa"/>
            <w:vAlign w:val="bottom"/>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平富乡上寨村</w:t>
            </w:r>
          </w:p>
        </w:tc>
        <w:tc>
          <w:tcPr>
            <w:tcW w:w="630" w:type="dxa"/>
            <w:vAlign w:val="bottom"/>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清代</w:t>
            </w:r>
          </w:p>
        </w:tc>
        <w:tc>
          <w:tcPr>
            <w:tcW w:w="897" w:type="dxa"/>
            <w:vAlign w:val="bottom"/>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古建筑</w:t>
            </w:r>
          </w:p>
        </w:tc>
        <w:tc>
          <w:tcPr>
            <w:tcW w:w="1384" w:type="dxa"/>
            <w:vAlign w:val="bottom"/>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东至山脚，南以己墙为界，西以己墙外８米为界,北以己墙外0.8米为界。</w:t>
            </w:r>
          </w:p>
        </w:tc>
        <w:tc>
          <w:tcPr>
            <w:tcW w:w="1584" w:type="dxa"/>
            <w:shd w:val="clear" w:color="auto" w:fill="auto"/>
            <w:vAlign w:val="bottom"/>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保护范围外延</w:t>
            </w:r>
          </w:p>
          <w:p>
            <w:pPr>
              <w:pStyle w:val="31"/>
              <w:ind w:firstLine="0" w:firstLineChars="0"/>
              <w:rPr>
                <w:rFonts w:hint="eastAsia" w:ascii="Times New Roman" w:hAnsi="Times New Roman" w:eastAsia="仿宋_GB2312" w:cs="Times New Roman"/>
                <w:b w:val="0"/>
                <w:bCs/>
                <w:color w:val="auto"/>
                <w:kern w:val="0"/>
                <w:sz w:val="21"/>
                <w:szCs w:val="24"/>
                <w:lang w:val="en-US" w:eastAsia="zh-CN" w:bidi="ar"/>
              </w:rPr>
            </w:pPr>
            <w:r>
              <w:rPr>
                <w:rFonts w:hint="eastAsia" w:ascii="Times New Roman" w:hAnsi="Times New Roman" w:eastAsia="仿宋_GB2312" w:cs="Times New Roman"/>
                <w:b w:val="0"/>
                <w:bCs/>
                <w:color w:val="auto"/>
                <w:lang w:val="en-US" w:eastAsia="zh-CN" w:bidi="ar"/>
              </w:rPr>
              <w:t>50米，此范围内的新建筑应与文物本体相协调，其建筑高度不得高于文物建筑</w:t>
            </w:r>
          </w:p>
        </w:tc>
        <w:tc>
          <w:tcPr>
            <w:tcW w:w="993" w:type="dxa"/>
            <w:vAlign w:val="bottom"/>
          </w:tcPr>
          <w:p>
            <w:pPr>
              <w:pStyle w:val="31"/>
              <w:rPr>
                <w:rFonts w:hint="eastAsia" w:ascii="Times New Roman" w:hAnsi="Times New Roman" w:eastAsia="仿宋_GB2312" w:cs="Times New Roman"/>
                <w:b w:val="0"/>
                <w:bCs/>
                <w:color w:val="auto"/>
                <w:lang w:val="en-US" w:eastAsia="zh-CN" w:bidi="ar"/>
              </w:rPr>
            </w:pPr>
            <w:r>
              <w:rPr>
                <w:rFonts w:hint="eastAsia" w:ascii="宋体" w:hAnsi="宋体" w:cs="宋体"/>
                <w:kern w:val="0"/>
                <w:sz w:val="19"/>
                <w:szCs w:val="22"/>
              </w:rPr>
              <w:t>5米</w:t>
            </w:r>
          </w:p>
        </w:tc>
        <w:tc>
          <w:tcPr>
            <w:tcW w:w="1193" w:type="dxa"/>
            <w:vAlign w:val="bottom"/>
          </w:tcPr>
          <w:p>
            <w:pPr>
              <w:widowControl/>
              <w:snapToGrid w:val="0"/>
              <w:jc w:val="center"/>
              <w:rPr>
                <w:rFonts w:hint="eastAsia" w:ascii="宋体" w:hAnsi="宋体" w:cs="宋体"/>
                <w:kern w:val="0"/>
                <w:sz w:val="19"/>
                <w:szCs w:val="22"/>
              </w:rPr>
            </w:pPr>
            <w:r>
              <w:rPr>
                <w:rFonts w:hint="eastAsia" w:ascii="宋体" w:hAnsi="宋体" w:cs="宋体"/>
                <w:kern w:val="0"/>
                <w:sz w:val="19"/>
                <w:szCs w:val="22"/>
              </w:rPr>
              <w:t>第六批2012.10.18上府字[2012]</w:t>
            </w:r>
          </w:p>
          <w:p>
            <w:pPr>
              <w:pStyle w:val="31"/>
              <w:rPr>
                <w:rFonts w:hint="eastAsia" w:ascii="Times New Roman" w:hAnsi="Times New Roman" w:eastAsia="仿宋_GB2312" w:cs="Times New Roman"/>
                <w:b w:val="0"/>
                <w:bCs/>
                <w:color w:val="auto"/>
                <w:lang w:val="en-US" w:eastAsia="zh-CN" w:bidi="ar"/>
              </w:rPr>
            </w:pPr>
            <w:r>
              <w:rPr>
                <w:rFonts w:hint="eastAsia" w:ascii="宋体" w:hAnsi="宋体" w:cs="宋体"/>
                <w:kern w:val="0"/>
                <w:sz w:val="19"/>
                <w:szCs w:val="22"/>
              </w:rPr>
              <w:t>20号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985" w:type="dxa"/>
            <w:vAlign w:val="bottom"/>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红三军团后勤部（县保）</w:t>
            </w:r>
          </w:p>
        </w:tc>
        <w:tc>
          <w:tcPr>
            <w:tcW w:w="853" w:type="dxa"/>
            <w:vAlign w:val="bottom"/>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平富乡上寨村</w:t>
            </w:r>
          </w:p>
        </w:tc>
        <w:tc>
          <w:tcPr>
            <w:tcW w:w="630" w:type="dxa"/>
            <w:vAlign w:val="bottom"/>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清代</w:t>
            </w:r>
          </w:p>
        </w:tc>
        <w:tc>
          <w:tcPr>
            <w:tcW w:w="897" w:type="dxa"/>
            <w:vAlign w:val="bottom"/>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古建筑</w:t>
            </w:r>
          </w:p>
        </w:tc>
        <w:tc>
          <w:tcPr>
            <w:tcW w:w="1384" w:type="dxa"/>
            <w:vAlign w:val="bottom"/>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以本体建筑外墙为界，外延8米为红线、16米为紫线</w:t>
            </w:r>
          </w:p>
        </w:tc>
        <w:tc>
          <w:tcPr>
            <w:tcW w:w="1584" w:type="dxa"/>
            <w:vAlign w:val="bottom"/>
          </w:tcPr>
          <w:p>
            <w:pPr>
              <w:pStyle w:val="31"/>
              <w:rPr>
                <w:rFonts w:hint="eastAsia" w:ascii="Times New Roman" w:hAnsi="Times New Roman" w:eastAsia="仿宋_GB2312" w:cs="Times New Roman"/>
                <w:b w:val="0"/>
                <w:bCs/>
                <w:color w:val="auto"/>
                <w:lang w:val="en-US" w:eastAsia="zh-CN" w:bidi="ar"/>
              </w:rPr>
            </w:pPr>
            <w:r>
              <w:rPr>
                <w:rFonts w:hint="eastAsia" w:ascii="Times New Roman" w:hAnsi="Times New Roman" w:eastAsia="仿宋_GB2312" w:cs="Times New Roman"/>
                <w:b w:val="0"/>
                <w:bCs/>
                <w:color w:val="auto"/>
                <w:lang w:val="en-US" w:eastAsia="zh-CN" w:bidi="ar"/>
              </w:rPr>
              <w:t>保护范围外延50米此范围内的新建筑应与文物本体相协调，其建筑高度不得高于文物建筑</w:t>
            </w:r>
          </w:p>
        </w:tc>
        <w:tc>
          <w:tcPr>
            <w:tcW w:w="993" w:type="dxa"/>
            <w:vAlign w:val="bottom"/>
          </w:tcPr>
          <w:p>
            <w:pPr>
              <w:pStyle w:val="31"/>
              <w:rPr>
                <w:rFonts w:hint="eastAsia" w:ascii="Times New Roman" w:hAnsi="Times New Roman" w:eastAsia="仿宋_GB2312" w:cs="Times New Roman"/>
                <w:b w:val="0"/>
                <w:bCs/>
                <w:color w:val="auto"/>
                <w:lang w:val="en-US" w:eastAsia="zh-CN" w:bidi="ar"/>
              </w:rPr>
            </w:pPr>
            <w:r>
              <w:rPr>
                <w:rFonts w:hint="eastAsia" w:ascii="宋体" w:hAnsi="宋体" w:cs="宋体"/>
                <w:kern w:val="0"/>
                <w:sz w:val="19"/>
                <w:szCs w:val="22"/>
              </w:rPr>
              <w:t>5米</w:t>
            </w:r>
          </w:p>
        </w:tc>
        <w:tc>
          <w:tcPr>
            <w:tcW w:w="1193" w:type="dxa"/>
            <w:vAlign w:val="bottom"/>
          </w:tcPr>
          <w:p>
            <w:pPr>
              <w:widowControl/>
              <w:snapToGrid w:val="0"/>
              <w:jc w:val="center"/>
              <w:rPr>
                <w:rFonts w:hint="eastAsia" w:ascii="宋体" w:hAnsi="宋体" w:cs="宋体"/>
                <w:kern w:val="0"/>
                <w:sz w:val="19"/>
                <w:szCs w:val="22"/>
              </w:rPr>
            </w:pPr>
            <w:r>
              <w:rPr>
                <w:rFonts w:hint="eastAsia" w:ascii="宋体" w:hAnsi="宋体" w:cs="宋体"/>
                <w:kern w:val="0"/>
                <w:sz w:val="19"/>
                <w:szCs w:val="22"/>
              </w:rPr>
              <w:t>第六批2012.10.18上府字[2012]</w:t>
            </w:r>
          </w:p>
          <w:p>
            <w:pPr>
              <w:pStyle w:val="31"/>
              <w:rPr>
                <w:rFonts w:hint="eastAsia" w:ascii="Times New Roman" w:hAnsi="Times New Roman" w:eastAsia="仿宋_GB2312" w:cs="Times New Roman"/>
                <w:b w:val="0"/>
                <w:bCs/>
                <w:color w:val="auto"/>
                <w:lang w:val="en-US" w:eastAsia="zh-CN" w:bidi="ar"/>
              </w:rPr>
            </w:pPr>
            <w:r>
              <w:rPr>
                <w:rFonts w:hint="eastAsia" w:ascii="宋体" w:hAnsi="宋体" w:cs="宋体"/>
                <w:kern w:val="0"/>
                <w:sz w:val="19"/>
                <w:szCs w:val="22"/>
              </w:rPr>
              <w:t>20号</w:t>
            </w:r>
          </w:p>
        </w:tc>
      </w:tr>
    </w:tbl>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560" w:firstLineChars="200"/>
        <w:jc w:val="left"/>
        <w:textAlignment w:val="auto"/>
        <w:rPr>
          <w:rFonts w:hint="eastAsia"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 xml:space="preserve">（2）古建筑保护措施 </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560" w:firstLineChars="200"/>
        <w:jc w:val="left"/>
        <w:textAlignment w:val="auto"/>
        <w:rPr>
          <w:rFonts w:hint="eastAsia"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古建筑保护应执行以下保护要求和措施：</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560" w:firstLineChars="200"/>
        <w:jc w:val="left"/>
        <w:textAlignment w:val="auto"/>
        <w:rPr>
          <w:rFonts w:hint="eastAsia"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 xml:space="preserve">①历史建筑经城市人民政府批复并公布之后，应当在古建筑的明显部位设置保护标牌，以接受社会和公众的监督保护。 </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560" w:firstLineChars="200"/>
        <w:jc w:val="left"/>
        <w:textAlignment w:val="auto"/>
        <w:rPr>
          <w:rFonts w:hint="eastAsia"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 xml:space="preserve">②应及时开展历史古建筑的普查工作，制定相应的文物保护规划。 </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560" w:firstLineChars="200"/>
        <w:jc w:val="left"/>
        <w:textAlignment w:val="auto"/>
        <w:rPr>
          <w:rFonts w:hint="eastAsia"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 xml:space="preserve">③在日常工作中，发现有保护价值或是潜在保护价值的古建筑，要及时列入历史保护名单，明确保护措施。 </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560" w:firstLineChars="200"/>
        <w:jc w:val="left"/>
        <w:textAlignment w:val="auto"/>
        <w:rPr>
          <w:rFonts w:hint="eastAsia"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 xml:space="preserve">④应及时制定颁布对历史古建筑的保护办法，提供相应政策保障。 </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560" w:firstLineChars="200"/>
        <w:jc w:val="left"/>
        <w:textAlignment w:val="auto"/>
        <w:rPr>
          <w:rFonts w:hint="eastAsia"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 xml:space="preserve">⑤历史古建筑宜继续延续其使用功能。对于现状保护情况较差的，应进行必要的外部修缮，完善内部设施，改善使用条件。可进行使用功能的调整和内部更新，以满足现代使用的需要。 </w:t>
      </w:r>
    </w:p>
    <w:p>
      <w:pPr>
        <w:keepNext w:val="0"/>
        <w:keepLines w:val="0"/>
        <w:pageBreakBefore w:val="0"/>
        <w:widowControl/>
        <w:suppressLineNumbers w:val="0"/>
        <w:kinsoku/>
        <w:wordWrap/>
        <w:overflowPunct/>
        <w:topLinePunct w:val="0"/>
        <w:bidi w:val="0"/>
        <w:adjustRightInd/>
        <w:snapToGrid w:val="0"/>
        <w:spacing w:line="480" w:lineRule="exact"/>
        <w:ind w:left="0" w:leftChars="0" w:firstLine="641" w:firstLineChars="228"/>
        <w:jc w:val="left"/>
        <w:textAlignment w:val="auto"/>
        <w:outlineLvl w:val="9"/>
        <w:rPr>
          <w:rFonts w:hint="eastAsia" w:ascii="仿宋" w:hAnsi="仿宋" w:eastAsia="仿宋" w:cs="仿宋"/>
          <w:color w:val="auto"/>
          <w:sz w:val="28"/>
          <w:szCs w:val="28"/>
        </w:rPr>
      </w:pPr>
      <w:r>
        <w:rPr>
          <w:rFonts w:hint="eastAsia" w:ascii="仿宋" w:hAnsi="仿宋" w:eastAsia="仿宋" w:cs="仿宋"/>
          <w:b/>
          <w:color w:val="auto"/>
          <w:kern w:val="0"/>
          <w:sz w:val="28"/>
          <w:szCs w:val="28"/>
          <w:lang w:val="en-US" w:eastAsia="zh-CN" w:bidi="ar"/>
        </w:rPr>
        <w:t xml:space="preserve">四、历史文化资源活化利用 </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560" w:firstLineChars="200"/>
        <w:jc w:val="left"/>
        <w:textAlignment w:val="auto"/>
        <w:rPr>
          <w:rFonts w:hint="eastAsia"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1、植入多元功能，推动历史地段活起来</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560" w:firstLineChars="200"/>
        <w:jc w:val="left"/>
        <w:textAlignment w:val="auto"/>
        <w:rPr>
          <w:rFonts w:hint="default"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立足自身历史文化价值特色，结合平富乡发展需求，探索包括文化展示目的地、文创等新兴产业聚集地、公共服务特色地段、特色居住社区等多样化的历史地段利用功能，探索政府主导，政府平台公司、社会企业、商户、居民等多种主体参与的多样化的实施模式，全面提升历史地段的活化利用水平。重点打造上寨红三军团旧址群的文旅融合，推动红色文化资源与全域旅游协同发展。</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560" w:firstLineChars="200"/>
        <w:jc w:val="left"/>
        <w:textAlignment w:val="auto"/>
        <w:rPr>
          <w:rFonts w:hint="eastAsia"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2、开展“微更新”，强化公共空间品质，提升人居环境</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560" w:firstLineChars="200"/>
        <w:jc w:val="left"/>
        <w:textAlignment w:val="auto"/>
        <w:rPr>
          <w:rFonts w:hint="eastAsia"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kern w:val="2"/>
          <w:sz w:val="28"/>
          <w:szCs w:val="28"/>
          <w:lang w:val="en-US" w:eastAsia="zh-CN" w:bidi="ar-SA"/>
        </w:rPr>
        <w:t>推进生态自然村落有机更新，加大“微更新”“微改造”力度，注重加强生活基础设施改善和提升，从生活、生产方面提升人居环境，加强村落与旅游产业的结合，形成留住人气、吸引游客的充满文化魅力的氛围</w:t>
      </w:r>
      <w:r>
        <w:rPr>
          <w:rFonts w:hint="eastAsia" w:ascii="Times New Roman" w:hAnsi="Times New Roman" w:eastAsia="仿宋_GB2312" w:cs="Times New Roman"/>
          <w:b w:val="0"/>
          <w:bCs w:val="0"/>
          <w:color w:val="auto"/>
          <w:kern w:val="2"/>
          <w:sz w:val="28"/>
          <w:szCs w:val="28"/>
          <w:lang w:val="en-US" w:eastAsia="zh-CN" w:bidi="ar-SA"/>
        </w:rPr>
        <w:t xml:space="preserve">。 </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560" w:firstLineChars="200"/>
        <w:jc w:val="left"/>
        <w:textAlignment w:val="auto"/>
        <w:rPr>
          <w:rFonts w:hint="eastAsia" w:ascii="Times New Roman" w:hAnsi="Times New Roman" w:eastAsia="仿宋_GB2312" w:cs="Times New Roman"/>
          <w:b w:val="0"/>
          <w:bCs w:val="0"/>
          <w:color w:val="auto"/>
          <w:kern w:val="2"/>
          <w:sz w:val="28"/>
          <w:szCs w:val="28"/>
          <w:lang w:val="en-US" w:eastAsia="zh-CN" w:bidi="ar-SA"/>
        </w:rPr>
      </w:pP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560" w:firstLineChars="200"/>
        <w:jc w:val="left"/>
        <w:textAlignment w:val="auto"/>
        <w:rPr>
          <w:rFonts w:hint="eastAsia" w:ascii="Times New Roman" w:hAnsi="Times New Roman" w:eastAsia="仿宋_GB2312" w:cs="Times New Roman"/>
          <w:b w:val="0"/>
          <w:bCs w:val="0"/>
          <w:color w:val="auto"/>
          <w:kern w:val="2"/>
          <w:sz w:val="28"/>
          <w:szCs w:val="28"/>
          <w:lang w:val="en-US" w:eastAsia="zh-CN" w:bidi="ar-SA"/>
        </w:rPr>
      </w:pP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560" w:firstLineChars="200"/>
        <w:jc w:val="left"/>
        <w:textAlignment w:val="auto"/>
        <w:rPr>
          <w:rFonts w:hint="eastAsia" w:ascii="Times New Roman" w:hAnsi="Times New Roman" w:eastAsia="仿宋_GB2312" w:cs="Times New Roman"/>
          <w:b w:val="0"/>
          <w:bCs w:val="0"/>
          <w:color w:val="auto"/>
          <w:kern w:val="2"/>
          <w:sz w:val="28"/>
          <w:szCs w:val="28"/>
          <w:lang w:val="en-US" w:eastAsia="zh-CN" w:bidi="ar-SA"/>
        </w:rPr>
      </w:pP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560" w:firstLineChars="200"/>
        <w:jc w:val="left"/>
        <w:textAlignment w:val="auto"/>
        <w:rPr>
          <w:rFonts w:hint="eastAsia" w:ascii="Times New Roman" w:hAnsi="Times New Roman" w:eastAsia="仿宋_GB2312" w:cs="Times New Roman"/>
          <w:b w:val="0"/>
          <w:bCs w:val="0"/>
          <w:color w:val="auto"/>
          <w:kern w:val="2"/>
          <w:sz w:val="28"/>
          <w:szCs w:val="28"/>
          <w:lang w:val="en-US" w:eastAsia="zh-CN" w:bidi="ar-SA"/>
        </w:rPr>
      </w:pPr>
    </w:p>
    <w:p>
      <w:pPr>
        <w:pStyle w:val="33"/>
        <w:spacing w:before="156" w:beforeLines="50" w:after="156" w:afterLines="50" w:line="520" w:lineRule="exact"/>
        <w:rPr>
          <w:rFonts w:hint="eastAsia" w:ascii="Times New Roman" w:hAnsi="Times New Roman"/>
          <w:color w:val="auto"/>
          <w:kern w:val="2"/>
          <w:szCs w:val="32"/>
          <w:lang w:val="en-US" w:eastAsia="zh-CN"/>
        </w:rPr>
      </w:pPr>
      <w:bookmarkStart w:id="55" w:name="_Toc7047"/>
      <w:r>
        <w:rPr>
          <w:rFonts w:hint="eastAsia" w:ascii="Times New Roman" w:hAnsi="Times New Roman"/>
          <w:color w:val="auto"/>
          <w:kern w:val="2"/>
          <w:szCs w:val="32"/>
          <w:lang w:val="en-US" w:eastAsia="zh-CN"/>
        </w:rPr>
        <w:t>第二节 优化全域旅游空间格局</w:t>
      </w:r>
      <w:bookmarkEnd w:id="55"/>
    </w:p>
    <w:p>
      <w:pPr>
        <w:pStyle w:val="36"/>
        <w:ind w:firstLine="562"/>
        <w:jc w:val="both"/>
        <w:rPr>
          <w:rFonts w:hint="default" w:ascii="Times New Roman" w:hAnsi="Times New Roman" w:eastAsia="仿宋_GB2312" w:cs="Times New Roman"/>
          <w:bCs w:val="0"/>
          <w:color w:val="auto"/>
          <w:szCs w:val="32"/>
          <w:lang w:val="en-US" w:eastAsia="zh-CN"/>
        </w:rPr>
      </w:pPr>
      <w:r>
        <w:rPr>
          <w:rFonts w:hint="eastAsia" w:ascii="Times New Roman" w:hAnsi="Times New Roman" w:eastAsia="仿宋_GB2312" w:cs="Times New Roman"/>
          <w:bCs w:val="0"/>
          <w:color w:val="auto"/>
          <w:szCs w:val="32"/>
          <w:lang w:val="en-US" w:eastAsia="zh-CN"/>
        </w:rPr>
        <w:t>一、旅游资源禀赋</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560" w:firstLineChars="200"/>
        <w:jc w:val="left"/>
        <w:textAlignment w:val="auto"/>
        <w:rPr>
          <w:rFonts w:hint="default"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历史文化基础较好，文物保护单位有5处。其中省级文物保护单位有4处，县级文物保护单位有1处。均具有较高的历史文化价值，可结合红色文化体验和乡村休闲打造乡村文化旅游点。</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560" w:firstLineChars="200"/>
        <w:jc w:val="left"/>
        <w:textAlignment w:val="auto"/>
        <w:rPr>
          <w:rFonts w:hint="default"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有一批重要旅游景点。有燕子岩景区，信地茶园，上寨暖塘温泉等，是平富乡的重要旅游资源，且已形成较好的发展基础，具有较大开发潜力。</w:t>
      </w:r>
    </w:p>
    <w:p>
      <w:pPr>
        <w:pStyle w:val="36"/>
        <w:ind w:firstLine="562"/>
        <w:jc w:val="both"/>
        <w:rPr>
          <w:rFonts w:hint="default" w:ascii="Times New Roman" w:hAnsi="Times New Roman" w:eastAsia="仿宋_GB2312" w:cs="Times New Roman"/>
          <w:bCs w:val="0"/>
          <w:color w:val="auto"/>
          <w:szCs w:val="32"/>
          <w:lang w:val="en-US" w:eastAsia="zh-CN"/>
        </w:rPr>
      </w:pPr>
      <w:r>
        <w:rPr>
          <w:rFonts w:hint="eastAsia" w:ascii="Times New Roman" w:hAnsi="Times New Roman" w:eastAsia="仿宋_GB2312" w:cs="Times New Roman"/>
          <w:bCs w:val="0"/>
          <w:color w:val="auto"/>
          <w:szCs w:val="32"/>
          <w:lang w:val="en-US" w:eastAsia="zh-CN"/>
        </w:rPr>
        <w:t>二、旅游发展目标与定位</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562" w:firstLineChars="200"/>
        <w:jc w:val="left"/>
        <w:textAlignment w:val="auto"/>
        <w:rPr>
          <w:rFonts w:hint="eastAsia"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bCs/>
          <w:color w:val="auto"/>
          <w:kern w:val="2"/>
          <w:sz w:val="28"/>
          <w:szCs w:val="28"/>
          <w:highlight w:val="none"/>
          <w:lang w:val="en-US" w:eastAsia="zh-CN" w:bidi="ar-SA"/>
        </w:rPr>
        <w:t>衔接上位规划对平富乡的旅游定位。</w:t>
      </w:r>
      <w:r>
        <w:rPr>
          <w:rFonts w:hint="eastAsia" w:ascii="Times New Roman" w:hAnsi="Times New Roman" w:eastAsia="仿宋_GB2312" w:cs="Times New Roman"/>
          <w:b w:val="0"/>
          <w:bCs w:val="0"/>
          <w:color w:val="auto"/>
          <w:kern w:val="2"/>
          <w:sz w:val="28"/>
          <w:szCs w:val="28"/>
          <w:lang w:val="en-US" w:eastAsia="zh-CN" w:bidi="ar-SA"/>
        </w:rPr>
        <w:t>上犹县确立“撬动湖、联动山、驱动城、带动村”发展定位，构建“一核吸引·两极支撑·双圈环绕·五组团共建”的全域旅游空间格局，实施“培育极核、构建环线、打造组团”的空间对策。</w:t>
      </w:r>
    </w:p>
    <w:p>
      <w:pPr>
        <w:pStyle w:val="36"/>
        <w:ind w:firstLine="562"/>
        <w:jc w:val="both"/>
        <w:rPr>
          <w:rFonts w:hint="eastAsia"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bCs/>
          <w:color w:val="auto"/>
          <w:kern w:val="2"/>
          <w:sz w:val="28"/>
          <w:szCs w:val="28"/>
          <w:highlight w:val="none"/>
          <w:lang w:val="en-US" w:eastAsia="zh-CN" w:bidi="ar-SA"/>
        </w:rPr>
        <w:t>平富乡旅游发展定位。</w:t>
      </w:r>
      <w:r>
        <w:rPr>
          <w:rFonts w:hint="eastAsia" w:ascii="Times New Roman" w:hAnsi="Times New Roman" w:eastAsia="仿宋_GB2312" w:cs="Times New Roman"/>
          <w:b w:val="0"/>
          <w:bCs w:val="0"/>
          <w:color w:val="auto"/>
          <w:kern w:val="2"/>
          <w:sz w:val="28"/>
          <w:szCs w:val="28"/>
          <w:lang w:val="en-US" w:eastAsia="zh-CN" w:bidi="ar-SA"/>
        </w:rPr>
        <w:t>平富乡位于上犹县旅游发展格局的南部山水文旅发展区，围绕山地运动康养，构建特色鲜明、供给完备、结构合理、要素齐全、服务优质的全域旅游体系，将打造成为上犹县重要旅游休闲目的地。</w:t>
      </w:r>
    </w:p>
    <w:p>
      <w:pPr>
        <w:pStyle w:val="36"/>
        <w:ind w:firstLine="562"/>
        <w:jc w:val="both"/>
        <w:rPr>
          <w:rFonts w:hint="default" w:ascii="Times New Roman" w:hAnsi="Times New Roman" w:eastAsia="仿宋_GB2312" w:cs="Times New Roman"/>
          <w:bCs w:val="0"/>
          <w:color w:val="auto"/>
          <w:szCs w:val="32"/>
          <w:lang w:val="en-US" w:eastAsia="zh-CN"/>
        </w:rPr>
      </w:pPr>
      <w:r>
        <w:rPr>
          <w:rFonts w:hint="eastAsia" w:ascii="Times New Roman" w:hAnsi="Times New Roman" w:eastAsia="仿宋_GB2312" w:cs="Times New Roman"/>
          <w:bCs w:val="0"/>
          <w:color w:val="auto"/>
          <w:szCs w:val="32"/>
          <w:lang w:val="en-US" w:eastAsia="zh-CN"/>
        </w:rPr>
        <w:t>三、旅游发展战略</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560" w:firstLineChars="200"/>
        <w:jc w:val="left"/>
        <w:textAlignment w:val="auto"/>
        <w:rPr>
          <w:rFonts w:hint="eastAsia"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 xml:space="preserve">深度发展文化旅游。推动客家文化、红色文化等“软实力”提升，打造一批传统文化体验点。重点发展上寨村红色文化体验，提升发展乡村旅游。延长产业链条，推进乡村旅游与非农业产业的整合；聚焦乡村特色产业、主题文化，塑造乡村“品格”；乡村旅游与城镇化推进良性互动融合发展。促进旅游与其他产业融合发展。    </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560" w:firstLineChars="200"/>
        <w:jc w:val="left"/>
        <w:textAlignment w:val="auto"/>
        <w:rPr>
          <w:rFonts w:hint="eastAsia"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积极发展“旅游+农业”，推动燕子岩景区、信地茶园、上寨暖塘温泉等一批乡村旅游项目建设。</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560" w:firstLineChars="200"/>
        <w:jc w:val="left"/>
        <w:textAlignment w:val="auto"/>
        <w:rPr>
          <w:rFonts w:hint="eastAsia"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加快推进“旅游+运动”，推动燕子岩景区等涉及体旅融合的项目建设，主要表现形式为健身步道、自行车绿道、拓展运动、山地运动、休闲体育等。</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560" w:firstLineChars="200"/>
        <w:jc w:val="left"/>
        <w:textAlignment w:val="auto"/>
        <w:rPr>
          <w:rFonts w:hint="eastAsia"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加快发展“旅游+康养”，建设食疗养生、文化养生、森林养气、健康养老等项目。完善旅游服务设施。完善综合交通体系建设，结合优质旅游目的地，开通旅游客运班车、旅游公交车和观光巴士等。推进旅游风景道、</w:t>
      </w:r>
      <w:r>
        <w:rPr>
          <w:rFonts w:hint="eastAsia" w:ascii="Times New Roman" w:hAnsi="Times New Roman" w:eastAsia="仿宋_GB2312" w:cs="Times New Roman"/>
          <w:b w:val="0"/>
          <w:bCs w:val="0"/>
          <w:kern w:val="2"/>
          <w:sz w:val="28"/>
          <w:szCs w:val="28"/>
          <w:lang w:val="en-US" w:eastAsia="zh-CN" w:bidi="ar-SA"/>
        </w:rPr>
        <w:t>乡村骑行专线、交通驿站、房车营地</w:t>
      </w:r>
      <w:r>
        <w:rPr>
          <w:rFonts w:hint="eastAsia" w:ascii="Times New Roman" w:hAnsi="Times New Roman" w:eastAsia="仿宋_GB2312" w:cs="Times New Roman"/>
          <w:b w:val="0"/>
          <w:bCs w:val="0"/>
          <w:color w:val="auto"/>
          <w:kern w:val="2"/>
          <w:sz w:val="28"/>
          <w:szCs w:val="28"/>
          <w:lang w:val="en-US" w:eastAsia="zh-CN" w:bidi="ar-SA"/>
        </w:rPr>
        <w:t>等公共休闲设施建设。完善游客服务中心、停车场、酒店、餐饮等服务设施建设，满足多样化的游客服务需求。</w:t>
      </w:r>
    </w:p>
    <w:p>
      <w:pPr>
        <w:pStyle w:val="36"/>
        <w:ind w:firstLine="562"/>
        <w:jc w:val="both"/>
        <w:rPr>
          <w:rFonts w:hint="eastAsia" w:ascii="Times New Roman" w:hAnsi="Times New Roman" w:eastAsia="仿宋_GB2312" w:cs="Times New Roman"/>
          <w:bCs w:val="0"/>
          <w:color w:val="auto"/>
          <w:szCs w:val="32"/>
          <w:lang w:val="en-US" w:eastAsia="zh-CN"/>
        </w:rPr>
      </w:pPr>
      <w:r>
        <w:rPr>
          <w:rFonts w:hint="eastAsia" w:ascii="Times New Roman" w:hAnsi="Times New Roman" w:eastAsia="仿宋_GB2312" w:cs="Times New Roman"/>
          <w:bCs w:val="0"/>
          <w:color w:val="auto"/>
          <w:szCs w:val="32"/>
          <w:lang w:val="en-US" w:eastAsia="zh-CN"/>
        </w:rPr>
        <w:t>四、全域旅游空间格局</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560" w:firstLineChars="200"/>
        <w:jc w:val="left"/>
        <w:textAlignment w:val="auto"/>
        <w:rPr>
          <w:rFonts w:hint="eastAsia"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立足平富乡现有资源特色、产业基础和市场需求，研判其发展趋势。结合平富乡总体定位，立足引导产业融合、带动城乡建设，逐步构建功能完善、发展方向明确的全域联动架构。打造“一心三轴三区多点”旅游空间格局。</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560" w:firstLineChars="200"/>
        <w:jc w:val="left"/>
        <w:textAlignment w:val="auto"/>
        <w:rPr>
          <w:rFonts w:hint="eastAsia"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一心指以平富乡集镇为中心在乡域旅游发展中将其作为旅游服务中心，完善其配套设施。</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560" w:firstLineChars="200"/>
        <w:jc w:val="left"/>
        <w:textAlignment w:val="auto"/>
        <w:rPr>
          <w:rFonts w:hint="eastAsia"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两轴指以乡域内G220、X873、Y223三条主要道路为轴线，连接乡域各个旅游发展项目点。</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560" w:firstLineChars="200"/>
        <w:jc w:val="left"/>
        <w:textAlignment w:val="auto"/>
        <w:rPr>
          <w:rFonts w:hint="eastAsia"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三区指根据平富乡的国土空间格局和旅游资源分布情况，平富乡旅游发展形成三个片区，分别是：以温泉康养、果园采体验为主的西部康养体验区、以各种生态运动休闲为主的中部生态旅游区、以茶园休闲为主的农旅休闲区。</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560" w:firstLineChars="200"/>
        <w:jc w:val="left"/>
        <w:textAlignment w:val="auto"/>
        <w:rPr>
          <w:rFonts w:hint="eastAsia"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多点指平富乡分布的人文、自然景观、稀有元素等各种可开发旅游资源，包括上寨红三军团旧址群、燕子岩等，组成乡域旅游发展基点。</w:t>
      </w:r>
    </w:p>
    <w:p>
      <w:pPr>
        <w:pStyle w:val="36"/>
        <w:ind w:firstLine="562"/>
        <w:jc w:val="both"/>
        <w:rPr>
          <w:rFonts w:hint="eastAsia" w:ascii="Times New Roman" w:hAnsi="Times New Roman" w:eastAsia="仿宋_GB2312" w:cs="Times New Roman"/>
          <w:bCs w:val="0"/>
          <w:color w:val="auto"/>
          <w:szCs w:val="32"/>
          <w:lang w:val="en-US" w:eastAsia="zh-CN"/>
        </w:rPr>
      </w:pPr>
      <w:r>
        <w:rPr>
          <w:rFonts w:hint="eastAsia" w:ascii="Times New Roman" w:hAnsi="Times New Roman" w:eastAsia="仿宋_GB2312" w:cs="Times New Roman"/>
          <w:bCs w:val="0"/>
          <w:color w:val="auto"/>
          <w:szCs w:val="32"/>
          <w:lang w:val="en-US" w:eastAsia="zh-CN"/>
        </w:rPr>
        <w:t>五、旅游路线规划</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560" w:firstLineChars="200"/>
        <w:jc w:val="left"/>
        <w:textAlignment w:val="auto"/>
        <w:rPr>
          <w:rFonts w:hint="default"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平富乡</w:t>
      </w:r>
      <w:r>
        <w:rPr>
          <w:rFonts w:hint="default" w:ascii="Times New Roman" w:hAnsi="Times New Roman" w:eastAsia="仿宋_GB2312" w:cs="Times New Roman"/>
          <w:b w:val="0"/>
          <w:bCs w:val="0"/>
          <w:color w:val="auto"/>
          <w:kern w:val="2"/>
          <w:sz w:val="28"/>
          <w:szCs w:val="28"/>
          <w:lang w:val="en-US" w:eastAsia="zh-CN" w:bidi="ar-SA"/>
        </w:rPr>
        <w:t>休闲游线。</w:t>
      </w:r>
      <w:r>
        <w:rPr>
          <w:rFonts w:hint="eastAsia" w:ascii="Times New Roman" w:hAnsi="Times New Roman" w:eastAsia="仿宋_GB2312" w:cs="Times New Roman"/>
          <w:b w:val="0"/>
          <w:bCs w:val="0"/>
          <w:color w:val="auto"/>
          <w:kern w:val="2"/>
          <w:sz w:val="28"/>
          <w:szCs w:val="28"/>
          <w:lang w:val="en-US" w:eastAsia="zh-CN" w:bidi="ar-SA"/>
        </w:rPr>
        <w:t>集镇</w:t>
      </w:r>
      <w:r>
        <w:rPr>
          <w:rFonts w:hint="default" w:ascii="Times New Roman" w:hAnsi="Times New Roman" w:eastAsia="仿宋_GB2312" w:cs="Times New Roman"/>
          <w:b w:val="0"/>
          <w:bCs w:val="0"/>
          <w:color w:val="auto"/>
          <w:kern w:val="2"/>
          <w:sz w:val="28"/>
          <w:szCs w:val="28"/>
          <w:lang w:val="en-US" w:eastAsia="zh-CN" w:bidi="ar-SA"/>
        </w:rPr>
        <w:t>（</w:t>
      </w:r>
      <w:r>
        <w:rPr>
          <w:rFonts w:hint="eastAsia" w:ascii="Times New Roman" w:hAnsi="Times New Roman" w:eastAsia="仿宋_GB2312" w:cs="Times New Roman"/>
          <w:b w:val="0"/>
          <w:bCs w:val="0"/>
          <w:color w:val="auto"/>
          <w:kern w:val="2"/>
          <w:sz w:val="28"/>
          <w:szCs w:val="28"/>
          <w:lang w:val="en-US" w:eastAsia="zh-CN" w:bidi="ar-SA"/>
        </w:rPr>
        <w:t>平富</w:t>
      </w:r>
      <w:r>
        <w:rPr>
          <w:rFonts w:hint="default" w:ascii="Times New Roman" w:hAnsi="Times New Roman" w:eastAsia="仿宋_GB2312" w:cs="Times New Roman"/>
          <w:b w:val="0"/>
          <w:bCs w:val="0"/>
          <w:color w:val="auto"/>
          <w:kern w:val="2"/>
          <w:sz w:val="28"/>
          <w:szCs w:val="28"/>
          <w:lang w:val="en-US" w:eastAsia="zh-CN" w:bidi="ar-SA"/>
        </w:rPr>
        <w:t>综合旅游服务集散中心）</w:t>
      </w:r>
      <w:r>
        <w:rPr>
          <w:rFonts w:hint="eastAsia" w:ascii="Times New Roman" w:hAnsi="Times New Roman" w:eastAsia="仿宋_GB2312" w:cs="Times New Roman"/>
          <w:b w:val="0"/>
          <w:bCs w:val="0"/>
          <w:color w:val="auto"/>
          <w:kern w:val="2"/>
          <w:sz w:val="28"/>
          <w:szCs w:val="28"/>
          <w:lang w:val="en-US" w:eastAsia="zh-CN" w:bidi="ar-SA"/>
        </w:rPr>
        <w:t>——燕子岩</w:t>
      </w:r>
      <w:r>
        <w:rPr>
          <w:rFonts w:hint="default" w:ascii="Times New Roman" w:hAnsi="Times New Roman" w:eastAsia="仿宋_GB2312" w:cs="Times New Roman"/>
          <w:b w:val="0"/>
          <w:bCs w:val="0"/>
          <w:color w:val="auto"/>
          <w:kern w:val="2"/>
          <w:sz w:val="28"/>
          <w:szCs w:val="28"/>
          <w:lang w:val="en-US" w:eastAsia="zh-CN" w:bidi="ar-SA"/>
        </w:rPr>
        <w:t>——</w:t>
      </w:r>
      <w:r>
        <w:rPr>
          <w:rFonts w:hint="eastAsia" w:ascii="Times New Roman" w:hAnsi="Times New Roman" w:eastAsia="仿宋_GB2312" w:cs="Times New Roman"/>
          <w:b w:val="0"/>
          <w:bCs w:val="0"/>
          <w:color w:val="auto"/>
          <w:kern w:val="2"/>
          <w:sz w:val="28"/>
          <w:szCs w:val="28"/>
          <w:lang w:val="en-US" w:eastAsia="zh-CN" w:bidi="ar-SA"/>
        </w:rPr>
        <w:t>上寨红三军团旧址群</w:t>
      </w:r>
      <w:r>
        <w:rPr>
          <w:rFonts w:hint="default" w:ascii="Times New Roman" w:hAnsi="Times New Roman" w:eastAsia="仿宋_GB2312" w:cs="Times New Roman"/>
          <w:b w:val="0"/>
          <w:bCs w:val="0"/>
          <w:color w:val="auto"/>
          <w:kern w:val="2"/>
          <w:sz w:val="28"/>
          <w:szCs w:val="28"/>
          <w:lang w:val="en-US" w:eastAsia="zh-CN" w:bidi="ar-SA"/>
        </w:rPr>
        <w:t>——</w:t>
      </w:r>
      <w:r>
        <w:rPr>
          <w:rFonts w:hint="eastAsia" w:ascii="Times New Roman" w:hAnsi="Times New Roman" w:eastAsia="仿宋_GB2312" w:cs="Times New Roman"/>
          <w:b w:val="0"/>
          <w:bCs w:val="0"/>
          <w:color w:val="auto"/>
          <w:kern w:val="2"/>
          <w:sz w:val="28"/>
          <w:szCs w:val="28"/>
          <w:lang w:val="en-US" w:eastAsia="zh-CN" w:bidi="ar-SA"/>
        </w:rPr>
        <w:t>暖塘温泉</w:t>
      </w:r>
      <w:r>
        <w:rPr>
          <w:rFonts w:hint="default" w:ascii="Times New Roman" w:hAnsi="Times New Roman" w:eastAsia="仿宋_GB2312" w:cs="Times New Roman"/>
          <w:b w:val="0"/>
          <w:bCs w:val="0"/>
          <w:color w:val="auto"/>
          <w:kern w:val="2"/>
          <w:sz w:val="28"/>
          <w:szCs w:val="28"/>
          <w:lang w:val="en-US" w:eastAsia="zh-CN" w:bidi="ar-SA"/>
        </w:rPr>
        <w:t>——兰溪瀑布——</w:t>
      </w:r>
      <w:r>
        <w:rPr>
          <w:rFonts w:hint="eastAsia" w:ascii="Times New Roman" w:hAnsi="Times New Roman" w:eastAsia="仿宋_GB2312" w:cs="Times New Roman"/>
          <w:b w:val="0"/>
          <w:bCs w:val="0"/>
          <w:color w:val="auto"/>
          <w:kern w:val="2"/>
          <w:sz w:val="28"/>
          <w:szCs w:val="28"/>
          <w:lang w:val="en-US" w:eastAsia="zh-CN" w:bidi="ar-SA"/>
        </w:rPr>
        <w:t>信地茶园</w:t>
      </w:r>
      <w:r>
        <w:rPr>
          <w:rFonts w:hint="default" w:ascii="Times New Roman" w:hAnsi="Times New Roman" w:eastAsia="仿宋_GB2312" w:cs="Times New Roman"/>
          <w:b w:val="0"/>
          <w:bCs w:val="0"/>
          <w:color w:val="auto"/>
          <w:kern w:val="2"/>
          <w:sz w:val="28"/>
          <w:szCs w:val="28"/>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560" w:firstLineChars="200"/>
        <w:jc w:val="left"/>
        <w:textAlignment w:val="auto"/>
        <w:rPr>
          <w:rFonts w:hint="default" w:ascii="Times New Roman" w:hAnsi="Times New Roman" w:eastAsia="仿宋_GB2312" w:cs="Times New Roman"/>
          <w:b w:val="0"/>
          <w:bCs w:val="0"/>
          <w:color w:val="auto"/>
          <w:kern w:val="2"/>
          <w:sz w:val="28"/>
          <w:szCs w:val="28"/>
          <w:lang w:val="en-US" w:eastAsia="zh-CN" w:bidi="ar-SA"/>
        </w:rPr>
      </w:pPr>
    </w:p>
    <w:p>
      <w:pPr>
        <w:keepNext w:val="0"/>
        <w:keepLines w:val="0"/>
        <w:pageBreakBefore w:val="0"/>
        <w:widowControl/>
        <w:suppressLineNumbers w:val="0"/>
        <w:kinsoku/>
        <w:wordWrap/>
        <w:overflowPunct/>
        <w:topLinePunct w:val="0"/>
        <w:autoSpaceDE/>
        <w:autoSpaceDN/>
        <w:bidi w:val="0"/>
        <w:adjustRightInd/>
        <w:snapToGrid w:val="0"/>
        <w:spacing w:line="480" w:lineRule="exact"/>
        <w:ind w:left="0" w:leftChars="0" w:firstLine="560" w:firstLineChars="200"/>
        <w:jc w:val="left"/>
        <w:textAlignment w:val="auto"/>
        <w:rPr>
          <w:rFonts w:hint="eastAsia" w:ascii="Times New Roman" w:hAnsi="Times New Roman" w:eastAsia="仿宋_GB2312" w:cs="Times New Roman"/>
          <w:b w:val="0"/>
          <w:bCs w:val="0"/>
          <w:color w:val="auto"/>
          <w:kern w:val="2"/>
          <w:sz w:val="28"/>
          <w:szCs w:val="28"/>
          <w:lang w:val="en-US" w:eastAsia="zh-CN" w:bidi="ar-SA"/>
        </w:rPr>
      </w:pPr>
    </w:p>
    <w:p>
      <w:pPr>
        <w:pStyle w:val="33"/>
        <w:spacing w:before="156" w:beforeLines="50" w:after="156" w:afterLines="50" w:line="520" w:lineRule="exact"/>
        <w:rPr>
          <w:rFonts w:hint="eastAsia" w:ascii="Times New Roman" w:hAnsi="Times New Roman"/>
          <w:color w:val="auto"/>
          <w:kern w:val="2"/>
          <w:szCs w:val="32"/>
          <w:lang w:val="en-US" w:eastAsia="zh-CN"/>
        </w:rPr>
      </w:pPr>
      <w:bookmarkStart w:id="56" w:name="_Toc5708"/>
      <w:r>
        <w:rPr>
          <w:rFonts w:hint="eastAsia" w:ascii="Times New Roman" w:hAnsi="Times New Roman"/>
          <w:color w:val="auto"/>
          <w:kern w:val="2"/>
          <w:szCs w:val="32"/>
          <w:lang w:val="en-US" w:eastAsia="zh-CN"/>
        </w:rPr>
        <w:t>第三节 强化城乡风貌指引与管控</w:t>
      </w:r>
      <w:bookmarkEnd w:id="56"/>
    </w:p>
    <w:p>
      <w:pPr>
        <w:pStyle w:val="36"/>
        <w:ind w:firstLine="562"/>
        <w:jc w:val="both"/>
        <w:rPr>
          <w:rFonts w:hint="eastAsia" w:ascii="Times New Roman" w:hAnsi="Times New Roman" w:eastAsia="仿宋_GB2312" w:cs="Times New Roman"/>
          <w:bCs w:val="0"/>
          <w:color w:val="auto"/>
          <w:szCs w:val="32"/>
          <w:lang w:val="en-US" w:eastAsia="zh-CN"/>
        </w:rPr>
      </w:pPr>
      <w:r>
        <w:rPr>
          <w:rFonts w:hint="eastAsia" w:ascii="Times New Roman" w:hAnsi="Times New Roman" w:eastAsia="仿宋_GB2312" w:cs="Times New Roman"/>
          <w:bCs w:val="0"/>
          <w:color w:val="auto"/>
          <w:szCs w:val="32"/>
          <w:lang w:val="en-US" w:eastAsia="zh-CN"/>
        </w:rPr>
        <w:t>一、全域打造三类城乡景观风貌区</w:t>
      </w:r>
    </w:p>
    <w:p>
      <w:pPr>
        <w:pStyle w:val="17"/>
        <w:keepNext w:val="0"/>
        <w:keepLines w:val="0"/>
        <w:pageBreakBefore w:val="0"/>
        <w:widowControl w:val="0"/>
        <w:kinsoku/>
        <w:wordWrap/>
        <w:overflowPunct/>
        <w:topLinePunct w:val="0"/>
        <w:autoSpaceDE w:val="0"/>
        <w:autoSpaceDN w:val="0"/>
        <w:bidi w:val="0"/>
        <w:adjustRightInd/>
        <w:snapToGrid w:val="0"/>
        <w:spacing w:after="0" w:line="480" w:lineRule="exact"/>
        <w:ind w:left="0" w:leftChars="0" w:firstLine="562" w:firstLineChars="200"/>
        <w:jc w:val="left"/>
        <w:textAlignment w:val="auto"/>
        <w:outlineLvl w:val="9"/>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1、城镇风貌区</w:t>
      </w:r>
    </w:p>
    <w:p>
      <w:pPr>
        <w:pStyle w:val="17"/>
        <w:keepNext w:val="0"/>
        <w:keepLines w:val="0"/>
        <w:pageBreakBefore w:val="0"/>
        <w:widowControl w:val="0"/>
        <w:kinsoku/>
        <w:wordWrap/>
        <w:overflowPunct/>
        <w:topLinePunct w:val="0"/>
        <w:autoSpaceDE w:val="0"/>
        <w:autoSpaceDN w:val="0"/>
        <w:bidi w:val="0"/>
        <w:adjustRightInd/>
        <w:snapToGrid w:val="0"/>
        <w:spacing w:after="0" w:line="480" w:lineRule="exact"/>
        <w:ind w:left="0" w:leftChars="0" w:firstLine="560" w:firstLineChars="200"/>
        <w:jc w:val="left"/>
        <w:textAlignment w:val="auto"/>
        <w:outlineLvl w:val="9"/>
        <w:rPr>
          <w:rFonts w:hint="eastAsia" w:ascii="Times New Roman" w:hAnsi="Times New Roman" w:eastAsia="仿宋_GB2312" w:cs="Times New Roman"/>
          <w:b w:val="0"/>
          <w:bCs w:val="0"/>
          <w:kern w:val="2"/>
          <w:sz w:val="28"/>
          <w:szCs w:val="28"/>
          <w:lang w:val="en-US" w:eastAsia="zh-CN" w:bidi="ar-SA"/>
        </w:rPr>
      </w:pPr>
      <w:r>
        <w:rPr>
          <w:rFonts w:hint="eastAsia" w:ascii="Times New Roman" w:hAnsi="Times New Roman" w:eastAsia="仿宋_GB2312" w:cs="Times New Roman"/>
          <w:b w:val="0"/>
          <w:bCs w:val="0"/>
          <w:kern w:val="2"/>
          <w:sz w:val="28"/>
          <w:szCs w:val="28"/>
          <w:lang w:val="en-US" w:eastAsia="zh-CN" w:bidi="ar-SA"/>
        </w:rPr>
        <w:t>主要包括集镇及周边村庄，强化对城镇建设的管控引导，高品质塑造田园特色空间，形成镇园融为一体的现代城镇风貌。集镇作为全域综合服务中心，办公建筑的规划设计要体现秩序、高效、廉洁和开敞的现代化行政文化中心区新形象，建筑风格要求富有浓厚的客家文化气息；文化建筑要在功能上同周边建筑取得联系、建筑风格上相协调；大型商业设施，要注重将居民使用频率最高的建筑融入上犹的传统文化，塑造有特色、有文化的魅力商业街区。</w:t>
      </w:r>
    </w:p>
    <w:p>
      <w:pPr>
        <w:pStyle w:val="17"/>
        <w:keepNext w:val="0"/>
        <w:keepLines w:val="0"/>
        <w:pageBreakBefore w:val="0"/>
        <w:widowControl w:val="0"/>
        <w:kinsoku/>
        <w:wordWrap/>
        <w:overflowPunct/>
        <w:topLinePunct w:val="0"/>
        <w:autoSpaceDE w:val="0"/>
        <w:autoSpaceDN w:val="0"/>
        <w:bidi w:val="0"/>
        <w:adjustRightInd/>
        <w:snapToGrid w:val="0"/>
        <w:spacing w:after="0" w:line="480" w:lineRule="exact"/>
        <w:ind w:left="0" w:leftChars="0" w:firstLine="562" w:firstLineChars="200"/>
        <w:jc w:val="left"/>
        <w:textAlignment w:val="auto"/>
        <w:outlineLvl w:val="9"/>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2、生态山村景观风貌区</w:t>
      </w:r>
    </w:p>
    <w:p>
      <w:pPr>
        <w:pStyle w:val="17"/>
        <w:keepNext w:val="0"/>
        <w:keepLines w:val="0"/>
        <w:pageBreakBefore w:val="0"/>
        <w:widowControl w:val="0"/>
        <w:kinsoku/>
        <w:wordWrap/>
        <w:overflowPunct/>
        <w:topLinePunct w:val="0"/>
        <w:autoSpaceDE w:val="0"/>
        <w:autoSpaceDN w:val="0"/>
        <w:bidi w:val="0"/>
        <w:adjustRightInd/>
        <w:snapToGrid w:val="0"/>
        <w:spacing w:after="0" w:line="480" w:lineRule="exact"/>
        <w:ind w:left="0" w:leftChars="0" w:firstLine="560" w:firstLineChars="200"/>
        <w:jc w:val="left"/>
        <w:textAlignment w:val="auto"/>
        <w:outlineLvl w:val="9"/>
        <w:rPr>
          <w:rFonts w:hint="eastAsia"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主要包括乡域北部地区，重点加强森林、山体的生态涵养与保育，加强农林景观融合，维护田地、坑塘、林地的自然原真性，有序引导和凸显村庄特色，展现村庄与自然山林相互依存的自然山村风貌意向。</w:t>
      </w:r>
    </w:p>
    <w:p>
      <w:pPr>
        <w:pStyle w:val="17"/>
        <w:keepNext w:val="0"/>
        <w:keepLines w:val="0"/>
        <w:pageBreakBefore w:val="0"/>
        <w:widowControl w:val="0"/>
        <w:kinsoku/>
        <w:wordWrap/>
        <w:overflowPunct/>
        <w:topLinePunct w:val="0"/>
        <w:autoSpaceDE w:val="0"/>
        <w:autoSpaceDN w:val="0"/>
        <w:bidi w:val="0"/>
        <w:adjustRightInd/>
        <w:snapToGrid w:val="0"/>
        <w:spacing w:after="0" w:line="480" w:lineRule="exact"/>
        <w:ind w:left="0" w:leftChars="0" w:firstLine="560" w:firstLineChars="200"/>
        <w:jc w:val="left"/>
        <w:textAlignment w:val="auto"/>
        <w:outlineLvl w:val="9"/>
        <w:rPr>
          <w:rFonts w:hint="eastAsia"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片区建筑以多、低层为主，严格管控切坡建房。乡村建筑外立面色彩以灰白色调为主并寻求局部的变化，结合建筑屋顶造型，底部为砖石外墙饰面，建筑整体具有轻盈精致感，形成和谐而具有变化的外立面效果。在改造或新建建筑中融入客家文化元素，加入青砖、黛瓦、石雕和花窗木门等传统材料，尽显客家特色。</w:t>
      </w:r>
    </w:p>
    <w:p>
      <w:pPr>
        <w:keepNext w:val="0"/>
        <w:keepLines w:val="0"/>
        <w:pageBreakBefore w:val="0"/>
        <w:kinsoku/>
        <w:wordWrap/>
        <w:overflowPunct/>
        <w:topLinePunct w:val="0"/>
        <w:bidi w:val="0"/>
        <w:adjustRightInd/>
        <w:snapToGrid w:val="0"/>
        <w:spacing w:line="480" w:lineRule="exact"/>
        <w:ind w:left="0" w:leftChars="0" w:firstLine="562" w:firstLineChars="200"/>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3、果园乡村景观风貌区</w:t>
      </w:r>
    </w:p>
    <w:p>
      <w:pPr>
        <w:pStyle w:val="17"/>
        <w:keepNext w:val="0"/>
        <w:keepLines w:val="0"/>
        <w:pageBreakBefore w:val="0"/>
        <w:widowControl w:val="0"/>
        <w:numPr>
          <w:ilvl w:val="0"/>
          <w:numId w:val="0"/>
        </w:numPr>
        <w:kinsoku/>
        <w:wordWrap/>
        <w:overflowPunct/>
        <w:topLinePunct w:val="0"/>
        <w:autoSpaceDE w:val="0"/>
        <w:autoSpaceDN w:val="0"/>
        <w:bidi w:val="0"/>
        <w:adjustRightInd/>
        <w:snapToGrid w:val="0"/>
        <w:spacing w:after="0" w:line="480" w:lineRule="exact"/>
        <w:ind w:leftChars="0" w:firstLine="560" w:firstLineChars="200"/>
        <w:jc w:val="left"/>
        <w:textAlignment w:val="auto"/>
        <w:outlineLvl w:val="9"/>
        <w:rPr>
          <w:rFonts w:hint="eastAsia"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塑造“绿野山林，果园花丛、层峦叠嶂”的总体意向。果园阡陌与村落自然融合。主要包括乡域南部区域，加强果园乡村景观融合，突出特色景观塑造及与重要景观资源点之间游线网络的衔接。</w:t>
      </w:r>
    </w:p>
    <w:p>
      <w:pPr>
        <w:pStyle w:val="17"/>
        <w:keepNext w:val="0"/>
        <w:keepLines w:val="0"/>
        <w:pageBreakBefore w:val="0"/>
        <w:widowControl w:val="0"/>
        <w:kinsoku/>
        <w:wordWrap/>
        <w:overflowPunct/>
        <w:topLinePunct w:val="0"/>
        <w:autoSpaceDE w:val="0"/>
        <w:autoSpaceDN w:val="0"/>
        <w:bidi w:val="0"/>
        <w:adjustRightInd/>
        <w:snapToGrid w:val="0"/>
        <w:spacing w:after="0" w:line="480" w:lineRule="exact"/>
        <w:ind w:left="0" w:leftChars="0" w:firstLine="560" w:firstLineChars="200"/>
        <w:jc w:val="left"/>
        <w:textAlignment w:val="auto"/>
        <w:outlineLvl w:val="9"/>
        <w:rPr>
          <w:rFonts w:hint="eastAsia"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片区建筑以多、低层为主，严格管控切坡建房。乡村建筑外立面色彩以灰白色调为主并寻求局部的变化，结合建筑屋顶造型，底部为砖石外墙饰面，建筑整体具有轻盈精致感，形成和谐而具有变化的外立面效果。在改造或新建建筑中融入客家文化元素，加入青砖、黛瓦、石雕和花窗木门等传统材料，尽显客家特色。</w:t>
      </w:r>
    </w:p>
    <w:p>
      <w:pPr>
        <w:pStyle w:val="36"/>
        <w:ind w:firstLine="562"/>
        <w:jc w:val="both"/>
        <w:rPr>
          <w:rFonts w:hint="eastAsia" w:ascii="Times New Roman" w:hAnsi="Times New Roman" w:eastAsia="仿宋_GB2312" w:cs="Times New Roman"/>
          <w:bCs w:val="0"/>
          <w:color w:val="auto"/>
          <w:szCs w:val="32"/>
          <w:lang w:val="en-US" w:eastAsia="zh-CN"/>
        </w:rPr>
      </w:pPr>
      <w:r>
        <w:rPr>
          <w:rFonts w:hint="eastAsia" w:ascii="Times New Roman" w:hAnsi="Times New Roman" w:eastAsia="仿宋_GB2312" w:cs="Times New Roman"/>
          <w:bCs w:val="0"/>
          <w:color w:val="auto"/>
          <w:szCs w:val="32"/>
          <w:lang w:val="en-US" w:eastAsia="zh-CN"/>
        </w:rPr>
        <w:t>二、乡村建筑风貌管控指引</w:t>
      </w:r>
    </w:p>
    <w:p>
      <w:pPr>
        <w:pStyle w:val="17"/>
        <w:keepNext w:val="0"/>
        <w:keepLines w:val="0"/>
        <w:pageBreakBefore w:val="0"/>
        <w:widowControl w:val="0"/>
        <w:kinsoku/>
        <w:wordWrap/>
        <w:overflowPunct/>
        <w:topLinePunct w:val="0"/>
        <w:autoSpaceDE w:val="0"/>
        <w:autoSpaceDN w:val="0"/>
        <w:bidi w:val="0"/>
        <w:adjustRightInd/>
        <w:snapToGrid w:val="0"/>
        <w:spacing w:after="0" w:line="480" w:lineRule="exact"/>
        <w:ind w:left="0" w:leftChars="0" w:firstLine="560" w:firstLineChars="200"/>
        <w:jc w:val="left"/>
        <w:textAlignment w:val="auto"/>
        <w:outlineLvl w:val="9"/>
        <w:rPr>
          <w:rFonts w:hint="default" w:ascii="Times New Roman" w:hAnsi="Times New Roman" w:eastAsia="仿宋_GB2312" w:cs="Times New Roman"/>
          <w:b w:val="0"/>
          <w:bCs w:val="0"/>
          <w:color w:val="auto"/>
          <w:kern w:val="2"/>
          <w:sz w:val="28"/>
          <w:szCs w:val="28"/>
          <w:lang w:val="en-US" w:eastAsia="zh-CN" w:bidi="ar-SA"/>
        </w:rPr>
      </w:pPr>
      <w:r>
        <w:rPr>
          <w:rFonts w:hint="default" w:ascii="Times New Roman" w:hAnsi="Times New Roman" w:eastAsia="仿宋_GB2312" w:cs="Times New Roman"/>
          <w:b w:val="0"/>
          <w:bCs w:val="0"/>
          <w:color w:val="auto"/>
          <w:kern w:val="2"/>
          <w:sz w:val="28"/>
          <w:szCs w:val="28"/>
          <w:lang w:val="en-US" w:eastAsia="zh-CN" w:bidi="ar-SA"/>
        </w:rPr>
        <w:t>1、农房建筑风貌应满足《江西省农房设计和建设技术导则》（省住房和城乡建设厅 2021 年12 月）等相关乡村风貌管控文件的要求。</w:t>
      </w:r>
    </w:p>
    <w:p>
      <w:pPr>
        <w:pStyle w:val="17"/>
        <w:keepNext w:val="0"/>
        <w:keepLines w:val="0"/>
        <w:pageBreakBefore w:val="0"/>
        <w:widowControl w:val="0"/>
        <w:kinsoku/>
        <w:wordWrap/>
        <w:overflowPunct/>
        <w:topLinePunct w:val="0"/>
        <w:autoSpaceDE w:val="0"/>
        <w:autoSpaceDN w:val="0"/>
        <w:bidi w:val="0"/>
        <w:adjustRightInd/>
        <w:snapToGrid w:val="0"/>
        <w:spacing w:after="0" w:line="480" w:lineRule="exact"/>
        <w:ind w:left="0" w:leftChars="0" w:firstLine="560" w:firstLineChars="200"/>
        <w:jc w:val="left"/>
        <w:textAlignment w:val="auto"/>
        <w:outlineLvl w:val="9"/>
        <w:rPr>
          <w:rFonts w:hint="default" w:ascii="Times New Roman" w:hAnsi="Times New Roman" w:eastAsia="仿宋_GB2312" w:cs="Times New Roman"/>
          <w:b w:val="0"/>
          <w:bCs w:val="0"/>
          <w:color w:val="auto"/>
          <w:kern w:val="2"/>
          <w:sz w:val="28"/>
          <w:szCs w:val="28"/>
          <w:lang w:val="en-US" w:eastAsia="zh-CN" w:bidi="ar-SA"/>
        </w:rPr>
      </w:pPr>
      <w:r>
        <w:rPr>
          <w:rFonts w:hint="default" w:ascii="Times New Roman" w:hAnsi="Times New Roman" w:eastAsia="仿宋_GB2312" w:cs="Times New Roman"/>
          <w:b w:val="0"/>
          <w:bCs w:val="0"/>
          <w:color w:val="auto"/>
          <w:kern w:val="2"/>
          <w:sz w:val="28"/>
          <w:szCs w:val="28"/>
          <w:lang w:val="en-US" w:eastAsia="zh-CN" w:bidi="ar-SA"/>
        </w:rPr>
        <w:t>2、在实施农房改造建设中，应遵循“先民族后分区”的原则，即民族特色特别浓郁，少数民族群众占比较高的地区，应按照当地民族特色确定其农房改造和新建的风格；其他地区按照风貌分区所确定的风格实施改造和新建，同时遵循以下规定：</w:t>
      </w:r>
    </w:p>
    <w:p>
      <w:pPr>
        <w:pStyle w:val="17"/>
        <w:keepNext w:val="0"/>
        <w:keepLines w:val="0"/>
        <w:pageBreakBefore w:val="0"/>
        <w:widowControl w:val="0"/>
        <w:kinsoku/>
        <w:wordWrap/>
        <w:overflowPunct/>
        <w:topLinePunct w:val="0"/>
        <w:autoSpaceDE w:val="0"/>
        <w:autoSpaceDN w:val="0"/>
        <w:bidi w:val="0"/>
        <w:adjustRightInd/>
        <w:snapToGrid w:val="0"/>
        <w:spacing w:after="0" w:line="480" w:lineRule="exact"/>
        <w:ind w:left="0" w:leftChars="0" w:firstLine="562" w:firstLineChars="200"/>
        <w:jc w:val="left"/>
        <w:textAlignment w:val="auto"/>
        <w:outlineLvl w:val="9"/>
        <w:rPr>
          <w:rFonts w:hint="default" w:ascii="Times New Roman" w:hAnsi="Times New Roman" w:eastAsia="仿宋_GB2312" w:cs="Times New Roman"/>
          <w:b w:val="0"/>
          <w:bCs w:val="0"/>
          <w:color w:val="auto"/>
          <w:kern w:val="2"/>
          <w:sz w:val="28"/>
          <w:szCs w:val="28"/>
          <w:lang w:val="en-US" w:eastAsia="zh-CN" w:bidi="ar-SA"/>
        </w:rPr>
      </w:pPr>
      <w:r>
        <w:rPr>
          <w:rFonts w:hint="default" w:ascii="Times New Roman" w:hAnsi="Times New Roman" w:eastAsia="仿宋_GB2312" w:cs="Times New Roman"/>
          <w:b/>
          <w:bCs/>
          <w:color w:val="auto"/>
          <w:kern w:val="2"/>
          <w:sz w:val="28"/>
          <w:szCs w:val="28"/>
          <w:lang w:val="en-US" w:eastAsia="zh-CN" w:bidi="ar-SA"/>
        </w:rPr>
        <w:t>尊重历史，传承文化。</w:t>
      </w:r>
      <w:r>
        <w:rPr>
          <w:rFonts w:hint="default" w:ascii="Times New Roman" w:hAnsi="Times New Roman" w:eastAsia="仿宋_GB2312" w:cs="Times New Roman"/>
          <w:b w:val="0"/>
          <w:bCs w:val="0"/>
          <w:color w:val="auto"/>
          <w:kern w:val="2"/>
          <w:sz w:val="28"/>
          <w:szCs w:val="28"/>
          <w:lang w:val="en-US" w:eastAsia="zh-CN" w:bidi="ar-SA"/>
        </w:rPr>
        <w:t>深入挖掘乡村优秀传统文化，强调文化保护与传承，体现</w:t>
      </w:r>
      <w:r>
        <w:rPr>
          <w:rFonts w:hint="eastAsia" w:ascii="Times New Roman" w:hAnsi="Times New Roman" w:eastAsia="仿宋_GB2312" w:cs="Times New Roman"/>
          <w:b w:val="0"/>
          <w:bCs w:val="0"/>
          <w:color w:val="auto"/>
          <w:kern w:val="2"/>
          <w:sz w:val="28"/>
          <w:szCs w:val="28"/>
          <w:lang w:val="en-US" w:eastAsia="zh-CN" w:bidi="ar-SA"/>
        </w:rPr>
        <w:t>区域</w:t>
      </w:r>
      <w:r>
        <w:rPr>
          <w:rFonts w:hint="default" w:ascii="Times New Roman" w:hAnsi="Times New Roman" w:eastAsia="仿宋_GB2312" w:cs="Times New Roman"/>
          <w:b w:val="0"/>
          <w:bCs w:val="0"/>
          <w:color w:val="auto"/>
          <w:kern w:val="2"/>
          <w:sz w:val="28"/>
          <w:szCs w:val="28"/>
          <w:lang w:val="en-US" w:eastAsia="zh-CN" w:bidi="ar-SA"/>
        </w:rPr>
        <w:t>与民族差异性，展现乡村传统格局和风貌多样性，避免“千村一面”，建设有乡愁记忆、文化脉络、地域风貌、民族特色的美丽乡村。</w:t>
      </w:r>
    </w:p>
    <w:p>
      <w:pPr>
        <w:pStyle w:val="17"/>
        <w:keepNext w:val="0"/>
        <w:keepLines w:val="0"/>
        <w:pageBreakBefore w:val="0"/>
        <w:widowControl w:val="0"/>
        <w:kinsoku/>
        <w:wordWrap/>
        <w:overflowPunct/>
        <w:topLinePunct w:val="0"/>
        <w:autoSpaceDE w:val="0"/>
        <w:autoSpaceDN w:val="0"/>
        <w:bidi w:val="0"/>
        <w:adjustRightInd/>
        <w:snapToGrid w:val="0"/>
        <w:spacing w:after="0" w:line="480" w:lineRule="exact"/>
        <w:ind w:left="0" w:leftChars="0" w:firstLine="562" w:firstLineChars="200"/>
        <w:jc w:val="left"/>
        <w:textAlignment w:val="auto"/>
        <w:outlineLvl w:val="9"/>
        <w:rPr>
          <w:rFonts w:hint="default" w:ascii="Times New Roman" w:hAnsi="Times New Roman" w:eastAsia="仿宋_GB2312" w:cs="Times New Roman"/>
          <w:b w:val="0"/>
          <w:bCs w:val="0"/>
          <w:color w:val="auto"/>
          <w:kern w:val="2"/>
          <w:sz w:val="28"/>
          <w:szCs w:val="28"/>
          <w:lang w:val="en-US" w:eastAsia="zh-CN" w:bidi="ar-SA"/>
        </w:rPr>
      </w:pPr>
      <w:r>
        <w:rPr>
          <w:rFonts w:hint="default" w:ascii="Times New Roman" w:hAnsi="Times New Roman" w:eastAsia="仿宋_GB2312" w:cs="Times New Roman"/>
          <w:b/>
          <w:bCs/>
          <w:color w:val="auto"/>
          <w:kern w:val="2"/>
          <w:sz w:val="28"/>
          <w:szCs w:val="28"/>
          <w:lang w:val="en-US" w:eastAsia="zh-CN" w:bidi="ar-SA"/>
        </w:rPr>
        <w:t>因地制宜、经济可行。</w:t>
      </w:r>
      <w:r>
        <w:rPr>
          <w:rFonts w:hint="default" w:ascii="Times New Roman" w:hAnsi="Times New Roman" w:eastAsia="仿宋_GB2312" w:cs="Times New Roman"/>
          <w:b w:val="0"/>
          <w:bCs w:val="0"/>
          <w:color w:val="auto"/>
          <w:kern w:val="2"/>
          <w:sz w:val="28"/>
          <w:szCs w:val="28"/>
          <w:lang w:val="en-US" w:eastAsia="zh-CN" w:bidi="ar-SA"/>
        </w:rPr>
        <w:t>按照节地、节能、节水、节材的要求，设计经济适用的改造和建设方案，既塑造风貌特色，也与地方经济发展水平相适应。</w:t>
      </w:r>
    </w:p>
    <w:p>
      <w:pPr>
        <w:pStyle w:val="17"/>
        <w:keepNext w:val="0"/>
        <w:keepLines w:val="0"/>
        <w:pageBreakBefore w:val="0"/>
        <w:widowControl w:val="0"/>
        <w:kinsoku/>
        <w:wordWrap/>
        <w:overflowPunct/>
        <w:topLinePunct w:val="0"/>
        <w:autoSpaceDE w:val="0"/>
        <w:autoSpaceDN w:val="0"/>
        <w:bidi w:val="0"/>
        <w:adjustRightInd/>
        <w:snapToGrid w:val="0"/>
        <w:spacing w:after="0" w:line="480" w:lineRule="exact"/>
        <w:ind w:left="0" w:leftChars="0" w:firstLine="562" w:firstLineChars="200"/>
        <w:jc w:val="left"/>
        <w:textAlignment w:val="auto"/>
        <w:outlineLvl w:val="9"/>
        <w:rPr>
          <w:rFonts w:hint="default" w:ascii="Times New Roman" w:hAnsi="Times New Roman" w:eastAsia="仿宋_GB2312" w:cs="Times New Roman"/>
          <w:b w:val="0"/>
          <w:bCs w:val="0"/>
          <w:color w:val="auto"/>
          <w:kern w:val="2"/>
          <w:sz w:val="28"/>
          <w:szCs w:val="28"/>
          <w:lang w:val="en-US" w:eastAsia="zh-CN" w:bidi="ar-SA"/>
        </w:rPr>
      </w:pPr>
      <w:r>
        <w:rPr>
          <w:rFonts w:hint="default" w:ascii="Times New Roman" w:hAnsi="Times New Roman" w:eastAsia="仿宋_GB2312" w:cs="Times New Roman"/>
          <w:b/>
          <w:bCs/>
          <w:color w:val="auto"/>
          <w:kern w:val="2"/>
          <w:sz w:val="28"/>
          <w:szCs w:val="28"/>
          <w:lang w:val="en-US" w:eastAsia="zh-CN" w:bidi="ar-SA"/>
        </w:rPr>
        <w:t>技术创新、持久耐用。</w:t>
      </w:r>
      <w:r>
        <w:rPr>
          <w:rFonts w:hint="default" w:ascii="Times New Roman" w:hAnsi="Times New Roman" w:eastAsia="仿宋_GB2312" w:cs="Times New Roman"/>
          <w:b w:val="0"/>
          <w:bCs w:val="0"/>
          <w:color w:val="auto"/>
          <w:kern w:val="2"/>
          <w:sz w:val="28"/>
          <w:szCs w:val="28"/>
          <w:lang w:val="en-US" w:eastAsia="zh-CN" w:bidi="ar-SA"/>
        </w:rPr>
        <w:t>尊重农村发展规律，把握好建设力度，注重新材料、新技术、新工艺的运用，满足绿色环保节能要求，实现特色化、现代化。</w:t>
      </w:r>
    </w:p>
    <w:p>
      <w:pPr>
        <w:pStyle w:val="17"/>
        <w:keepNext w:val="0"/>
        <w:keepLines w:val="0"/>
        <w:pageBreakBefore w:val="0"/>
        <w:widowControl w:val="0"/>
        <w:kinsoku/>
        <w:wordWrap/>
        <w:overflowPunct/>
        <w:topLinePunct w:val="0"/>
        <w:autoSpaceDE w:val="0"/>
        <w:autoSpaceDN w:val="0"/>
        <w:bidi w:val="0"/>
        <w:adjustRightInd/>
        <w:snapToGrid w:val="0"/>
        <w:spacing w:after="0" w:line="480" w:lineRule="exact"/>
        <w:ind w:left="0" w:leftChars="0" w:firstLine="562" w:firstLineChars="200"/>
        <w:jc w:val="left"/>
        <w:textAlignment w:val="auto"/>
        <w:outlineLvl w:val="9"/>
        <w:rPr>
          <w:rFonts w:hint="default" w:ascii="Times New Roman" w:hAnsi="Times New Roman" w:eastAsia="仿宋_GB2312" w:cs="Times New Roman"/>
          <w:b w:val="0"/>
          <w:bCs w:val="0"/>
          <w:color w:val="auto"/>
          <w:kern w:val="2"/>
          <w:sz w:val="28"/>
          <w:szCs w:val="28"/>
          <w:lang w:val="en-US" w:eastAsia="zh-CN" w:bidi="ar-SA"/>
        </w:rPr>
      </w:pPr>
      <w:r>
        <w:rPr>
          <w:rFonts w:hint="default" w:ascii="Times New Roman" w:hAnsi="Times New Roman" w:eastAsia="仿宋_GB2312" w:cs="Times New Roman"/>
          <w:b/>
          <w:bCs/>
          <w:color w:val="auto"/>
          <w:kern w:val="2"/>
          <w:sz w:val="28"/>
          <w:szCs w:val="28"/>
          <w:lang w:val="en-US" w:eastAsia="zh-CN" w:bidi="ar-SA"/>
        </w:rPr>
        <w:t>以人为本，注重安全。</w:t>
      </w:r>
      <w:r>
        <w:rPr>
          <w:rFonts w:hint="default" w:ascii="Times New Roman" w:hAnsi="Times New Roman" w:eastAsia="仿宋_GB2312" w:cs="Times New Roman"/>
          <w:b w:val="0"/>
          <w:bCs w:val="0"/>
          <w:color w:val="auto"/>
          <w:kern w:val="2"/>
          <w:sz w:val="28"/>
          <w:szCs w:val="28"/>
          <w:lang w:val="en-US" w:eastAsia="zh-CN" w:bidi="ar-SA"/>
        </w:rPr>
        <w:t>农房改造建设应以安全为前提，采用合理的建筑结构和建造方式，保障农房建筑安全。对存在结构安全隐患的既有农房，应进行加固后再进行整治改造，确保安全。</w:t>
      </w:r>
    </w:p>
    <w:p>
      <w:pPr>
        <w:pStyle w:val="17"/>
        <w:keepNext w:val="0"/>
        <w:keepLines w:val="0"/>
        <w:pageBreakBefore w:val="0"/>
        <w:widowControl w:val="0"/>
        <w:numPr>
          <w:ilvl w:val="0"/>
          <w:numId w:val="11"/>
        </w:numPr>
        <w:kinsoku/>
        <w:wordWrap/>
        <w:overflowPunct/>
        <w:topLinePunct w:val="0"/>
        <w:autoSpaceDE w:val="0"/>
        <w:autoSpaceDN w:val="0"/>
        <w:bidi w:val="0"/>
        <w:adjustRightInd/>
        <w:snapToGrid w:val="0"/>
        <w:spacing w:after="0" w:line="480" w:lineRule="exact"/>
        <w:ind w:left="0" w:leftChars="0" w:firstLine="560" w:firstLineChars="200"/>
        <w:jc w:val="left"/>
        <w:textAlignment w:val="auto"/>
        <w:outlineLvl w:val="9"/>
        <w:rPr>
          <w:rFonts w:hint="eastAsia" w:ascii="Times New Roman" w:hAnsi="Times New Roman" w:eastAsia="仿宋_GB2312" w:cs="Times New Roman"/>
          <w:b w:val="0"/>
          <w:bCs w:val="0"/>
          <w:color w:val="auto"/>
          <w:kern w:val="2"/>
          <w:sz w:val="28"/>
          <w:szCs w:val="28"/>
          <w:lang w:val="en-US" w:eastAsia="zh-CN" w:bidi="ar-SA"/>
        </w:rPr>
      </w:pPr>
      <w:r>
        <w:rPr>
          <w:rFonts w:hint="default" w:ascii="Times New Roman" w:hAnsi="Times New Roman" w:eastAsia="仿宋_GB2312" w:cs="Times New Roman"/>
          <w:b w:val="0"/>
          <w:bCs w:val="0"/>
          <w:color w:val="auto"/>
          <w:kern w:val="2"/>
          <w:sz w:val="28"/>
          <w:szCs w:val="28"/>
          <w:lang w:val="en-US" w:eastAsia="zh-CN" w:bidi="ar-SA"/>
        </w:rPr>
        <w:t>新建农房要依据村庄总体风貌定位，区分村民住房和农业生产用房，既要采用乡土材料、乡土工艺，融合传统历史文化元素，又要合理运用现代加固材料、木结构等建材，因地制宜推广现代建造方式。支持和培育传统建筑物件生产企业，保护传承传统建筑工艺和产业。对可利用的废弃传统建筑材料应回收利用。以各类示范创建村为主要节点，以周边和沿线村庄为辐射带动对象，开展绿化美化，塑造节点景观</w:t>
      </w:r>
      <w:r>
        <w:rPr>
          <w:rFonts w:hint="eastAsia" w:ascii="Times New Roman" w:hAnsi="Times New Roman" w:eastAsia="仿宋_GB2312" w:cs="Times New Roman"/>
          <w:b w:val="0"/>
          <w:bCs w:val="0"/>
          <w:color w:val="auto"/>
          <w:kern w:val="2"/>
          <w:sz w:val="28"/>
          <w:szCs w:val="28"/>
          <w:lang w:val="en-US" w:eastAsia="zh-CN" w:bidi="ar-SA"/>
        </w:rPr>
        <w:t>。</w:t>
      </w:r>
    </w:p>
    <w:p>
      <w:pPr>
        <w:pStyle w:val="36"/>
        <w:ind w:firstLine="562"/>
        <w:jc w:val="both"/>
        <w:rPr>
          <w:rFonts w:hint="eastAsia" w:ascii="Times New Roman" w:hAnsi="Times New Roman" w:eastAsia="仿宋_GB2312" w:cs="Times New Roman"/>
          <w:bCs w:val="0"/>
          <w:color w:val="auto"/>
          <w:szCs w:val="32"/>
          <w:lang w:val="en-US" w:eastAsia="zh-CN"/>
        </w:rPr>
      </w:pPr>
      <w:r>
        <w:rPr>
          <w:rFonts w:hint="eastAsia" w:ascii="Times New Roman" w:hAnsi="Times New Roman" w:eastAsia="仿宋_GB2312" w:cs="Times New Roman"/>
          <w:bCs w:val="0"/>
          <w:color w:val="auto"/>
          <w:szCs w:val="32"/>
          <w:lang w:val="en-US" w:eastAsia="zh-CN"/>
        </w:rPr>
        <w:t>三、乡村景观管控指引</w:t>
      </w:r>
    </w:p>
    <w:p>
      <w:pPr>
        <w:pStyle w:val="36"/>
        <w:numPr>
          <w:ilvl w:val="0"/>
          <w:numId w:val="12"/>
        </w:numPr>
        <w:ind w:left="420" w:leftChars="0" w:firstLine="0" w:firstLineChars="0"/>
        <w:jc w:val="both"/>
        <w:rPr>
          <w:rFonts w:hint="eastAsia" w:ascii="Times New Roman" w:hAnsi="Times New Roman" w:eastAsia="仿宋_GB2312"/>
          <w:b w:val="0"/>
          <w:bCs/>
          <w:color w:val="auto"/>
          <w:szCs w:val="32"/>
          <w:lang w:val="en-US" w:eastAsia="zh-CN"/>
        </w:rPr>
      </w:pPr>
      <w:r>
        <w:rPr>
          <w:rFonts w:hint="eastAsia" w:ascii="Times New Roman" w:hAnsi="Times New Roman" w:eastAsia="仿宋_GB2312"/>
          <w:b w:val="0"/>
          <w:bCs/>
          <w:color w:val="auto"/>
          <w:szCs w:val="32"/>
          <w:lang w:val="en-US" w:eastAsia="zh-CN"/>
        </w:rPr>
        <w:t>公共空间</w:t>
      </w:r>
    </w:p>
    <w:p>
      <w:pPr>
        <w:pStyle w:val="17"/>
        <w:keepNext w:val="0"/>
        <w:keepLines w:val="0"/>
        <w:pageBreakBefore w:val="0"/>
        <w:widowControl w:val="0"/>
        <w:kinsoku/>
        <w:wordWrap/>
        <w:overflowPunct/>
        <w:topLinePunct w:val="0"/>
        <w:autoSpaceDE w:val="0"/>
        <w:autoSpaceDN w:val="0"/>
        <w:bidi w:val="0"/>
        <w:adjustRightInd/>
        <w:snapToGrid w:val="0"/>
        <w:spacing w:after="0" w:line="480" w:lineRule="exact"/>
        <w:ind w:left="0" w:leftChars="0" w:firstLine="560" w:firstLineChars="200"/>
        <w:jc w:val="left"/>
        <w:textAlignment w:val="auto"/>
        <w:outlineLvl w:val="9"/>
        <w:rPr>
          <w:rFonts w:hint="eastAsia"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对现状村内河道进行疏通整治，打通现状断头河浜；延续蜿蜒的村内河道走向，避免截弯取直。避免大拆大建，保持滨水和街巷界面的建筑与公共空间收放有致多角多弯、富有变化。保留现状街巷与现状地形地貌自然相依的格局，保持小街坊、密路网的肌理特点，确保主街通达的同时，严格控制村内街巷宽度。在核心滨水节点所在河流区段，设立以天然石材为主的直立式驳岸，增加活动设施，营造亲切可达的滨河亲水断面。停车场地设置应灵活布局，因地制宜，考虑多功能使用要求，并结合绿化的配置提供遮蔽功能，兼顾景观性。</w:t>
      </w:r>
    </w:p>
    <w:p>
      <w:pPr>
        <w:pStyle w:val="17"/>
        <w:keepNext w:val="0"/>
        <w:keepLines w:val="0"/>
        <w:pageBreakBefore w:val="0"/>
        <w:widowControl w:val="0"/>
        <w:kinsoku/>
        <w:wordWrap/>
        <w:overflowPunct/>
        <w:topLinePunct w:val="0"/>
        <w:autoSpaceDE w:val="0"/>
        <w:autoSpaceDN w:val="0"/>
        <w:bidi w:val="0"/>
        <w:adjustRightInd/>
        <w:snapToGrid w:val="0"/>
        <w:spacing w:after="0" w:line="480" w:lineRule="exact"/>
        <w:ind w:left="0" w:leftChars="0" w:firstLine="560" w:firstLineChars="200"/>
        <w:jc w:val="left"/>
        <w:textAlignment w:val="auto"/>
        <w:outlineLvl w:val="9"/>
        <w:rPr>
          <w:rFonts w:hint="eastAsia"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梳理“微空间”：优先选择具有一定资源或区位交通优势条件，对周边有带动作用的展示利用区域，打造村内微空间核心节点。保护特定村庄所具有的特色空间，特别是一些原有的规模较大且环境较好的公共空间。建议结合村口、池塘、河流、戏台宗教宗祠等公共历史建筑、古树名木、村委会等布局，增加乡村微空间。在新增的公共空间中，严格控制2000</w:t>
      </w:r>
      <w:r>
        <w:rPr>
          <w:rFonts w:hint="eastAsia" w:ascii="宋体" w:hAnsi="宋体" w:eastAsia="宋体" w:cs="宋体"/>
          <w:b w:val="0"/>
          <w:bCs w:val="0"/>
          <w:color w:val="auto"/>
          <w:kern w:val="2"/>
          <w:sz w:val="28"/>
          <w:szCs w:val="28"/>
          <w:lang w:val="en-US" w:eastAsia="zh-CN" w:bidi="ar-SA"/>
        </w:rPr>
        <w:t>㎡</w:t>
      </w:r>
      <w:r>
        <w:rPr>
          <w:rFonts w:hint="eastAsia" w:ascii="Times New Roman" w:hAnsi="Times New Roman" w:eastAsia="仿宋_GB2312" w:cs="Times New Roman"/>
          <w:b w:val="0"/>
          <w:bCs w:val="0"/>
          <w:color w:val="auto"/>
          <w:kern w:val="2"/>
          <w:sz w:val="28"/>
          <w:szCs w:val="28"/>
          <w:lang w:val="en-US" w:eastAsia="zh-CN" w:bidi="ar-SA"/>
        </w:rPr>
        <w:t>以上的大中型公共空间建设。拆除违章搭建，保障村内街巷清洁通畅，为梳理“微空间”节点提供空间。增加“微空间”：充分挖潜村内各空地、边角地、废弃地，增加微空间数量与总规模，丰富村民日常交往空间。串联“微空间”：考虑微空间节点布局的可达性，将“微空间”与乡村绿道、水系、街道巷弄相衔接，进行串联，形成网络。</w:t>
      </w:r>
    </w:p>
    <w:p>
      <w:pPr>
        <w:pStyle w:val="17"/>
        <w:keepNext w:val="0"/>
        <w:keepLines w:val="0"/>
        <w:pageBreakBefore w:val="0"/>
        <w:widowControl w:val="0"/>
        <w:kinsoku/>
        <w:wordWrap/>
        <w:overflowPunct/>
        <w:topLinePunct w:val="0"/>
        <w:autoSpaceDE w:val="0"/>
        <w:autoSpaceDN w:val="0"/>
        <w:bidi w:val="0"/>
        <w:adjustRightInd/>
        <w:snapToGrid w:val="0"/>
        <w:spacing w:after="0" w:line="480" w:lineRule="exact"/>
        <w:ind w:left="0" w:leftChars="0" w:firstLine="560" w:firstLineChars="200"/>
        <w:jc w:val="left"/>
        <w:textAlignment w:val="auto"/>
        <w:outlineLvl w:val="9"/>
        <w:rPr>
          <w:rFonts w:hint="eastAsia"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因地制宜，丰富微空间节点内的设施配置。既保护传统构筑物，又新建体现本土文化风貌的设施构筑物。在滨河节点保护古桥，修复旧桥。加建风貌协调、风格创新、尺度相近的新桥，提高两岸交通可达性。保护桥梁、牌坊、水井、驳岸、埠头、亭台楼阁等反映传统风貌的构筑物。鼓励在各微空间节点设置体现村庄特色风貌的小品设施，形式应经过设计，体现本土文化风貌，保持简约风格。对不符合风貌特征的构筑物进行拆除或改造，按照功能需求，查缺补漏，适度新建亭、廊等景观构筑物和电话亭、休憩凳椅、石桌、景观灯等设施构筑物。可在部分微空间节点的场地边缘，适当增加运动健身设施，安排公共建筑和老年人门球场、地掷球场等。指路标识与路灯合理设置于车流量较大的交叉口，人车分流导向明确、安全亲切。告示栏等标识设施风格协调、简洁清晰。各类材质铺装按功能需求，因地制宜设置；通车主巷建议采用黑色透水沥青或石材；步行支巷建议使用乡土材质。具有历史文化传统特色的村庄，其路面材料宜采用传统建筑材料。从功能角度，田间道和生产路应满足农业机械化生产要求，鼓励采用砂石路面、泥结碎石和素土路面。兼具游憩功能的道路宜采用沥青路面、木栈道、生态步道等铺装形式。错车场地铺装应结合街巷路基路面情况设置标志标线，以区分错车场地和街巷。台阶和桥面以及微空间的硬质铺地，建议使用传统材料，避免大块水泥、混凝土砌块浇筑等用材方式。在微空间的主要活动区域硬化程度应达到100％时，台阶和桥面宜使用毛面石板。其余活动场所鼓励使用青石板、小青砖、方砖、毛石板等材料搭配设计铺装，回归传统。</w:t>
      </w:r>
    </w:p>
    <w:p>
      <w:pPr>
        <w:pStyle w:val="17"/>
        <w:keepNext w:val="0"/>
        <w:keepLines w:val="0"/>
        <w:pageBreakBefore w:val="0"/>
        <w:widowControl w:val="0"/>
        <w:kinsoku/>
        <w:wordWrap/>
        <w:overflowPunct/>
        <w:topLinePunct w:val="0"/>
        <w:autoSpaceDE w:val="0"/>
        <w:autoSpaceDN w:val="0"/>
        <w:bidi w:val="0"/>
        <w:adjustRightInd/>
        <w:snapToGrid w:val="0"/>
        <w:spacing w:after="0" w:line="480" w:lineRule="exact"/>
        <w:ind w:left="0" w:leftChars="0" w:firstLine="560" w:firstLineChars="200"/>
        <w:jc w:val="left"/>
        <w:textAlignment w:val="auto"/>
        <w:outlineLvl w:val="9"/>
        <w:rPr>
          <w:rFonts w:hint="default"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2、公共服务设施及基础设施</w:t>
      </w:r>
    </w:p>
    <w:p>
      <w:pPr>
        <w:pStyle w:val="17"/>
        <w:keepNext w:val="0"/>
        <w:keepLines w:val="0"/>
        <w:pageBreakBefore w:val="0"/>
        <w:widowControl w:val="0"/>
        <w:kinsoku/>
        <w:wordWrap/>
        <w:overflowPunct/>
        <w:topLinePunct w:val="0"/>
        <w:autoSpaceDE w:val="0"/>
        <w:autoSpaceDN w:val="0"/>
        <w:bidi w:val="0"/>
        <w:adjustRightInd/>
        <w:snapToGrid w:val="0"/>
        <w:spacing w:after="0" w:line="480" w:lineRule="exact"/>
        <w:ind w:left="0" w:leftChars="0" w:firstLine="560" w:firstLineChars="200"/>
        <w:jc w:val="left"/>
        <w:textAlignment w:val="auto"/>
        <w:outlineLvl w:val="9"/>
        <w:rPr>
          <w:rFonts w:hint="eastAsia"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根据乡村人口规模及设施服务半径，合理配置公共服务设施，推动公共服务配置均等化。合理应对乡村地区自然地理环境与社会结构特征，提升公共服务保障的精准化水平。主动适应乡村社会发展趋势，探索社区服务动态化配置与管理，鼓励设施功能按需动态调整，灵活置换。</w:t>
      </w:r>
    </w:p>
    <w:p>
      <w:pPr>
        <w:pStyle w:val="17"/>
        <w:keepNext w:val="0"/>
        <w:keepLines w:val="0"/>
        <w:pageBreakBefore w:val="0"/>
        <w:widowControl w:val="0"/>
        <w:kinsoku/>
        <w:wordWrap/>
        <w:overflowPunct/>
        <w:topLinePunct w:val="0"/>
        <w:autoSpaceDE w:val="0"/>
        <w:autoSpaceDN w:val="0"/>
        <w:bidi w:val="0"/>
        <w:adjustRightInd/>
        <w:snapToGrid w:val="0"/>
        <w:spacing w:after="0" w:line="480" w:lineRule="exact"/>
        <w:ind w:left="0" w:leftChars="0" w:firstLine="560" w:firstLineChars="200"/>
        <w:jc w:val="left"/>
        <w:textAlignment w:val="auto"/>
        <w:outlineLvl w:val="9"/>
        <w:rPr>
          <w:rFonts w:hint="default"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雨污水处理：</w:t>
      </w:r>
      <w:r>
        <w:rPr>
          <w:rFonts w:hint="default" w:ascii="Times New Roman" w:hAnsi="Times New Roman" w:eastAsia="仿宋_GB2312" w:cs="Times New Roman"/>
          <w:b w:val="0"/>
          <w:bCs w:val="0"/>
          <w:color w:val="auto"/>
          <w:kern w:val="2"/>
          <w:sz w:val="28"/>
          <w:szCs w:val="28"/>
          <w:lang w:val="en-US" w:eastAsia="zh-CN" w:bidi="ar-SA"/>
        </w:rPr>
        <w:t>有序推进雨污分流处理。采用多种手段控制雨水排放污染。推进污水纳管，采取差异化处理措施。完善乡村垃圾收集方式。</w:t>
      </w:r>
    </w:p>
    <w:p>
      <w:pPr>
        <w:pStyle w:val="17"/>
        <w:keepNext w:val="0"/>
        <w:keepLines w:val="0"/>
        <w:pageBreakBefore w:val="0"/>
        <w:widowControl w:val="0"/>
        <w:kinsoku/>
        <w:wordWrap/>
        <w:overflowPunct/>
        <w:topLinePunct w:val="0"/>
        <w:autoSpaceDE w:val="0"/>
        <w:autoSpaceDN w:val="0"/>
        <w:bidi w:val="0"/>
        <w:adjustRightInd/>
        <w:snapToGrid w:val="0"/>
        <w:spacing w:after="0" w:line="480" w:lineRule="exact"/>
        <w:ind w:left="0" w:leftChars="0" w:firstLine="560" w:firstLineChars="200"/>
        <w:jc w:val="left"/>
        <w:textAlignment w:val="auto"/>
        <w:outlineLvl w:val="9"/>
        <w:rPr>
          <w:rFonts w:hint="default"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智慧乡村建设：</w:t>
      </w:r>
      <w:r>
        <w:rPr>
          <w:rFonts w:hint="default" w:ascii="Times New Roman" w:hAnsi="Times New Roman" w:eastAsia="仿宋_GB2312" w:cs="Times New Roman"/>
          <w:b w:val="0"/>
          <w:bCs w:val="0"/>
          <w:color w:val="auto"/>
          <w:kern w:val="2"/>
          <w:sz w:val="28"/>
          <w:szCs w:val="28"/>
          <w:lang w:val="en-US" w:eastAsia="zh-CN" w:bidi="ar-SA"/>
        </w:rPr>
        <w:t>适应乡村地区的差异化、分散化特征，灵活配置供电设施，积极采用绿色能源。提升乡村地区基础设施的数字化、智能化水平。加强市政场站与设施的景观处理，减少对乡村环境的干扰。</w:t>
      </w:r>
    </w:p>
    <w:p>
      <w:pPr>
        <w:rPr>
          <w:rFonts w:hint="eastAsia" w:ascii="Times New Roman" w:hAnsi="Times New Roman" w:eastAsia="Arial Unicode MS"/>
          <w:color w:val="auto"/>
          <w:lang w:val="en-US" w:eastAsia="zh-CN"/>
        </w:rPr>
      </w:pPr>
      <w:r>
        <w:rPr>
          <w:rFonts w:hint="eastAsia" w:ascii="Times New Roman" w:hAnsi="Times New Roman" w:eastAsia="Arial Unicode MS"/>
          <w:color w:val="auto"/>
          <w:lang w:val="en-US" w:eastAsia="zh-CN"/>
        </w:rPr>
        <w:br w:type="page"/>
      </w:r>
    </w:p>
    <w:p>
      <w:pPr>
        <w:pStyle w:val="34"/>
        <w:keepNext/>
        <w:keepLines/>
        <w:pageBreakBefore w:val="0"/>
        <w:widowControl w:val="0"/>
        <w:kinsoku/>
        <w:wordWrap/>
        <w:overflowPunct/>
        <w:topLinePunct w:val="0"/>
        <w:autoSpaceDE/>
        <w:autoSpaceDN/>
        <w:bidi w:val="0"/>
        <w:adjustRightInd/>
        <w:snapToGrid/>
        <w:spacing w:before="156" w:beforeLines="50" w:after="156" w:afterLines="50"/>
        <w:ind w:left="0" w:firstLine="0" w:firstLineChars="0"/>
        <w:jc w:val="center"/>
        <w:textAlignment w:val="center"/>
        <w:rPr>
          <w:rFonts w:hint="eastAsia" w:ascii="Times New Roman" w:hAnsi="Times New Roman" w:eastAsia="Arial Unicode MS"/>
          <w:color w:val="auto"/>
          <w:lang w:val="en-US" w:eastAsia="zh-CN"/>
        </w:rPr>
      </w:pPr>
      <w:bookmarkStart w:id="57" w:name="_Toc15185"/>
      <w:r>
        <w:rPr>
          <w:rFonts w:hint="eastAsia" w:ascii="Times New Roman" w:hAnsi="Times New Roman" w:eastAsia="Arial Unicode MS"/>
          <w:color w:val="auto"/>
          <w:lang w:val="en-US" w:eastAsia="zh-CN"/>
        </w:rPr>
        <w:t>第九章 自然资源保护与利用</w:t>
      </w:r>
      <w:bookmarkEnd w:id="57"/>
    </w:p>
    <w:p>
      <w:pPr>
        <w:pStyle w:val="33"/>
        <w:spacing w:before="156" w:beforeLines="50" w:after="156" w:afterLines="50" w:line="520" w:lineRule="exact"/>
        <w:rPr>
          <w:rFonts w:hint="eastAsia" w:ascii="Times New Roman" w:hAnsi="Times New Roman"/>
          <w:color w:val="auto"/>
          <w:kern w:val="2"/>
          <w:szCs w:val="32"/>
          <w:lang w:val="en-US" w:eastAsia="zh-CN"/>
        </w:rPr>
      </w:pPr>
      <w:bookmarkStart w:id="58" w:name="_Toc20278"/>
      <w:r>
        <w:rPr>
          <w:rFonts w:hint="eastAsia" w:ascii="Times New Roman" w:hAnsi="Times New Roman"/>
          <w:color w:val="auto"/>
          <w:kern w:val="2"/>
          <w:szCs w:val="32"/>
          <w:lang w:val="en-US" w:eastAsia="zh-CN"/>
        </w:rPr>
        <w:t>第一节 耕地保护与利用</w:t>
      </w:r>
      <w:bookmarkEnd w:id="58"/>
    </w:p>
    <w:p>
      <w:pPr>
        <w:snapToGrid w:val="0"/>
        <w:spacing w:line="480" w:lineRule="exact"/>
        <w:ind w:firstLine="562"/>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一、耕地数量情况</w:t>
      </w:r>
    </w:p>
    <w:p>
      <w:pPr>
        <w:pStyle w:val="17"/>
        <w:keepNext w:val="0"/>
        <w:keepLines w:val="0"/>
        <w:pageBreakBefore w:val="0"/>
        <w:widowControl w:val="0"/>
        <w:numPr>
          <w:ilvl w:val="0"/>
          <w:numId w:val="0"/>
        </w:numPr>
        <w:kinsoku/>
        <w:wordWrap/>
        <w:overflowPunct/>
        <w:topLinePunct w:val="0"/>
        <w:autoSpaceDE w:val="0"/>
        <w:autoSpaceDN w:val="0"/>
        <w:bidi w:val="0"/>
        <w:adjustRightInd/>
        <w:snapToGrid w:val="0"/>
        <w:spacing w:after="0" w:line="480" w:lineRule="exact"/>
        <w:ind w:leftChars="0" w:firstLine="560" w:firstLineChars="200"/>
        <w:jc w:val="left"/>
        <w:textAlignment w:val="auto"/>
        <w:outlineLvl w:val="9"/>
        <w:rPr>
          <w:rFonts w:hint="eastAsia"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根据2020年国土变更调查统计口径（城镇、村庄不打开统计）数据，平富乡圈外耕地面积为371.37公顷（0.557万亩），其中水田342.18公顷（0.51万亩），占耕地总面积的92.14%；旱地29.19公顷（0.04万亩），占耕地总面积的7.86%。庄前村、平富村、大潭村耕地面积较大，耕地面积占全域耕地面积分别超过13%；横坑村、庄坑村耕地面积较小，占比小于10%。</w:t>
      </w:r>
    </w:p>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Times New Roman"/>
          <w:b/>
          <w:color w:val="auto"/>
          <w:kern w:val="2"/>
          <w:sz w:val="21"/>
          <w:szCs w:val="22"/>
          <w:lang w:val="en-US" w:eastAsia="zh-CN" w:bidi="ar-SA"/>
        </w:rPr>
      </w:pPr>
      <w:r>
        <w:rPr>
          <w:rFonts w:hint="eastAsia" w:ascii="Times New Roman" w:hAnsi="Times New Roman" w:eastAsia="仿宋_GB2312" w:cs="Times New Roman"/>
          <w:b/>
          <w:color w:val="auto"/>
          <w:kern w:val="2"/>
          <w:sz w:val="21"/>
          <w:szCs w:val="22"/>
          <w:lang w:val="en-US" w:eastAsia="zh-CN" w:bidi="ar-SA"/>
        </w:rPr>
        <w:t>表9-1 平富乡现状耕地分布情况表</w:t>
      </w:r>
    </w:p>
    <w:p>
      <w:pPr>
        <w:keepNext/>
        <w:pageBreakBefore w:val="0"/>
        <w:kinsoku/>
        <w:wordWrap/>
        <w:overflowPunct/>
        <w:topLinePunct w:val="0"/>
        <w:bidi w:val="0"/>
        <w:snapToGrid w:val="0"/>
        <w:spacing w:line="480" w:lineRule="exact"/>
        <w:ind w:firstLine="0" w:firstLineChars="0"/>
        <w:jc w:val="right"/>
        <w:rPr>
          <w:rFonts w:hint="default" w:ascii="Times New Roman" w:hAnsi="Times New Roman" w:eastAsia="仿宋_GB2312" w:cs="Times New Roman"/>
          <w:b/>
          <w:color w:val="auto"/>
          <w:kern w:val="2"/>
          <w:sz w:val="21"/>
          <w:szCs w:val="22"/>
          <w:lang w:val="en-US" w:eastAsia="zh-CN" w:bidi="ar-SA"/>
        </w:rPr>
      </w:pPr>
      <w:r>
        <w:rPr>
          <w:rFonts w:hint="eastAsia" w:ascii="Times New Roman" w:hAnsi="Times New Roman" w:eastAsia="仿宋_GB2312" w:cs="Times New Roman"/>
          <w:b/>
          <w:color w:val="auto"/>
          <w:kern w:val="2"/>
          <w:sz w:val="21"/>
          <w:szCs w:val="22"/>
          <w:lang w:val="en-US" w:eastAsia="zh-CN" w:bidi="ar-SA"/>
        </w:rPr>
        <w:t>单位：公顷、%</w:t>
      </w:r>
    </w:p>
    <w:tbl>
      <w:tblPr>
        <w:tblStyle w:val="19"/>
        <w:tblW w:w="5129" w:type="pct"/>
        <w:jc w:val="center"/>
        <w:tblLayout w:type="autofit"/>
        <w:tblCellMar>
          <w:top w:w="0" w:type="dxa"/>
          <w:left w:w="108" w:type="dxa"/>
          <w:bottom w:w="0" w:type="dxa"/>
          <w:right w:w="108" w:type="dxa"/>
        </w:tblCellMar>
      </w:tblPr>
      <w:tblGrid>
        <w:gridCol w:w="3727"/>
        <w:gridCol w:w="1199"/>
        <w:gridCol w:w="1266"/>
        <w:gridCol w:w="1266"/>
        <w:gridCol w:w="1389"/>
      </w:tblGrid>
      <w:tr>
        <w:tblPrEx>
          <w:tblCellMar>
            <w:top w:w="0" w:type="dxa"/>
            <w:left w:w="108" w:type="dxa"/>
            <w:bottom w:w="0" w:type="dxa"/>
            <w:right w:w="108" w:type="dxa"/>
          </w:tblCellMar>
        </w:tblPrEx>
        <w:trPr>
          <w:trHeight w:val="626" w:hRule="atLeast"/>
          <w:tblHeader/>
          <w:jc w:val="center"/>
        </w:trPr>
        <w:tc>
          <w:tcPr>
            <w:tcW w:w="3727" w:type="dxa"/>
            <w:tcBorders>
              <w:top w:val="single" w:color="auto" w:sz="4" w:space="0"/>
              <w:left w:val="single" w:color="auto" w:sz="4" w:space="0"/>
              <w:bottom w:val="single" w:color="auto" w:sz="4" w:space="0"/>
              <w:right w:val="single" w:color="auto" w:sz="4" w:space="0"/>
            </w:tcBorders>
            <w:noWrap/>
            <w:vAlign w:val="center"/>
          </w:tcPr>
          <w:p>
            <w:pPr>
              <w:pStyle w:val="31"/>
              <w:rPr>
                <w:rFonts w:hint="eastAsia" w:ascii="仿宋_GB2312" w:hAnsi="仿宋_GB2312" w:eastAsia="仿宋_GB2312" w:cs="仿宋_GB2312"/>
                <w:b/>
                <w:bCs w:val="0"/>
                <w:color w:val="auto"/>
                <w:sz w:val="21"/>
                <w:szCs w:val="21"/>
                <w:lang w:bidi="ar"/>
              </w:rPr>
            </w:pPr>
            <w:r>
              <w:rPr>
                <w:sz w:val="21"/>
              </w:rPr>
              <mc:AlternateContent>
                <mc:Choice Requires="wps">
                  <w:drawing>
                    <wp:anchor distT="0" distB="0" distL="114300" distR="114300" simplePos="0" relativeHeight="251660288" behindDoc="0" locked="0" layoutInCell="1" allowOverlap="1">
                      <wp:simplePos x="0" y="0"/>
                      <wp:positionH relativeFrom="column">
                        <wp:posOffset>-51435</wp:posOffset>
                      </wp:positionH>
                      <wp:positionV relativeFrom="paragraph">
                        <wp:posOffset>20320</wp:posOffset>
                      </wp:positionV>
                      <wp:extent cx="2350135" cy="369570"/>
                      <wp:effectExtent l="635" t="4445" r="11430" b="6985"/>
                      <wp:wrapNone/>
                      <wp:docPr id="2" name="直接连接符 2"/>
                      <wp:cNvGraphicFramePr/>
                      <a:graphic xmlns:a="http://schemas.openxmlformats.org/drawingml/2006/main">
                        <a:graphicData uri="http://schemas.microsoft.com/office/word/2010/wordprocessingShape">
                          <wps:wsp>
                            <wps:cNvCnPr/>
                            <wps:spPr>
                              <a:xfrm>
                                <a:off x="963930" y="4553585"/>
                                <a:ext cx="2350135" cy="36957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4.05pt;margin-top:1.6pt;height:29.1pt;width:185.05pt;z-index:251660288;mso-width-relative:page;mso-height-relative:page;" filled="f" stroked="t" coordsize="21600,21600" o:gfxdata="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cNi0z1AAAAAcBAAAPAAAAAAAAAAEAIAAAACIAAABkcnMvZG93bnJldi54bWxQSwECFAAU&#10;AAAACACHTuJAYFaC9fUBAADBAwAADgAAAAAAAAABACAAAAAjAQAAZHJzL2Uyb0RvYy54bWxQSwUG&#10;AAAAAAYABgBZAQAAigUAAAAA&#10;">
                      <v:fill on="f" focussize="0,0"/>
                      <v:stroke weight="0.25pt" color="#000000 [3213]" miterlimit="8" joinstyle="miter"/>
                      <v:imagedata o:title=""/>
                      <o:lock v:ext="edit" aspectratio="f"/>
                    </v:line>
                  </w:pict>
                </mc:Fallback>
              </mc:AlternateContent>
            </w:r>
            <w:r>
              <w:rPr>
                <w:rFonts w:hint="eastAsia" w:ascii="仿宋_GB2312" w:hAnsi="仿宋_GB2312" w:eastAsia="仿宋_GB2312" w:cs="仿宋_GB2312"/>
                <w:b/>
                <w:bCs w:val="0"/>
                <w:color w:val="auto"/>
                <w:sz w:val="21"/>
                <w:szCs w:val="21"/>
                <w:lang w:val="en-US" w:eastAsia="zh-CN" w:bidi="ar"/>
              </w:rPr>
              <w:t xml:space="preserve">                 </w:t>
            </w:r>
            <w:r>
              <w:rPr>
                <w:rFonts w:hint="eastAsia" w:ascii="仿宋_GB2312" w:hAnsi="仿宋_GB2312" w:eastAsia="仿宋_GB2312" w:cs="仿宋_GB2312"/>
                <w:b/>
                <w:bCs w:val="0"/>
                <w:color w:val="auto"/>
                <w:sz w:val="21"/>
                <w:szCs w:val="21"/>
                <w:lang w:bidi="ar"/>
              </w:rPr>
              <w:t xml:space="preserve">地类名称            </w:t>
            </w:r>
          </w:p>
          <w:p>
            <w:pPr>
              <w:pStyle w:val="31"/>
              <w:jc w:val="both"/>
              <w:rPr>
                <w:rFonts w:hint="eastAsia" w:ascii="仿宋_GB2312" w:hAnsi="仿宋_GB2312" w:eastAsia="仿宋_GB2312" w:cs="仿宋_GB2312"/>
                <w:b/>
                <w:bCs w:val="0"/>
                <w:color w:val="auto"/>
                <w:sz w:val="21"/>
                <w:szCs w:val="21"/>
                <w:lang w:bidi="ar"/>
              </w:rPr>
            </w:pPr>
            <w:r>
              <w:rPr>
                <w:rFonts w:hint="eastAsia" w:ascii="仿宋_GB2312" w:hAnsi="仿宋_GB2312" w:eastAsia="仿宋_GB2312" w:cs="仿宋_GB2312"/>
                <w:b/>
                <w:bCs w:val="0"/>
                <w:color w:val="auto"/>
                <w:sz w:val="21"/>
                <w:szCs w:val="21"/>
                <w:lang w:val="en-US" w:eastAsia="zh-CN" w:bidi="ar"/>
              </w:rPr>
              <w:t>行政村</w:t>
            </w:r>
            <w:r>
              <w:rPr>
                <w:rFonts w:hint="eastAsia" w:ascii="仿宋_GB2312" w:hAnsi="仿宋_GB2312" w:eastAsia="仿宋_GB2312" w:cs="仿宋_GB2312"/>
                <w:b/>
                <w:bCs w:val="0"/>
                <w:color w:val="auto"/>
                <w:sz w:val="21"/>
                <w:szCs w:val="21"/>
                <w:lang w:bidi="ar"/>
              </w:rPr>
              <w:t>名称</w:t>
            </w:r>
          </w:p>
        </w:tc>
        <w:tc>
          <w:tcPr>
            <w:tcW w:w="1199" w:type="dxa"/>
            <w:tcBorders>
              <w:top w:val="single" w:color="auto" w:sz="4" w:space="0"/>
              <w:left w:val="nil"/>
              <w:bottom w:val="single" w:color="auto" w:sz="4" w:space="0"/>
              <w:right w:val="single" w:color="auto" w:sz="4" w:space="0"/>
            </w:tcBorders>
            <w:noWrap/>
            <w:vAlign w:val="center"/>
          </w:tcPr>
          <w:p>
            <w:pPr>
              <w:pStyle w:val="31"/>
              <w:rPr>
                <w:rFonts w:hint="eastAsia" w:ascii="仿宋_GB2312" w:hAnsi="仿宋_GB2312" w:eastAsia="仿宋_GB2312" w:cs="仿宋_GB2312"/>
                <w:b/>
                <w:bCs w:val="0"/>
                <w:color w:val="auto"/>
                <w:sz w:val="21"/>
                <w:szCs w:val="21"/>
                <w:lang w:bidi="ar"/>
              </w:rPr>
            </w:pPr>
            <w:r>
              <w:rPr>
                <w:rFonts w:hint="eastAsia" w:ascii="仿宋_GB2312" w:hAnsi="仿宋_GB2312" w:eastAsia="仿宋_GB2312" w:cs="仿宋_GB2312"/>
                <w:b/>
                <w:bCs w:val="0"/>
                <w:color w:val="auto"/>
                <w:sz w:val="21"/>
                <w:szCs w:val="21"/>
                <w:lang w:bidi="ar"/>
              </w:rPr>
              <w:t>旱地</w:t>
            </w:r>
          </w:p>
        </w:tc>
        <w:tc>
          <w:tcPr>
            <w:tcW w:w="1214" w:type="dxa"/>
            <w:tcBorders>
              <w:top w:val="single" w:color="auto" w:sz="4" w:space="0"/>
              <w:left w:val="nil"/>
              <w:bottom w:val="single" w:color="auto" w:sz="4" w:space="0"/>
              <w:right w:val="single" w:color="auto" w:sz="4" w:space="0"/>
            </w:tcBorders>
            <w:noWrap/>
            <w:vAlign w:val="center"/>
          </w:tcPr>
          <w:p>
            <w:pPr>
              <w:pStyle w:val="31"/>
              <w:rPr>
                <w:rFonts w:hint="eastAsia" w:ascii="仿宋_GB2312" w:hAnsi="仿宋_GB2312" w:eastAsia="仿宋_GB2312" w:cs="仿宋_GB2312"/>
                <w:b/>
                <w:bCs w:val="0"/>
                <w:color w:val="auto"/>
                <w:sz w:val="21"/>
                <w:szCs w:val="21"/>
                <w:lang w:bidi="ar"/>
              </w:rPr>
            </w:pPr>
            <w:r>
              <w:rPr>
                <w:rFonts w:hint="eastAsia" w:ascii="仿宋_GB2312" w:hAnsi="仿宋_GB2312" w:eastAsia="仿宋_GB2312" w:cs="仿宋_GB2312"/>
                <w:b/>
                <w:bCs w:val="0"/>
                <w:color w:val="auto"/>
                <w:sz w:val="21"/>
                <w:szCs w:val="21"/>
                <w:lang w:bidi="ar"/>
              </w:rPr>
              <w:t>水田</w:t>
            </w:r>
          </w:p>
        </w:tc>
        <w:tc>
          <w:tcPr>
            <w:tcW w:w="1214" w:type="dxa"/>
            <w:tcBorders>
              <w:top w:val="single" w:color="auto" w:sz="4" w:space="0"/>
              <w:left w:val="nil"/>
              <w:bottom w:val="single" w:color="auto" w:sz="4" w:space="0"/>
              <w:right w:val="single" w:color="auto" w:sz="4" w:space="0"/>
            </w:tcBorders>
            <w:noWrap/>
            <w:vAlign w:val="center"/>
          </w:tcPr>
          <w:p>
            <w:pPr>
              <w:pStyle w:val="31"/>
              <w:rPr>
                <w:rFonts w:hint="eastAsia" w:ascii="仿宋_GB2312" w:hAnsi="仿宋_GB2312" w:eastAsia="仿宋_GB2312" w:cs="仿宋_GB2312"/>
                <w:b/>
                <w:bCs w:val="0"/>
                <w:color w:val="auto"/>
                <w:sz w:val="21"/>
                <w:szCs w:val="21"/>
                <w:lang w:bidi="ar"/>
              </w:rPr>
            </w:pPr>
            <w:r>
              <w:rPr>
                <w:rFonts w:hint="eastAsia" w:ascii="仿宋_GB2312" w:hAnsi="仿宋_GB2312" w:eastAsia="仿宋_GB2312" w:cs="仿宋_GB2312"/>
                <w:b/>
                <w:bCs w:val="0"/>
                <w:color w:val="auto"/>
                <w:sz w:val="21"/>
                <w:szCs w:val="21"/>
                <w:lang w:bidi="ar"/>
              </w:rPr>
              <w:t>总计</w:t>
            </w:r>
          </w:p>
        </w:tc>
        <w:tc>
          <w:tcPr>
            <w:tcW w:w="1389" w:type="dxa"/>
            <w:tcBorders>
              <w:top w:val="single" w:color="auto" w:sz="4" w:space="0"/>
              <w:left w:val="nil"/>
              <w:bottom w:val="single" w:color="auto" w:sz="4" w:space="0"/>
              <w:right w:val="single" w:color="auto" w:sz="4" w:space="0"/>
            </w:tcBorders>
            <w:noWrap/>
            <w:vAlign w:val="center"/>
          </w:tcPr>
          <w:p>
            <w:pPr>
              <w:pStyle w:val="31"/>
              <w:rPr>
                <w:rFonts w:hint="eastAsia" w:ascii="仿宋_GB2312" w:hAnsi="仿宋_GB2312" w:eastAsia="仿宋_GB2312" w:cs="仿宋_GB2312"/>
                <w:b/>
                <w:bCs w:val="0"/>
                <w:color w:val="auto"/>
                <w:sz w:val="21"/>
                <w:szCs w:val="21"/>
                <w:lang w:bidi="ar"/>
              </w:rPr>
            </w:pPr>
            <w:r>
              <w:rPr>
                <w:rFonts w:hint="eastAsia" w:ascii="仿宋_GB2312" w:hAnsi="仿宋_GB2312" w:eastAsia="仿宋_GB2312" w:cs="仿宋_GB2312"/>
                <w:b/>
                <w:bCs w:val="0"/>
                <w:color w:val="auto"/>
                <w:sz w:val="21"/>
                <w:szCs w:val="21"/>
                <w:lang w:bidi="ar"/>
              </w:rPr>
              <w:t>占比</w:t>
            </w:r>
          </w:p>
        </w:tc>
      </w:tr>
      <w:tr>
        <w:tblPrEx>
          <w:tblCellMar>
            <w:top w:w="0" w:type="dxa"/>
            <w:left w:w="108" w:type="dxa"/>
            <w:bottom w:w="0" w:type="dxa"/>
            <w:right w:w="108" w:type="dxa"/>
          </w:tblCellMar>
        </w:tblPrEx>
        <w:trPr>
          <w:trHeight w:val="323" w:hRule="atLeast"/>
          <w:jc w:val="center"/>
        </w:trPr>
        <w:tc>
          <w:tcPr>
            <w:tcW w:w="3727" w:type="dxa"/>
            <w:tcBorders>
              <w:top w:val="nil"/>
              <w:left w:val="single" w:color="auto" w:sz="4" w:space="0"/>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bCs/>
                <w:color w:val="auto"/>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大潭村</w:t>
            </w:r>
          </w:p>
        </w:tc>
        <w:tc>
          <w:tcPr>
            <w:tcW w:w="1199"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bCs/>
                <w:color w:val="auto"/>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3.15</w:t>
            </w:r>
          </w:p>
        </w:tc>
        <w:tc>
          <w:tcPr>
            <w:tcW w:w="1214"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bCs/>
                <w:color w:val="auto"/>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45.19</w:t>
            </w:r>
          </w:p>
        </w:tc>
        <w:tc>
          <w:tcPr>
            <w:tcW w:w="1214"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bCs/>
                <w:color w:val="auto"/>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48.34</w:t>
            </w:r>
          </w:p>
        </w:tc>
        <w:tc>
          <w:tcPr>
            <w:tcW w:w="1389"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bCs/>
                <w:color w:val="auto"/>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13.03%</w:t>
            </w:r>
          </w:p>
        </w:tc>
      </w:tr>
      <w:tr>
        <w:tblPrEx>
          <w:tblCellMar>
            <w:top w:w="0" w:type="dxa"/>
            <w:left w:w="108" w:type="dxa"/>
            <w:bottom w:w="0" w:type="dxa"/>
            <w:right w:w="108" w:type="dxa"/>
          </w:tblCellMar>
        </w:tblPrEx>
        <w:trPr>
          <w:trHeight w:val="323" w:hRule="atLeast"/>
          <w:jc w:val="center"/>
        </w:trPr>
        <w:tc>
          <w:tcPr>
            <w:tcW w:w="3727" w:type="dxa"/>
            <w:tcBorders>
              <w:top w:val="nil"/>
              <w:left w:val="single" w:color="auto" w:sz="4" w:space="0"/>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bCs/>
                <w:color w:val="auto"/>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横坑村</w:t>
            </w:r>
          </w:p>
        </w:tc>
        <w:tc>
          <w:tcPr>
            <w:tcW w:w="1199"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bCs/>
                <w:color w:val="auto"/>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3.89</w:t>
            </w:r>
          </w:p>
        </w:tc>
        <w:tc>
          <w:tcPr>
            <w:tcW w:w="1214"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bCs/>
                <w:color w:val="auto"/>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26.99</w:t>
            </w:r>
          </w:p>
        </w:tc>
        <w:tc>
          <w:tcPr>
            <w:tcW w:w="1214"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bCs/>
                <w:color w:val="auto"/>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30.88</w:t>
            </w:r>
          </w:p>
        </w:tc>
        <w:tc>
          <w:tcPr>
            <w:tcW w:w="1389"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bCs/>
                <w:color w:val="auto"/>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8.32%</w:t>
            </w:r>
          </w:p>
        </w:tc>
      </w:tr>
      <w:tr>
        <w:tblPrEx>
          <w:tblCellMar>
            <w:top w:w="0" w:type="dxa"/>
            <w:left w:w="108" w:type="dxa"/>
            <w:bottom w:w="0" w:type="dxa"/>
            <w:right w:w="108" w:type="dxa"/>
          </w:tblCellMar>
        </w:tblPrEx>
        <w:trPr>
          <w:trHeight w:val="323" w:hRule="atLeast"/>
          <w:jc w:val="center"/>
        </w:trPr>
        <w:tc>
          <w:tcPr>
            <w:tcW w:w="3727" w:type="dxa"/>
            <w:tcBorders>
              <w:top w:val="nil"/>
              <w:left w:val="single" w:color="auto" w:sz="4" w:space="0"/>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bCs/>
                <w:color w:val="auto"/>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平富村</w:t>
            </w:r>
          </w:p>
        </w:tc>
        <w:tc>
          <w:tcPr>
            <w:tcW w:w="1199"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bCs/>
                <w:color w:val="auto"/>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5.99</w:t>
            </w:r>
          </w:p>
        </w:tc>
        <w:tc>
          <w:tcPr>
            <w:tcW w:w="1214"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bCs/>
                <w:color w:val="auto"/>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77.05</w:t>
            </w:r>
          </w:p>
        </w:tc>
        <w:tc>
          <w:tcPr>
            <w:tcW w:w="1214"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bCs/>
                <w:color w:val="auto"/>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83.04</w:t>
            </w:r>
          </w:p>
        </w:tc>
        <w:tc>
          <w:tcPr>
            <w:tcW w:w="1389"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bCs/>
                <w:color w:val="auto"/>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22.38%</w:t>
            </w:r>
          </w:p>
        </w:tc>
      </w:tr>
      <w:tr>
        <w:tblPrEx>
          <w:tblCellMar>
            <w:top w:w="0" w:type="dxa"/>
            <w:left w:w="108" w:type="dxa"/>
            <w:bottom w:w="0" w:type="dxa"/>
            <w:right w:w="108" w:type="dxa"/>
          </w:tblCellMar>
        </w:tblPrEx>
        <w:trPr>
          <w:trHeight w:val="323" w:hRule="atLeast"/>
          <w:jc w:val="center"/>
        </w:trPr>
        <w:tc>
          <w:tcPr>
            <w:tcW w:w="3727" w:type="dxa"/>
            <w:tcBorders>
              <w:top w:val="nil"/>
              <w:left w:val="single" w:color="auto" w:sz="4" w:space="0"/>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bCs/>
                <w:color w:val="auto"/>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上寨村</w:t>
            </w:r>
          </w:p>
        </w:tc>
        <w:tc>
          <w:tcPr>
            <w:tcW w:w="1199"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bCs/>
                <w:color w:val="auto"/>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4.63</w:t>
            </w:r>
          </w:p>
        </w:tc>
        <w:tc>
          <w:tcPr>
            <w:tcW w:w="1214"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bCs/>
                <w:color w:val="auto"/>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37.95</w:t>
            </w:r>
          </w:p>
        </w:tc>
        <w:tc>
          <w:tcPr>
            <w:tcW w:w="1214"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bCs/>
                <w:color w:val="auto"/>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42.58</w:t>
            </w:r>
          </w:p>
        </w:tc>
        <w:tc>
          <w:tcPr>
            <w:tcW w:w="1389"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bCs/>
                <w:color w:val="auto"/>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11.47%</w:t>
            </w:r>
          </w:p>
        </w:tc>
      </w:tr>
      <w:tr>
        <w:tblPrEx>
          <w:tblCellMar>
            <w:top w:w="0" w:type="dxa"/>
            <w:left w:w="108" w:type="dxa"/>
            <w:bottom w:w="0" w:type="dxa"/>
            <w:right w:w="108" w:type="dxa"/>
          </w:tblCellMar>
        </w:tblPrEx>
        <w:trPr>
          <w:trHeight w:val="323" w:hRule="atLeast"/>
          <w:jc w:val="center"/>
        </w:trPr>
        <w:tc>
          <w:tcPr>
            <w:tcW w:w="3727" w:type="dxa"/>
            <w:tcBorders>
              <w:top w:val="nil"/>
              <w:left w:val="single" w:color="auto" w:sz="4" w:space="0"/>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bCs/>
                <w:color w:val="auto"/>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向前村</w:t>
            </w:r>
          </w:p>
        </w:tc>
        <w:tc>
          <w:tcPr>
            <w:tcW w:w="1199"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bCs/>
                <w:color w:val="auto"/>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4.08</w:t>
            </w:r>
          </w:p>
        </w:tc>
        <w:tc>
          <w:tcPr>
            <w:tcW w:w="1214"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bCs/>
                <w:color w:val="auto"/>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37.48</w:t>
            </w:r>
          </w:p>
        </w:tc>
        <w:tc>
          <w:tcPr>
            <w:tcW w:w="1214"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bCs/>
                <w:color w:val="auto"/>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41.56</w:t>
            </w:r>
          </w:p>
        </w:tc>
        <w:tc>
          <w:tcPr>
            <w:tcW w:w="1389"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bCs/>
                <w:color w:val="auto"/>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11.20%</w:t>
            </w:r>
          </w:p>
        </w:tc>
      </w:tr>
      <w:tr>
        <w:tblPrEx>
          <w:tblCellMar>
            <w:top w:w="0" w:type="dxa"/>
            <w:left w:w="108" w:type="dxa"/>
            <w:bottom w:w="0" w:type="dxa"/>
            <w:right w:w="108" w:type="dxa"/>
          </w:tblCellMar>
        </w:tblPrEx>
        <w:trPr>
          <w:trHeight w:val="323" w:hRule="atLeast"/>
          <w:jc w:val="center"/>
        </w:trPr>
        <w:tc>
          <w:tcPr>
            <w:tcW w:w="3727" w:type="dxa"/>
            <w:tcBorders>
              <w:top w:val="nil"/>
              <w:left w:val="single" w:color="auto" w:sz="4" w:space="0"/>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bCs/>
                <w:color w:val="auto"/>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信地村</w:t>
            </w:r>
          </w:p>
        </w:tc>
        <w:tc>
          <w:tcPr>
            <w:tcW w:w="1199"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bCs/>
                <w:color w:val="auto"/>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3.46</w:t>
            </w:r>
          </w:p>
        </w:tc>
        <w:tc>
          <w:tcPr>
            <w:tcW w:w="1214"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bCs/>
                <w:color w:val="auto"/>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43.69</w:t>
            </w:r>
          </w:p>
        </w:tc>
        <w:tc>
          <w:tcPr>
            <w:tcW w:w="1214"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bCs/>
                <w:color w:val="auto"/>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47.15</w:t>
            </w:r>
          </w:p>
        </w:tc>
        <w:tc>
          <w:tcPr>
            <w:tcW w:w="1389"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bCs/>
                <w:color w:val="auto"/>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12.71%</w:t>
            </w:r>
          </w:p>
        </w:tc>
      </w:tr>
      <w:tr>
        <w:tblPrEx>
          <w:tblCellMar>
            <w:top w:w="0" w:type="dxa"/>
            <w:left w:w="108" w:type="dxa"/>
            <w:bottom w:w="0" w:type="dxa"/>
            <w:right w:w="108" w:type="dxa"/>
          </w:tblCellMar>
        </w:tblPrEx>
        <w:trPr>
          <w:trHeight w:val="323" w:hRule="atLeast"/>
          <w:jc w:val="center"/>
        </w:trPr>
        <w:tc>
          <w:tcPr>
            <w:tcW w:w="3727" w:type="dxa"/>
            <w:tcBorders>
              <w:top w:val="nil"/>
              <w:left w:val="single" w:color="auto" w:sz="4" w:space="0"/>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bCs/>
                <w:color w:val="auto"/>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庄坑村</w:t>
            </w:r>
          </w:p>
        </w:tc>
        <w:tc>
          <w:tcPr>
            <w:tcW w:w="1199"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bCs/>
                <w:color w:val="auto"/>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1.14</w:t>
            </w:r>
          </w:p>
        </w:tc>
        <w:tc>
          <w:tcPr>
            <w:tcW w:w="1214"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bCs/>
                <w:color w:val="auto"/>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27.51</w:t>
            </w:r>
          </w:p>
        </w:tc>
        <w:tc>
          <w:tcPr>
            <w:tcW w:w="1214"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bCs/>
                <w:color w:val="auto"/>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28.65</w:t>
            </w:r>
          </w:p>
        </w:tc>
        <w:tc>
          <w:tcPr>
            <w:tcW w:w="1389"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bCs/>
                <w:color w:val="auto"/>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7.72%</w:t>
            </w:r>
          </w:p>
        </w:tc>
      </w:tr>
      <w:tr>
        <w:tblPrEx>
          <w:tblCellMar>
            <w:top w:w="0" w:type="dxa"/>
            <w:left w:w="108" w:type="dxa"/>
            <w:bottom w:w="0" w:type="dxa"/>
            <w:right w:w="108" w:type="dxa"/>
          </w:tblCellMar>
        </w:tblPrEx>
        <w:trPr>
          <w:trHeight w:val="323" w:hRule="atLeast"/>
          <w:jc w:val="center"/>
        </w:trPr>
        <w:tc>
          <w:tcPr>
            <w:tcW w:w="3727" w:type="dxa"/>
            <w:tcBorders>
              <w:top w:val="nil"/>
              <w:left w:val="single" w:color="auto" w:sz="4" w:space="0"/>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bCs/>
                <w:color w:val="auto"/>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庄前村</w:t>
            </w:r>
          </w:p>
        </w:tc>
        <w:tc>
          <w:tcPr>
            <w:tcW w:w="1199"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bCs/>
                <w:color w:val="auto"/>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2.86</w:t>
            </w:r>
          </w:p>
        </w:tc>
        <w:tc>
          <w:tcPr>
            <w:tcW w:w="1214"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bCs/>
                <w:color w:val="auto"/>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46.05</w:t>
            </w:r>
          </w:p>
        </w:tc>
        <w:tc>
          <w:tcPr>
            <w:tcW w:w="1214"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bCs/>
                <w:color w:val="auto"/>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48.91</w:t>
            </w:r>
          </w:p>
        </w:tc>
        <w:tc>
          <w:tcPr>
            <w:tcW w:w="1389"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bCs/>
                <w:color w:val="auto"/>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13.18%</w:t>
            </w:r>
          </w:p>
        </w:tc>
      </w:tr>
      <w:tr>
        <w:tblPrEx>
          <w:tblCellMar>
            <w:top w:w="0" w:type="dxa"/>
            <w:left w:w="108" w:type="dxa"/>
            <w:bottom w:w="0" w:type="dxa"/>
            <w:right w:w="108" w:type="dxa"/>
          </w:tblCellMar>
        </w:tblPrEx>
        <w:trPr>
          <w:trHeight w:val="323" w:hRule="atLeast"/>
          <w:jc w:val="center"/>
        </w:trPr>
        <w:tc>
          <w:tcPr>
            <w:tcW w:w="3727" w:type="dxa"/>
            <w:tcBorders>
              <w:top w:val="nil"/>
              <w:left w:val="single" w:color="auto" w:sz="4" w:space="0"/>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bCs/>
                <w:color w:val="auto"/>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总计</w:t>
            </w:r>
          </w:p>
        </w:tc>
        <w:tc>
          <w:tcPr>
            <w:tcW w:w="1199"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bCs/>
                <w:color w:val="auto"/>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29.2</w:t>
            </w:r>
          </w:p>
        </w:tc>
        <w:tc>
          <w:tcPr>
            <w:tcW w:w="1214"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bCs/>
                <w:color w:val="auto"/>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341.91</w:t>
            </w:r>
          </w:p>
        </w:tc>
        <w:tc>
          <w:tcPr>
            <w:tcW w:w="1214"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default" w:ascii="仿宋_GB2312" w:hAnsi="仿宋_GB2312" w:eastAsia="仿宋_GB2312" w:cs="仿宋_GB2312"/>
                <w:bCs/>
                <w:color w:val="auto"/>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371.37</w:t>
            </w:r>
          </w:p>
        </w:tc>
        <w:tc>
          <w:tcPr>
            <w:tcW w:w="1389" w:type="dxa"/>
            <w:tcBorders>
              <w:top w:val="nil"/>
              <w:left w:val="nil"/>
              <w:bottom w:val="single" w:color="auto" w:sz="4" w:space="0"/>
              <w:right w:val="single" w:color="auto" w:sz="4" w:space="0"/>
            </w:tcBorders>
            <w:noWrap/>
            <w:vAlign w:val="bottom"/>
          </w:tcPr>
          <w:p>
            <w:pPr>
              <w:keepNext w:val="0"/>
              <w:keepLines w:val="0"/>
              <w:widowControl/>
              <w:suppressLineNumbers w:val="0"/>
              <w:ind w:firstLine="420" w:firstLineChars="200"/>
              <w:jc w:val="center"/>
              <w:textAlignment w:val="bottom"/>
              <w:rPr>
                <w:rFonts w:hint="eastAsia" w:ascii="仿宋_GB2312" w:hAnsi="仿宋_GB2312" w:eastAsia="仿宋_GB2312" w:cs="仿宋_GB2312"/>
                <w:bCs/>
                <w:color w:val="auto"/>
                <w:kern w:val="0"/>
                <w:sz w:val="21"/>
                <w:szCs w:val="21"/>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100.00%</w:t>
            </w:r>
          </w:p>
        </w:tc>
      </w:tr>
    </w:tbl>
    <w:p>
      <w:pPr>
        <w:snapToGrid w:val="0"/>
        <w:spacing w:line="480" w:lineRule="exact"/>
        <w:ind w:firstLine="562"/>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二、耕地占补平衡分析</w:t>
      </w:r>
    </w:p>
    <w:p>
      <w:pPr>
        <w:pStyle w:val="24"/>
        <w:pageBreakBefore w:val="0"/>
        <w:kinsoku/>
        <w:wordWrap/>
        <w:overflowPunct/>
        <w:topLinePunct w:val="0"/>
        <w:bidi w:val="0"/>
        <w:spacing w:line="480" w:lineRule="exact"/>
        <w:ind w:firstLine="560" w:firstLineChars="200"/>
        <w:rPr>
          <w:rFonts w:hint="eastAsia" w:ascii="Times New Roman" w:hAnsi="Times New Roman" w:eastAsia="仿宋_GB2312"/>
          <w:bCs/>
          <w:color w:val="auto"/>
          <w:sz w:val="28"/>
          <w:szCs w:val="28"/>
        </w:rPr>
      </w:pPr>
      <w:r>
        <w:rPr>
          <w:rFonts w:hint="eastAsia" w:ascii="Times New Roman" w:hAnsi="Times New Roman" w:eastAsia="仿宋_GB2312"/>
          <w:bCs/>
          <w:color w:val="auto"/>
          <w:sz w:val="28"/>
          <w:szCs w:val="28"/>
          <w:lang w:val="en-US" w:eastAsia="zh-CN"/>
        </w:rPr>
        <w:t>1、</w:t>
      </w:r>
      <w:r>
        <w:rPr>
          <w:rFonts w:hint="eastAsia" w:ascii="Times New Roman" w:hAnsi="Times New Roman" w:eastAsia="仿宋_GB2312"/>
          <w:bCs/>
          <w:color w:val="auto"/>
          <w:sz w:val="28"/>
          <w:szCs w:val="28"/>
        </w:rPr>
        <w:t>耕地占用规模预测</w:t>
      </w:r>
    </w:p>
    <w:p>
      <w:pPr>
        <w:pStyle w:val="24"/>
        <w:pageBreakBefore w:val="0"/>
        <w:kinsoku/>
        <w:wordWrap/>
        <w:overflowPunct/>
        <w:topLinePunct w:val="0"/>
        <w:bidi w:val="0"/>
        <w:spacing w:line="480" w:lineRule="exact"/>
        <w:ind w:firstLine="560" w:firstLineChars="200"/>
        <w:rPr>
          <w:rFonts w:ascii="Times New Roman" w:hAnsi="Times New Roman" w:eastAsia="仿宋_GB2312"/>
          <w:bCs/>
          <w:color w:val="auto"/>
          <w:sz w:val="28"/>
          <w:szCs w:val="28"/>
        </w:rPr>
      </w:pPr>
      <w:r>
        <w:rPr>
          <w:rFonts w:hint="eastAsia" w:ascii="Times New Roman" w:hAnsi="Times New Roman" w:eastAsia="仿宋_GB2312"/>
          <w:bCs/>
          <w:color w:val="auto"/>
          <w:sz w:val="28"/>
          <w:szCs w:val="28"/>
        </w:rPr>
        <w:t>占用耕地的情况主要分为两种，一是重点建设项目占用耕地</w:t>
      </w:r>
      <w:r>
        <w:rPr>
          <w:rFonts w:hint="eastAsia" w:ascii="Times New Roman" w:hAnsi="Times New Roman" w:eastAsia="仿宋_GB2312"/>
          <w:bCs/>
          <w:color w:val="auto"/>
          <w:sz w:val="28"/>
          <w:szCs w:val="28"/>
          <w:lang w:eastAsia="zh-CN"/>
        </w:rPr>
        <w:t>，</w:t>
      </w:r>
      <w:r>
        <w:rPr>
          <w:rFonts w:hint="eastAsia" w:ascii="Times New Roman" w:hAnsi="Times New Roman" w:eastAsia="仿宋_GB2312" w:cs="Times New Roman"/>
          <w:b w:val="0"/>
          <w:bCs w:val="0"/>
          <w:color w:val="auto"/>
          <w:kern w:val="2"/>
          <w:sz w:val="28"/>
          <w:szCs w:val="28"/>
          <w:highlight w:val="none"/>
          <w:u w:val="none"/>
          <w:lang w:val="en-US" w:eastAsia="zh-CN" w:bidi="ar-SA"/>
        </w:rPr>
        <w:t>预计县级、乡镇重点建设项目及村庄建设占用耕地规模2.81公顷</w:t>
      </w:r>
      <w:r>
        <w:rPr>
          <w:rFonts w:hint="eastAsia" w:ascii="Times New Roman" w:hAnsi="Times New Roman" w:eastAsia="仿宋_GB2312"/>
          <w:bCs/>
          <w:color w:val="auto"/>
          <w:sz w:val="28"/>
          <w:szCs w:val="28"/>
        </w:rPr>
        <w:t>，二是城镇开发边界内为满足民生、经济发展要求的正常建设占用耕地</w:t>
      </w:r>
      <w:r>
        <w:rPr>
          <w:rFonts w:hint="eastAsia" w:ascii="Times New Roman" w:hAnsi="Times New Roman" w:eastAsia="仿宋_GB2312"/>
          <w:bCs/>
          <w:color w:val="auto"/>
          <w:sz w:val="28"/>
          <w:szCs w:val="28"/>
          <w:lang w:eastAsia="zh-CN"/>
        </w:rPr>
        <w:t>，</w:t>
      </w:r>
      <w:r>
        <w:rPr>
          <w:rFonts w:hint="eastAsia" w:ascii="Times New Roman" w:hAnsi="Times New Roman" w:eastAsia="仿宋_GB2312"/>
          <w:bCs/>
          <w:color w:val="auto"/>
          <w:sz w:val="28"/>
          <w:szCs w:val="28"/>
          <w:lang w:val="en-US" w:eastAsia="zh-CN"/>
        </w:rPr>
        <w:t>平富乡城镇开发边界占用耕地</w:t>
      </w:r>
      <w:r>
        <w:rPr>
          <w:rFonts w:hint="eastAsia" w:ascii="Times New Roman" w:hAnsi="Times New Roman" w:eastAsia="仿宋_GB2312" w:cs="Times New Roman"/>
          <w:b w:val="0"/>
          <w:bCs w:val="0"/>
          <w:color w:val="auto"/>
          <w:kern w:val="2"/>
          <w:sz w:val="28"/>
          <w:szCs w:val="28"/>
          <w:highlight w:val="none"/>
          <w:u w:val="none"/>
          <w:lang w:val="en-US" w:eastAsia="zh-CN" w:bidi="ar-SA"/>
        </w:rPr>
        <w:t>2.26</w:t>
      </w:r>
      <w:r>
        <w:rPr>
          <w:rFonts w:hint="eastAsia" w:ascii="Times New Roman" w:hAnsi="Times New Roman" w:eastAsia="仿宋_GB2312"/>
          <w:bCs/>
          <w:color w:val="auto"/>
          <w:sz w:val="28"/>
          <w:szCs w:val="28"/>
          <w:lang w:val="en-US" w:eastAsia="zh-CN"/>
        </w:rPr>
        <w:t>公顷，总计占用耕地</w:t>
      </w:r>
      <w:r>
        <w:rPr>
          <w:rFonts w:hint="eastAsia" w:ascii="Times New Roman" w:hAnsi="Times New Roman" w:eastAsia="仿宋_GB2312" w:cs="Times New Roman"/>
          <w:b w:val="0"/>
          <w:bCs w:val="0"/>
          <w:color w:val="auto"/>
          <w:kern w:val="2"/>
          <w:sz w:val="28"/>
          <w:szCs w:val="28"/>
          <w:highlight w:val="none"/>
          <w:u w:val="none"/>
          <w:lang w:val="en-US" w:eastAsia="zh-CN" w:bidi="ar-SA"/>
        </w:rPr>
        <w:t>5.07</w:t>
      </w:r>
      <w:r>
        <w:rPr>
          <w:rFonts w:hint="eastAsia" w:ascii="Times New Roman" w:hAnsi="Times New Roman" w:eastAsia="仿宋_GB2312"/>
          <w:bCs/>
          <w:color w:val="auto"/>
          <w:sz w:val="28"/>
          <w:szCs w:val="28"/>
          <w:lang w:val="en-US" w:eastAsia="zh-CN"/>
        </w:rPr>
        <w:t>公顷</w:t>
      </w:r>
      <w:r>
        <w:rPr>
          <w:rFonts w:hint="eastAsia" w:ascii="Times New Roman" w:hAnsi="Times New Roman" w:eastAsia="仿宋_GB2312"/>
          <w:bCs/>
          <w:color w:val="auto"/>
          <w:sz w:val="28"/>
          <w:szCs w:val="28"/>
        </w:rPr>
        <w:t>。</w:t>
      </w:r>
    </w:p>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Times New Roman"/>
          <w:b/>
          <w:color w:val="auto"/>
          <w:kern w:val="2"/>
          <w:sz w:val="21"/>
          <w:szCs w:val="22"/>
          <w:lang w:val="en-US" w:eastAsia="zh-CN" w:bidi="ar-SA"/>
        </w:rPr>
      </w:pPr>
      <w:r>
        <w:rPr>
          <w:rFonts w:hint="eastAsia" w:ascii="Times New Roman" w:hAnsi="Times New Roman" w:eastAsia="仿宋_GB2312" w:cs="Times New Roman"/>
          <w:b/>
          <w:color w:val="auto"/>
          <w:kern w:val="2"/>
          <w:sz w:val="21"/>
          <w:szCs w:val="22"/>
          <w:lang w:val="en-US" w:eastAsia="zh-CN" w:bidi="ar-SA"/>
        </w:rPr>
        <w:t>表9-2 平富乡重点建设项目占用耕地分布情况表</w:t>
      </w:r>
    </w:p>
    <w:p>
      <w:pPr>
        <w:keepNext/>
        <w:pageBreakBefore w:val="0"/>
        <w:kinsoku/>
        <w:wordWrap/>
        <w:overflowPunct/>
        <w:topLinePunct w:val="0"/>
        <w:bidi w:val="0"/>
        <w:snapToGrid w:val="0"/>
        <w:spacing w:line="480" w:lineRule="exact"/>
        <w:ind w:firstLine="0" w:firstLineChars="0"/>
        <w:jc w:val="right"/>
        <w:rPr>
          <w:rFonts w:hint="default" w:ascii="Times New Roman" w:hAnsi="Times New Roman" w:eastAsia="仿宋_GB2312" w:cs="Times New Roman"/>
          <w:b/>
          <w:color w:val="auto"/>
          <w:kern w:val="2"/>
          <w:sz w:val="21"/>
          <w:szCs w:val="22"/>
          <w:lang w:val="en-US" w:eastAsia="zh-CN" w:bidi="ar-SA"/>
        </w:rPr>
      </w:pPr>
      <w:r>
        <w:rPr>
          <w:rFonts w:hint="eastAsia" w:ascii="Times New Roman" w:hAnsi="Times New Roman" w:eastAsia="仿宋_GB2312" w:cs="Times New Roman"/>
          <w:b/>
          <w:color w:val="auto"/>
          <w:kern w:val="2"/>
          <w:sz w:val="21"/>
          <w:szCs w:val="22"/>
          <w:lang w:val="en-US" w:eastAsia="zh-CN" w:bidi="ar-SA"/>
        </w:rPr>
        <w:t>单位：公顷、%</w:t>
      </w:r>
    </w:p>
    <w:tbl>
      <w:tblPr>
        <w:tblStyle w:val="19"/>
        <w:tblW w:w="4916" w:type="pct"/>
        <w:tblInd w:w="0" w:type="dxa"/>
        <w:tblLayout w:type="autofit"/>
        <w:tblCellMar>
          <w:top w:w="0" w:type="dxa"/>
          <w:left w:w="108" w:type="dxa"/>
          <w:bottom w:w="0" w:type="dxa"/>
          <w:right w:w="108" w:type="dxa"/>
        </w:tblCellMar>
      </w:tblPr>
      <w:tblGrid>
        <w:gridCol w:w="3378"/>
        <w:gridCol w:w="1135"/>
        <w:gridCol w:w="1135"/>
        <w:gridCol w:w="1135"/>
        <w:gridCol w:w="1596"/>
      </w:tblGrid>
      <w:tr>
        <w:tblPrEx>
          <w:tblCellMar>
            <w:top w:w="0" w:type="dxa"/>
            <w:left w:w="108" w:type="dxa"/>
            <w:bottom w:w="0" w:type="dxa"/>
            <w:right w:w="108" w:type="dxa"/>
          </w:tblCellMar>
        </w:tblPrEx>
        <w:trPr>
          <w:trHeight w:val="351" w:hRule="atLeast"/>
        </w:trPr>
        <w:tc>
          <w:tcPr>
            <w:tcW w:w="20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auto"/>
                <w:kern w:val="0"/>
                <w:sz w:val="21"/>
                <w:szCs w:val="24"/>
                <w:lang w:val="en-US" w:eastAsia="zh-CN" w:bidi="ar"/>
              </w:rPr>
            </w:pPr>
            <w:r>
              <w:rPr>
                <w:rFonts w:hint="eastAsia" w:ascii="Times New Roman" w:hAnsi="Times New Roman" w:eastAsia="仿宋_GB2312" w:cs="Times New Roman"/>
                <w:b/>
                <w:bCs w:val="0"/>
                <w:color w:val="auto"/>
                <w:kern w:val="0"/>
                <w:sz w:val="21"/>
                <w:szCs w:val="24"/>
                <w:lang w:val="en-US" w:eastAsia="zh-CN" w:bidi="ar"/>
              </w:rPr>
              <w:t>行政区名称</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auto"/>
                <w:kern w:val="0"/>
                <w:sz w:val="21"/>
                <w:szCs w:val="24"/>
                <w:lang w:val="en-US" w:eastAsia="zh-CN" w:bidi="ar"/>
              </w:rPr>
            </w:pPr>
            <w:r>
              <w:rPr>
                <w:rFonts w:hint="eastAsia" w:ascii="Times New Roman" w:hAnsi="Times New Roman" w:eastAsia="仿宋_GB2312" w:cs="Times New Roman"/>
                <w:b/>
                <w:bCs w:val="0"/>
                <w:color w:val="auto"/>
                <w:kern w:val="0"/>
                <w:sz w:val="21"/>
                <w:szCs w:val="24"/>
                <w:lang w:val="en-US" w:eastAsia="zh-CN" w:bidi="ar"/>
              </w:rPr>
              <w:t>旱地</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auto"/>
                <w:kern w:val="0"/>
                <w:sz w:val="21"/>
                <w:szCs w:val="24"/>
                <w:lang w:val="en-US" w:eastAsia="zh-CN" w:bidi="ar"/>
              </w:rPr>
            </w:pPr>
            <w:r>
              <w:rPr>
                <w:rFonts w:hint="eastAsia" w:ascii="Times New Roman" w:hAnsi="Times New Roman" w:eastAsia="仿宋_GB2312" w:cs="Times New Roman"/>
                <w:b/>
                <w:bCs w:val="0"/>
                <w:color w:val="auto"/>
                <w:kern w:val="0"/>
                <w:sz w:val="21"/>
                <w:szCs w:val="24"/>
                <w:lang w:val="en-US" w:eastAsia="zh-CN" w:bidi="ar"/>
              </w:rPr>
              <w:t>水田</w:t>
            </w:r>
          </w:p>
        </w:tc>
        <w:tc>
          <w:tcPr>
            <w:tcW w:w="67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auto"/>
                <w:kern w:val="0"/>
                <w:sz w:val="21"/>
                <w:szCs w:val="24"/>
                <w:lang w:val="en-US" w:eastAsia="zh-CN" w:bidi="ar"/>
              </w:rPr>
            </w:pPr>
            <w:r>
              <w:rPr>
                <w:rFonts w:hint="eastAsia" w:ascii="Times New Roman" w:hAnsi="Times New Roman" w:eastAsia="仿宋_GB2312" w:cs="Times New Roman"/>
                <w:b/>
                <w:bCs w:val="0"/>
                <w:color w:val="auto"/>
                <w:kern w:val="0"/>
                <w:sz w:val="21"/>
                <w:szCs w:val="24"/>
                <w:lang w:val="en-US" w:eastAsia="zh-CN" w:bidi="ar"/>
              </w:rPr>
              <w:t>合计</w:t>
            </w:r>
          </w:p>
        </w:tc>
        <w:tc>
          <w:tcPr>
            <w:tcW w:w="9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auto"/>
                <w:kern w:val="0"/>
                <w:sz w:val="21"/>
                <w:szCs w:val="24"/>
                <w:lang w:val="en-US" w:eastAsia="zh-CN" w:bidi="ar"/>
              </w:rPr>
            </w:pPr>
            <w:r>
              <w:rPr>
                <w:rFonts w:hint="eastAsia" w:ascii="Times New Roman" w:hAnsi="Times New Roman" w:eastAsia="仿宋_GB2312" w:cs="Times New Roman"/>
                <w:b/>
                <w:bCs w:val="0"/>
                <w:color w:val="auto"/>
                <w:kern w:val="0"/>
                <w:sz w:val="21"/>
                <w:szCs w:val="24"/>
                <w:lang w:val="en-US" w:eastAsia="zh-CN" w:bidi="ar"/>
              </w:rPr>
              <w:t>占比</w:t>
            </w:r>
          </w:p>
        </w:tc>
      </w:tr>
      <w:tr>
        <w:tblPrEx>
          <w:tblCellMar>
            <w:top w:w="0" w:type="dxa"/>
            <w:left w:w="108" w:type="dxa"/>
            <w:bottom w:w="0" w:type="dxa"/>
            <w:right w:w="108" w:type="dxa"/>
          </w:tblCellMar>
        </w:tblPrEx>
        <w:trPr>
          <w:trHeight w:val="326" w:hRule="atLeast"/>
        </w:trPr>
        <w:tc>
          <w:tcPr>
            <w:tcW w:w="20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eastAsia" w:ascii="仿宋_GB2312" w:hAnsi="Arial" w:eastAsia="仿宋_GB2312" w:cs="仿宋_GB2312"/>
                <w:i w:val="0"/>
                <w:iCs w:val="0"/>
                <w:color w:val="000000"/>
                <w:kern w:val="0"/>
                <w:sz w:val="21"/>
                <w:szCs w:val="21"/>
                <w:u w:val="none"/>
                <w:lang w:val="en-US" w:eastAsia="zh-CN" w:bidi="ar"/>
              </w:rPr>
              <w:t>横坑村</w:t>
            </w:r>
          </w:p>
        </w:tc>
        <w:tc>
          <w:tcPr>
            <w:tcW w:w="11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 </w:t>
            </w:r>
          </w:p>
        </w:tc>
        <w:tc>
          <w:tcPr>
            <w:tcW w:w="11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 </w:t>
            </w:r>
          </w:p>
        </w:tc>
        <w:tc>
          <w:tcPr>
            <w:tcW w:w="11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 </w:t>
            </w: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0.04%</w:t>
            </w:r>
          </w:p>
        </w:tc>
      </w:tr>
      <w:tr>
        <w:tblPrEx>
          <w:tblCellMar>
            <w:top w:w="0" w:type="dxa"/>
            <w:left w:w="108" w:type="dxa"/>
            <w:bottom w:w="0" w:type="dxa"/>
            <w:right w:w="108" w:type="dxa"/>
          </w:tblCellMar>
        </w:tblPrEx>
        <w:trPr>
          <w:trHeight w:val="351" w:hRule="atLeast"/>
        </w:trPr>
        <w:tc>
          <w:tcPr>
            <w:tcW w:w="20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eastAsia" w:ascii="仿宋_GB2312" w:hAnsi="Arial" w:eastAsia="仿宋_GB2312" w:cs="仿宋_GB2312"/>
                <w:i w:val="0"/>
                <w:iCs w:val="0"/>
                <w:color w:val="000000"/>
                <w:kern w:val="0"/>
                <w:sz w:val="21"/>
                <w:szCs w:val="21"/>
                <w:u w:val="none"/>
                <w:lang w:val="en-US" w:eastAsia="zh-CN" w:bidi="ar"/>
              </w:rPr>
              <w:t>平富村</w:t>
            </w:r>
          </w:p>
        </w:tc>
        <w:tc>
          <w:tcPr>
            <w:tcW w:w="11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00" w:firstLineChars="200"/>
              <w:jc w:val="right"/>
              <w:textAlignment w:val="bottom"/>
              <w:rPr>
                <w:rFonts w:hint="eastAsia" w:ascii="Times New Roman" w:hAnsi="Times New Roman" w:eastAsia="仿宋_GB2312" w:cs="Times New Roman"/>
                <w:bCs/>
                <w:color w:val="auto"/>
                <w:kern w:val="0"/>
                <w:sz w:val="21"/>
                <w:szCs w:val="24"/>
                <w:lang w:val="en-US" w:eastAsia="zh-CN" w:bidi="ar"/>
              </w:rPr>
            </w:pPr>
            <w:r>
              <w:rPr>
                <w:rFonts w:hint="default" w:ascii="Arial" w:hAnsi="Arial" w:eastAsia="宋体" w:cs="Arial"/>
                <w:i w:val="0"/>
                <w:iCs w:val="0"/>
                <w:color w:val="000000"/>
                <w:kern w:val="0"/>
                <w:sz w:val="20"/>
                <w:szCs w:val="20"/>
                <w:u w:val="none"/>
                <w:lang w:val="en-US" w:eastAsia="zh-CN" w:bidi="ar"/>
              </w:rPr>
              <w:t xml:space="preserve">0.04 </w:t>
            </w:r>
          </w:p>
        </w:tc>
        <w:tc>
          <w:tcPr>
            <w:tcW w:w="11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1.81 </w:t>
            </w:r>
          </w:p>
        </w:tc>
        <w:tc>
          <w:tcPr>
            <w:tcW w:w="11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1.85 </w:t>
            </w: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65.76%</w:t>
            </w:r>
          </w:p>
        </w:tc>
      </w:tr>
      <w:tr>
        <w:tblPrEx>
          <w:tblCellMar>
            <w:top w:w="0" w:type="dxa"/>
            <w:left w:w="108" w:type="dxa"/>
            <w:bottom w:w="0" w:type="dxa"/>
            <w:right w:w="108" w:type="dxa"/>
          </w:tblCellMar>
        </w:tblPrEx>
        <w:trPr>
          <w:trHeight w:val="351" w:hRule="atLeast"/>
        </w:trPr>
        <w:tc>
          <w:tcPr>
            <w:tcW w:w="20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eastAsia" w:ascii="仿宋_GB2312" w:hAnsi="Arial" w:eastAsia="仿宋_GB2312" w:cs="仿宋_GB2312"/>
                <w:i w:val="0"/>
                <w:iCs w:val="0"/>
                <w:color w:val="000000"/>
                <w:kern w:val="0"/>
                <w:sz w:val="21"/>
                <w:szCs w:val="21"/>
                <w:u w:val="none"/>
                <w:lang w:val="en-US" w:eastAsia="zh-CN" w:bidi="ar"/>
              </w:rPr>
              <w:t>上寨村</w:t>
            </w:r>
          </w:p>
        </w:tc>
        <w:tc>
          <w:tcPr>
            <w:tcW w:w="11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0.01 </w:t>
            </w:r>
          </w:p>
        </w:tc>
        <w:tc>
          <w:tcPr>
            <w:tcW w:w="11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0.58 </w:t>
            </w:r>
          </w:p>
        </w:tc>
        <w:tc>
          <w:tcPr>
            <w:tcW w:w="11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0.58 </w:t>
            </w: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20.74%</w:t>
            </w:r>
          </w:p>
        </w:tc>
      </w:tr>
      <w:tr>
        <w:tblPrEx>
          <w:tblCellMar>
            <w:top w:w="0" w:type="dxa"/>
            <w:left w:w="108" w:type="dxa"/>
            <w:bottom w:w="0" w:type="dxa"/>
            <w:right w:w="108" w:type="dxa"/>
          </w:tblCellMar>
        </w:tblPrEx>
        <w:trPr>
          <w:trHeight w:val="351" w:hRule="atLeast"/>
        </w:trPr>
        <w:tc>
          <w:tcPr>
            <w:tcW w:w="20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eastAsia" w:ascii="仿宋_GB2312" w:hAnsi="Arial" w:eastAsia="仿宋_GB2312" w:cs="仿宋_GB2312"/>
                <w:i w:val="0"/>
                <w:iCs w:val="0"/>
                <w:color w:val="000000"/>
                <w:kern w:val="0"/>
                <w:sz w:val="21"/>
                <w:szCs w:val="21"/>
                <w:u w:val="none"/>
                <w:lang w:val="en-US" w:eastAsia="zh-CN" w:bidi="ar"/>
              </w:rPr>
              <w:t>向前村</w:t>
            </w:r>
          </w:p>
        </w:tc>
        <w:tc>
          <w:tcPr>
            <w:tcW w:w="11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0.19 </w:t>
            </w:r>
          </w:p>
        </w:tc>
        <w:tc>
          <w:tcPr>
            <w:tcW w:w="11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0.14 </w:t>
            </w:r>
          </w:p>
        </w:tc>
        <w:tc>
          <w:tcPr>
            <w:tcW w:w="11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0.33 </w:t>
            </w: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11.92%</w:t>
            </w:r>
          </w:p>
        </w:tc>
      </w:tr>
      <w:tr>
        <w:tblPrEx>
          <w:tblCellMar>
            <w:top w:w="0" w:type="dxa"/>
            <w:left w:w="108" w:type="dxa"/>
            <w:bottom w:w="0" w:type="dxa"/>
            <w:right w:w="108" w:type="dxa"/>
          </w:tblCellMar>
        </w:tblPrEx>
        <w:trPr>
          <w:trHeight w:val="351" w:hRule="atLeast"/>
        </w:trPr>
        <w:tc>
          <w:tcPr>
            <w:tcW w:w="20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eastAsia" w:ascii="仿宋_GB2312" w:hAnsi="Arial" w:eastAsia="仿宋_GB2312" w:cs="仿宋_GB2312"/>
                <w:i w:val="0"/>
                <w:iCs w:val="0"/>
                <w:color w:val="000000"/>
                <w:kern w:val="0"/>
                <w:sz w:val="21"/>
                <w:szCs w:val="21"/>
                <w:u w:val="none"/>
                <w:lang w:val="en-US" w:eastAsia="zh-CN" w:bidi="ar"/>
              </w:rPr>
              <w:t>庄坑村</w:t>
            </w:r>
          </w:p>
        </w:tc>
        <w:tc>
          <w:tcPr>
            <w:tcW w:w="11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 </w:t>
            </w:r>
          </w:p>
        </w:tc>
        <w:tc>
          <w:tcPr>
            <w:tcW w:w="11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 </w:t>
            </w:r>
          </w:p>
        </w:tc>
        <w:tc>
          <w:tcPr>
            <w:tcW w:w="11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 </w:t>
            </w: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0.04%</w:t>
            </w:r>
          </w:p>
        </w:tc>
      </w:tr>
      <w:tr>
        <w:tblPrEx>
          <w:tblCellMar>
            <w:top w:w="0" w:type="dxa"/>
            <w:left w:w="108" w:type="dxa"/>
            <w:bottom w:w="0" w:type="dxa"/>
            <w:right w:w="108" w:type="dxa"/>
          </w:tblCellMar>
        </w:tblPrEx>
        <w:trPr>
          <w:trHeight w:val="351" w:hRule="atLeast"/>
        </w:trPr>
        <w:tc>
          <w:tcPr>
            <w:tcW w:w="20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eastAsia" w:ascii="仿宋_GB2312" w:hAnsi="Arial" w:eastAsia="仿宋_GB2312" w:cs="仿宋_GB2312"/>
                <w:i w:val="0"/>
                <w:iCs w:val="0"/>
                <w:color w:val="000000"/>
                <w:kern w:val="0"/>
                <w:sz w:val="21"/>
                <w:szCs w:val="21"/>
                <w:u w:val="none"/>
                <w:lang w:val="en-US" w:eastAsia="zh-CN" w:bidi="ar"/>
              </w:rPr>
              <w:t>庄前村</w:t>
            </w:r>
          </w:p>
        </w:tc>
        <w:tc>
          <w:tcPr>
            <w:tcW w:w="11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 </w:t>
            </w:r>
          </w:p>
        </w:tc>
        <w:tc>
          <w:tcPr>
            <w:tcW w:w="11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0.04 </w:t>
            </w:r>
          </w:p>
        </w:tc>
        <w:tc>
          <w:tcPr>
            <w:tcW w:w="11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0.04 </w:t>
            </w: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1.51%</w:t>
            </w:r>
          </w:p>
        </w:tc>
      </w:tr>
      <w:tr>
        <w:tblPrEx>
          <w:tblCellMar>
            <w:top w:w="0" w:type="dxa"/>
            <w:left w:w="108" w:type="dxa"/>
            <w:bottom w:w="0" w:type="dxa"/>
            <w:right w:w="108" w:type="dxa"/>
          </w:tblCellMar>
        </w:tblPrEx>
        <w:trPr>
          <w:trHeight w:val="351" w:hRule="atLeast"/>
        </w:trPr>
        <w:tc>
          <w:tcPr>
            <w:tcW w:w="201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eastAsia" w:ascii="仿宋_GB2312" w:hAnsi="Arial" w:eastAsia="仿宋_GB2312" w:cs="仿宋_GB2312"/>
                <w:i w:val="0"/>
                <w:iCs w:val="0"/>
                <w:color w:val="000000"/>
                <w:kern w:val="0"/>
                <w:sz w:val="21"/>
                <w:szCs w:val="21"/>
                <w:u w:val="none"/>
                <w:lang w:val="en-US" w:eastAsia="zh-CN" w:bidi="ar"/>
              </w:rPr>
              <w:t>总计</w:t>
            </w:r>
          </w:p>
        </w:tc>
        <w:tc>
          <w:tcPr>
            <w:tcW w:w="11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0.24 </w:t>
            </w:r>
          </w:p>
        </w:tc>
        <w:tc>
          <w:tcPr>
            <w:tcW w:w="11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2.57 </w:t>
            </w:r>
          </w:p>
        </w:tc>
        <w:tc>
          <w:tcPr>
            <w:tcW w:w="113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2.81 </w:t>
            </w:r>
          </w:p>
        </w:tc>
        <w:tc>
          <w:tcPr>
            <w:tcW w:w="159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100.00%</w:t>
            </w:r>
          </w:p>
        </w:tc>
      </w:tr>
    </w:tbl>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Times New Roman"/>
          <w:b/>
          <w:color w:val="auto"/>
          <w:kern w:val="2"/>
          <w:sz w:val="21"/>
          <w:szCs w:val="22"/>
          <w:lang w:val="en-US" w:eastAsia="zh-CN" w:bidi="ar-SA"/>
        </w:rPr>
      </w:pPr>
      <w:r>
        <w:rPr>
          <w:rFonts w:hint="eastAsia" w:ascii="Times New Roman" w:hAnsi="Times New Roman" w:eastAsia="仿宋_GB2312" w:cs="Times New Roman"/>
          <w:b/>
          <w:color w:val="auto"/>
          <w:kern w:val="2"/>
          <w:sz w:val="21"/>
          <w:szCs w:val="22"/>
          <w:lang w:val="en-US" w:eastAsia="zh-CN" w:bidi="ar-SA"/>
        </w:rPr>
        <w:t>表9-3 平富乡城镇开发边界内建设占用耕地分布情况表</w:t>
      </w:r>
    </w:p>
    <w:p>
      <w:pPr>
        <w:keepNext/>
        <w:pageBreakBefore w:val="0"/>
        <w:kinsoku/>
        <w:wordWrap/>
        <w:overflowPunct/>
        <w:topLinePunct w:val="0"/>
        <w:bidi w:val="0"/>
        <w:snapToGrid w:val="0"/>
        <w:spacing w:line="480" w:lineRule="exact"/>
        <w:ind w:firstLine="0" w:firstLineChars="0"/>
        <w:jc w:val="right"/>
        <w:rPr>
          <w:rFonts w:hint="default" w:ascii="Times New Roman" w:hAnsi="Times New Roman" w:eastAsia="仿宋_GB2312" w:cs="Times New Roman"/>
          <w:b/>
          <w:color w:val="auto"/>
          <w:kern w:val="2"/>
          <w:sz w:val="21"/>
          <w:szCs w:val="22"/>
          <w:lang w:val="en-US" w:eastAsia="zh-CN" w:bidi="ar-SA"/>
        </w:rPr>
      </w:pPr>
      <w:r>
        <w:rPr>
          <w:rFonts w:hint="eastAsia" w:ascii="Times New Roman" w:hAnsi="Times New Roman" w:eastAsia="仿宋_GB2312" w:cs="Times New Roman"/>
          <w:b/>
          <w:color w:val="auto"/>
          <w:kern w:val="2"/>
          <w:sz w:val="21"/>
          <w:szCs w:val="22"/>
          <w:lang w:val="en-US" w:eastAsia="zh-CN" w:bidi="ar-SA"/>
        </w:rPr>
        <w:t>单位：公顷、%</w:t>
      </w:r>
    </w:p>
    <w:tbl>
      <w:tblPr>
        <w:tblStyle w:val="19"/>
        <w:tblW w:w="4924" w:type="pct"/>
        <w:tblInd w:w="0" w:type="dxa"/>
        <w:tblLayout w:type="fixed"/>
        <w:tblCellMar>
          <w:top w:w="0" w:type="dxa"/>
          <w:left w:w="108" w:type="dxa"/>
          <w:bottom w:w="0" w:type="dxa"/>
          <w:right w:w="108" w:type="dxa"/>
        </w:tblCellMar>
      </w:tblPr>
      <w:tblGrid>
        <w:gridCol w:w="3364"/>
        <w:gridCol w:w="1152"/>
        <w:gridCol w:w="1127"/>
        <w:gridCol w:w="1151"/>
        <w:gridCol w:w="1599"/>
      </w:tblGrid>
      <w:tr>
        <w:tblPrEx>
          <w:tblCellMar>
            <w:top w:w="0" w:type="dxa"/>
            <w:left w:w="108" w:type="dxa"/>
            <w:bottom w:w="0" w:type="dxa"/>
            <w:right w:w="108" w:type="dxa"/>
          </w:tblCellMar>
        </w:tblPrEx>
        <w:trPr>
          <w:trHeight w:val="500" w:hRule="atLeast"/>
          <w:tblHeader/>
        </w:trPr>
        <w:tc>
          <w:tcPr>
            <w:tcW w:w="20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auto"/>
                <w:kern w:val="0"/>
                <w:sz w:val="21"/>
                <w:szCs w:val="24"/>
                <w:lang w:val="en-US" w:eastAsia="zh-CN" w:bidi="ar"/>
              </w:rPr>
            </w:pPr>
            <w:r>
              <w:rPr>
                <w:rFonts w:hint="eastAsia" w:ascii="Times New Roman" w:hAnsi="Times New Roman" w:eastAsia="仿宋_GB2312" w:cs="Times New Roman"/>
                <w:b/>
                <w:bCs w:val="0"/>
                <w:color w:val="auto"/>
                <w:kern w:val="0"/>
                <w:sz w:val="21"/>
                <w:szCs w:val="24"/>
                <w:lang w:val="en-US" w:eastAsia="zh-CN" w:bidi="ar"/>
              </w:rPr>
              <w:t>行政区名称</w:t>
            </w:r>
          </w:p>
        </w:tc>
        <w:tc>
          <w:tcPr>
            <w:tcW w:w="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auto"/>
                <w:kern w:val="0"/>
                <w:sz w:val="21"/>
                <w:szCs w:val="24"/>
                <w:lang w:val="en-US" w:eastAsia="zh-CN" w:bidi="ar"/>
              </w:rPr>
            </w:pPr>
            <w:r>
              <w:rPr>
                <w:rFonts w:hint="eastAsia" w:ascii="Times New Roman" w:hAnsi="Times New Roman" w:eastAsia="仿宋_GB2312" w:cs="Times New Roman"/>
                <w:b/>
                <w:bCs w:val="0"/>
                <w:color w:val="auto"/>
                <w:kern w:val="0"/>
                <w:sz w:val="21"/>
                <w:szCs w:val="24"/>
                <w:lang w:val="en-US" w:eastAsia="zh-CN" w:bidi="ar"/>
              </w:rPr>
              <w:t>旱地</w:t>
            </w:r>
          </w:p>
        </w:tc>
        <w:tc>
          <w:tcPr>
            <w:tcW w:w="6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auto"/>
                <w:kern w:val="0"/>
                <w:sz w:val="21"/>
                <w:szCs w:val="24"/>
                <w:lang w:val="en-US" w:eastAsia="zh-CN" w:bidi="ar"/>
              </w:rPr>
            </w:pPr>
            <w:r>
              <w:rPr>
                <w:rFonts w:hint="eastAsia" w:ascii="Times New Roman" w:hAnsi="Times New Roman" w:eastAsia="仿宋_GB2312" w:cs="Times New Roman"/>
                <w:b/>
                <w:bCs w:val="0"/>
                <w:color w:val="auto"/>
                <w:kern w:val="0"/>
                <w:sz w:val="21"/>
                <w:szCs w:val="24"/>
                <w:lang w:val="en-US" w:eastAsia="zh-CN" w:bidi="ar"/>
              </w:rPr>
              <w:t>水田</w:t>
            </w:r>
          </w:p>
        </w:tc>
        <w:tc>
          <w:tcPr>
            <w:tcW w:w="6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auto"/>
                <w:kern w:val="0"/>
                <w:sz w:val="21"/>
                <w:szCs w:val="24"/>
                <w:lang w:val="en-US" w:eastAsia="zh-CN" w:bidi="ar"/>
              </w:rPr>
            </w:pPr>
            <w:r>
              <w:rPr>
                <w:rFonts w:hint="eastAsia" w:ascii="Times New Roman" w:hAnsi="Times New Roman" w:eastAsia="仿宋_GB2312" w:cs="Times New Roman"/>
                <w:b/>
                <w:bCs w:val="0"/>
                <w:color w:val="auto"/>
                <w:kern w:val="0"/>
                <w:sz w:val="21"/>
                <w:szCs w:val="24"/>
                <w:lang w:val="en-US" w:eastAsia="zh-CN" w:bidi="ar"/>
              </w:rPr>
              <w:t>合计</w:t>
            </w:r>
          </w:p>
        </w:tc>
        <w:tc>
          <w:tcPr>
            <w:tcW w:w="95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auto"/>
                <w:kern w:val="0"/>
                <w:sz w:val="21"/>
                <w:szCs w:val="24"/>
                <w:lang w:val="en-US" w:eastAsia="zh-CN" w:bidi="ar"/>
              </w:rPr>
            </w:pPr>
            <w:r>
              <w:rPr>
                <w:rFonts w:hint="eastAsia" w:ascii="Times New Roman" w:hAnsi="Times New Roman" w:eastAsia="仿宋_GB2312" w:cs="Times New Roman"/>
                <w:b/>
                <w:bCs w:val="0"/>
                <w:color w:val="auto"/>
                <w:kern w:val="0"/>
                <w:sz w:val="21"/>
                <w:szCs w:val="24"/>
                <w:lang w:val="en-US" w:eastAsia="zh-CN" w:bidi="ar"/>
              </w:rPr>
              <w:t>占比</w:t>
            </w:r>
          </w:p>
        </w:tc>
      </w:tr>
      <w:tr>
        <w:tblPrEx>
          <w:tblCellMar>
            <w:top w:w="0" w:type="dxa"/>
            <w:left w:w="108" w:type="dxa"/>
            <w:bottom w:w="0" w:type="dxa"/>
            <w:right w:w="108" w:type="dxa"/>
          </w:tblCellMar>
        </w:tblPrEx>
        <w:trPr>
          <w:trHeight w:val="500" w:hRule="atLeast"/>
        </w:trPr>
        <w:tc>
          <w:tcPr>
            <w:tcW w:w="20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eastAsia" w:ascii="仿宋_GB2312" w:hAnsi="Arial" w:eastAsia="仿宋_GB2312" w:cs="仿宋_GB2312"/>
                <w:i w:val="0"/>
                <w:iCs w:val="0"/>
                <w:color w:val="000000"/>
                <w:kern w:val="0"/>
                <w:sz w:val="21"/>
                <w:szCs w:val="21"/>
                <w:u w:val="none"/>
                <w:lang w:val="en-US" w:eastAsia="zh-CN" w:bidi="ar"/>
              </w:rPr>
              <w:t>上寨村</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0.35 </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1.31 </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1.66 </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73.38%</w:t>
            </w:r>
          </w:p>
        </w:tc>
      </w:tr>
      <w:tr>
        <w:tblPrEx>
          <w:tblCellMar>
            <w:top w:w="0" w:type="dxa"/>
            <w:left w:w="108" w:type="dxa"/>
            <w:bottom w:w="0" w:type="dxa"/>
            <w:right w:w="108" w:type="dxa"/>
          </w:tblCellMar>
        </w:tblPrEx>
        <w:trPr>
          <w:trHeight w:val="500" w:hRule="atLeast"/>
        </w:trPr>
        <w:tc>
          <w:tcPr>
            <w:tcW w:w="20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eastAsia" w:ascii="仿宋_GB2312" w:hAnsi="Arial" w:eastAsia="仿宋_GB2312" w:cs="仿宋_GB2312"/>
                <w:i w:val="0"/>
                <w:iCs w:val="0"/>
                <w:color w:val="000000"/>
                <w:kern w:val="0"/>
                <w:sz w:val="21"/>
                <w:szCs w:val="21"/>
                <w:u w:val="none"/>
                <w:lang w:val="en-US" w:eastAsia="zh-CN" w:bidi="ar"/>
              </w:rPr>
              <w:t>平富村</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0.37 </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0.37 </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16.59%</w:t>
            </w:r>
          </w:p>
        </w:tc>
      </w:tr>
      <w:tr>
        <w:tblPrEx>
          <w:tblCellMar>
            <w:top w:w="0" w:type="dxa"/>
            <w:left w:w="108" w:type="dxa"/>
            <w:bottom w:w="0" w:type="dxa"/>
            <w:right w:w="108" w:type="dxa"/>
          </w:tblCellMar>
        </w:tblPrEx>
        <w:trPr>
          <w:trHeight w:val="500" w:hRule="atLeast"/>
        </w:trPr>
        <w:tc>
          <w:tcPr>
            <w:tcW w:w="20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eastAsia" w:ascii="仿宋_GB2312" w:hAnsi="Arial" w:eastAsia="仿宋_GB2312" w:cs="仿宋_GB2312"/>
                <w:i w:val="0"/>
                <w:iCs w:val="0"/>
                <w:color w:val="000000"/>
                <w:kern w:val="0"/>
                <w:sz w:val="21"/>
                <w:szCs w:val="21"/>
                <w:u w:val="none"/>
                <w:lang w:val="en-US" w:eastAsia="zh-CN" w:bidi="ar"/>
              </w:rPr>
              <w:t>庄前村</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 </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0.23 </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0.23 </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10.03%</w:t>
            </w:r>
          </w:p>
        </w:tc>
      </w:tr>
      <w:tr>
        <w:tblPrEx>
          <w:tblCellMar>
            <w:top w:w="0" w:type="dxa"/>
            <w:left w:w="108" w:type="dxa"/>
            <w:bottom w:w="0" w:type="dxa"/>
            <w:right w:w="108" w:type="dxa"/>
          </w:tblCellMar>
        </w:tblPrEx>
        <w:trPr>
          <w:trHeight w:val="500" w:hRule="atLeast"/>
        </w:trPr>
        <w:tc>
          <w:tcPr>
            <w:tcW w:w="20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eastAsia" w:ascii="仿宋_GB2312" w:hAnsi="Arial" w:eastAsia="仿宋_GB2312" w:cs="仿宋_GB2312"/>
                <w:i w:val="0"/>
                <w:iCs w:val="0"/>
                <w:color w:val="000000"/>
                <w:kern w:val="0"/>
                <w:sz w:val="21"/>
                <w:szCs w:val="21"/>
                <w:u w:val="none"/>
                <w:lang w:val="en-US" w:eastAsia="zh-CN" w:bidi="ar"/>
              </w:rPr>
              <w:t>总计</w:t>
            </w:r>
          </w:p>
        </w:tc>
        <w:tc>
          <w:tcPr>
            <w:tcW w:w="11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0.35 </w:t>
            </w:r>
          </w:p>
        </w:tc>
        <w:tc>
          <w:tcPr>
            <w:tcW w:w="112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1.91 </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2.26 </w:t>
            </w:r>
          </w:p>
        </w:tc>
        <w:tc>
          <w:tcPr>
            <w:tcW w:w="159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100.00%</w:t>
            </w:r>
          </w:p>
        </w:tc>
      </w:tr>
    </w:tbl>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Times New Roman"/>
          <w:b/>
          <w:color w:val="auto"/>
          <w:kern w:val="2"/>
          <w:sz w:val="21"/>
          <w:szCs w:val="22"/>
          <w:lang w:val="en-US" w:eastAsia="zh-CN" w:bidi="ar-SA"/>
        </w:rPr>
      </w:pPr>
      <w:r>
        <w:rPr>
          <w:rFonts w:hint="eastAsia" w:ascii="Times New Roman" w:hAnsi="Times New Roman" w:eastAsia="仿宋_GB2312" w:cs="Times New Roman"/>
          <w:b/>
          <w:color w:val="auto"/>
          <w:kern w:val="2"/>
          <w:sz w:val="21"/>
          <w:szCs w:val="22"/>
          <w:lang w:val="en-US" w:eastAsia="zh-CN" w:bidi="ar-SA"/>
        </w:rPr>
        <w:t>表9-4 平富乡预计占用耕地情况表</w:t>
      </w:r>
    </w:p>
    <w:p>
      <w:pPr>
        <w:keepNext/>
        <w:pageBreakBefore w:val="0"/>
        <w:kinsoku/>
        <w:wordWrap/>
        <w:overflowPunct/>
        <w:topLinePunct w:val="0"/>
        <w:bidi w:val="0"/>
        <w:snapToGrid w:val="0"/>
        <w:spacing w:line="480" w:lineRule="exact"/>
        <w:ind w:firstLine="0" w:firstLineChars="0"/>
        <w:jc w:val="right"/>
        <w:rPr>
          <w:rFonts w:hint="default" w:ascii="Times New Roman" w:hAnsi="Times New Roman" w:eastAsia="仿宋_GB2312" w:cs="Times New Roman"/>
          <w:b/>
          <w:color w:val="auto"/>
          <w:kern w:val="2"/>
          <w:sz w:val="21"/>
          <w:szCs w:val="22"/>
          <w:lang w:val="en-US" w:eastAsia="zh-CN" w:bidi="ar-SA"/>
        </w:rPr>
      </w:pPr>
      <w:r>
        <w:rPr>
          <w:rFonts w:hint="eastAsia" w:ascii="Times New Roman" w:hAnsi="Times New Roman" w:eastAsia="仿宋_GB2312" w:cs="Times New Roman"/>
          <w:b/>
          <w:color w:val="auto"/>
          <w:kern w:val="2"/>
          <w:sz w:val="21"/>
          <w:szCs w:val="22"/>
          <w:lang w:val="en-US" w:eastAsia="zh-CN" w:bidi="ar-SA"/>
        </w:rPr>
        <w:t>单位：公顷、%</w:t>
      </w:r>
    </w:p>
    <w:tbl>
      <w:tblPr>
        <w:tblStyle w:val="20"/>
        <w:tblW w:w="492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17"/>
        <w:gridCol w:w="4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153" w:type="pct"/>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auto"/>
                <w:kern w:val="0"/>
                <w:sz w:val="21"/>
                <w:szCs w:val="24"/>
                <w:lang w:val="en-US" w:eastAsia="zh-CN" w:bidi="ar"/>
              </w:rPr>
            </w:pPr>
            <w:r>
              <w:rPr>
                <w:rFonts w:hint="eastAsia" w:ascii="Times New Roman" w:hAnsi="Times New Roman" w:eastAsia="仿宋_GB2312" w:cs="Times New Roman"/>
                <w:b/>
                <w:bCs w:val="0"/>
                <w:color w:val="auto"/>
                <w:kern w:val="0"/>
                <w:sz w:val="21"/>
                <w:szCs w:val="24"/>
                <w:lang w:val="en-US" w:eastAsia="zh-CN" w:bidi="ar"/>
              </w:rPr>
              <w:t>占用情形</w:t>
            </w:r>
          </w:p>
        </w:tc>
        <w:tc>
          <w:tcPr>
            <w:tcW w:w="2846" w:type="pct"/>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auto"/>
                <w:kern w:val="0"/>
                <w:sz w:val="21"/>
                <w:szCs w:val="24"/>
                <w:lang w:val="en-US" w:eastAsia="zh-CN" w:bidi="ar"/>
              </w:rPr>
            </w:pPr>
            <w:r>
              <w:rPr>
                <w:rFonts w:hint="eastAsia" w:ascii="Times New Roman" w:hAnsi="Times New Roman" w:eastAsia="仿宋_GB2312" w:cs="Times New Roman"/>
                <w:b/>
                <w:bCs w:val="0"/>
                <w:color w:val="auto"/>
                <w:kern w:val="0"/>
                <w:sz w:val="21"/>
                <w:szCs w:val="24"/>
                <w:lang w:val="en-US" w:eastAsia="zh-CN" w:bidi="ar"/>
              </w:rPr>
              <w:t>占用规模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153" w:type="pct"/>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重点建设项目</w:t>
            </w:r>
          </w:p>
        </w:tc>
        <w:tc>
          <w:tcPr>
            <w:tcW w:w="2846" w:type="pct"/>
          </w:tcPr>
          <w:p>
            <w:pPr>
              <w:pageBreakBefore w:val="0"/>
              <w:kinsoku/>
              <w:wordWrap/>
              <w:overflowPunct/>
              <w:topLinePunct w:val="0"/>
              <w:bidi w:val="0"/>
              <w:spacing w:before="50" w:after="50" w:line="480" w:lineRule="exact"/>
              <w:ind w:firstLine="0" w:firstLineChars="0"/>
              <w:jc w:val="center"/>
              <w:rPr>
                <w:rFonts w:hint="default"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2153" w:type="pct"/>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城镇开发边界内开发建设</w:t>
            </w:r>
          </w:p>
        </w:tc>
        <w:tc>
          <w:tcPr>
            <w:tcW w:w="2846" w:type="pct"/>
          </w:tcPr>
          <w:p>
            <w:pPr>
              <w:pageBreakBefore w:val="0"/>
              <w:kinsoku/>
              <w:wordWrap/>
              <w:overflowPunct/>
              <w:topLinePunct w:val="0"/>
              <w:bidi w:val="0"/>
              <w:spacing w:before="50" w:after="50" w:line="480" w:lineRule="exact"/>
              <w:ind w:firstLine="0" w:firstLineChars="0"/>
              <w:jc w:val="center"/>
              <w:rPr>
                <w:rFonts w:hint="default"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153" w:type="pct"/>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合计</w:t>
            </w:r>
          </w:p>
        </w:tc>
        <w:tc>
          <w:tcPr>
            <w:tcW w:w="2846" w:type="pct"/>
          </w:tcPr>
          <w:p>
            <w:pPr>
              <w:pageBreakBefore w:val="0"/>
              <w:kinsoku/>
              <w:wordWrap/>
              <w:overflowPunct/>
              <w:topLinePunct w:val="0"/>
              <w:bidi w:val="0"/>
              <w:spacing w:before="50" w:after="50" w:line="480" w:lineRule="exact"/>
              <w:ind w:firstLine="0" w:firstLineChars="0"/>
              <w:jc w:val="center"/>
              <w:rPr>
                <w:rFonts w:hint="default"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5.07</w:t>
            </w:r>
          </w:p>
        </w:tc>
      </w:tr>
    </w:tbl>
    <w:p>
      <w:pPr>
        <w:pStyle w:val="24"/>
        <w:pageBreakBefore w:val="0"/>
        <w:kinsoku/>
        <w:wordWrap/>
        <w:overflowPunct/>
        <w:topLinePunct w:val="0"/>
        <w:bidi w:val="0"/>
        <w:spacing w:line="480" w:lineRule="exact"/>
        <w:ind w:firstLine="560" w:firstLineChars="200"/>
        <w:rPr>
          <w:rFonts w:ascii="Times New Roman" w:hAnsi="Times New Roman" w:eastAsia="仿宋_GB2312"/>
          <w:bCs/>
          <w:color w:val="auto"/>
          <w:sz w:val="28"/>
          <w:szCs w:val="28"/>
        </w:rPr>
      </w:pPr>
      <w:r>
        <w:rPr>
          <w:rFonts w:hint="eastAsia" w:ascii="Times New Roman" w:hAnsi="Times New Roman" w:eastAsia="仿宋_GB2312"/>
          <w:bCs/>
          <w:color w:val="auto"/>
          <w:sz w:val="28"/>
          <w:szCs w:val="28"/>
          <w:lang w:val="en-US" w:eastAsia="zh-CN"/>
        </w:rPr>
        <w:t>2、</w:t>
      </w:r>
      <w:r>
        <w:rPr>
          <w:rFonts w:hint="eastAsia" w:ascii="Times New Roman" w:hAnsi="Times New Roman" w:eastAsia="仿宋_GB2312"/>
          <w:bCs/>
          <w:color w:val="auto"/>
          <w:sz w:val="28"/>
          <w:szCs w:val="28"/>
        </w:rPr>
        <w:t>耕地补充规模预测</w:t>
      </w:r>
    </w:p>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Times New Roman"/>
          <w:b/>
          <w:color w:val="auto"/>
          <w:kern w:val="2"/>
          <w:sz w:val="21"/>
          <w:szCs w:val="22"/>
          <w:lang w:val="en-US" w:eastAsia="zh-CN" w:bidi="ar-SA"/>
        </w:rPr>
      </w:pPr>
      <w:r>
        <w:rPr>
          <w:rFonts w:hint="eastAsia" w:ascii="Times New Roman" w:hAnsi="Times New Roman" w:eastAsia="仿宋_GB2312" w:cs="Times New Roman"/>
          <w:b/>
          <w:color w:val="auto"/>
          <w:kern w:val="2"/>
          <w:sz w:val="21"/>
          <w:szCs w:val="22"/>
          <w:lang w:val="en-US" w:eastAsia="zh-CN" w:bidi="ar-SA"/>
        </w:rPr>
        <w:t>表9-5 上犹县预计补充耕地情况表</w:t>
      </w:r>
    </w:p>
    <w:p>
      <w:pPr>
        <w:keepNext/>
        <w:pageBreakBefore w:val="0"/>
        <w:kinsoku/>
        <w:wordWrap/>
        <w:overflowPunct/>
        <w:topLinePunct w:val="0"/>
        <w:bidi w:val="0"/>
        <w:snapToGrid w:val="0"/>
        <w:spacing w:line="480" w:lineRule="exact"/>
        <w:ind w:firstLine="0" w:firstLineChars="0"/>
        <w:jc w:val="right"/>
        <w:rPr>
          <w:rFonts w:hint="default" w:ascii="Times New Roman" w:hAnsi="Times New Roman" w:eastAsia="仿宋_GB2312" w:cs="Times New Roman"/>
          <w:b/>
          <w:color w:val="auto"/>
          <w:kern w:val="2"/>
          <w:sz w:val="21"/>
          <w:szCs w:val="22"/>
          <w:lang w:val="en-US" w:eastAsia="zh-CN" w:bidi="ar-SA"/>
        </w:rPr>
      </w:pPr>
      <w:r>
        <w:rPr>
          <w:rFonts w:hint="eastAsia" w:ascii="Times New Roman" w:hAnsi="Times New Roman" w:eastAsia="仿宋_GB2312" w:cs="Times New Roman"/>
          <w:b/>
          <w:color w:val="auto"/>
          <w:kern w:val="2"/>
          <w:sz w:val="21"/>
          <w:szCs w:val="22"/>
          <w:lang w:val="en-US" w:eastAsia="zh-CN" w:bidi="ar-SA"/>
        </w:rPr>
        <w:t>单位：公顷、%</w:t>
      </w:r>
    </w:p>
    <w:tbl>
      <w:tblPr>
        <w:tblStyle w:val="19"/>
        <w:tblW w:w="4999" w:type="pct"/>
        <w:tblInd w:w="0" w:type="dxa"/>
        <w:tblLayout w:type="autofit"/>
        <w:tblCellMar>
          <w:top w:w="0" w:type="dxa"/>
          <w:left w:w="108" w:type="dxa"/>
          <w:bottom w:w="0" w:type="dxa"/>
          <w:right w:w="108" w:type="dxa"/>
        </w:tblCellMar>
      </w:tblPr>
      <w:tblGrid>
        <w:gridCol w:w="3441"/>
        <w:gridCol w:w="1579"/>
        <w:gridCol w:w="1749"/>
        <w:gridCol w:w="1751"/>
      </w:tblGrid>
      <w:tr>
        <w:tblPrEx>
          <w:tblCellMar>
            <w:top w:w="0" w:type="dxa"/>
            <w:left w:w="108" w:type="dxa"/>
            <w:bottom w:w="0" w:type="dxa"/>
            <w:right w:w="108" w:type="dxa"/>
          </w:tblCellMar>
        </w:tblPrEx>
        <w:trPr>
          <w:trHeight w:val="255" w:hRule="atLeast"/>
        </w:trPr>
        <w:tc>
          <w:tcPr>
            <w:tcW w:w="20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auto"/>
                <w:kern w:val="0"/>
                <w:sz w:val="21"/>
                <w:szCs w:val="24"/>
                <w:lang w:val="en-US" w:eastAsia="zh-CN" w:bidi="ar"/>
              </w:rPr>
            </w:pPr>
            <w:r>
              <w:rPr>
                <w:rFonts w:hint="eastAsia" w:ascii="Times New Roman" w:hAnsi="Times New Roman" w:eastAsia="仿宋_GB2312" w:cs="Times New Roman"/>
                <w:b/>
                <w:bCs w:val="0"/>
                <w:color w:val="auto"/>
                <w:kern w:val="0"/>
                <w:sz w:val="21"/>
                <w:szCs w:val="24"/>
                <w:lang w:val="en-US" w:eastAsia="zh-CN" w:bidi="ar"/>
              </w:rPr>
              <w:t>整治项目</w:t>
            </w:r>
          </w:p>
        </w:tc>
        <w:tc>
          <w:tcPr>
            <w:tcW w:w="9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auto"/>
                <w:kern w:val="0"/>
                <w:sz w:val="21"/>
                <w:szCs w:val="24"/>
                <w:lang w:val="en-US" w:eastAsia="zh-CN" w:bidi="ar"/>
              </w:rPr>
            </w:pPr>
            <w:r>
              <w:rPr>
                <w:rFonts w:hint="eastAsia" w:ascii="Times New Roman" w:hAnsi="Times New Roman" w:eastAsia="仿宋_GB2312" w:cs="Times New Roman"/>
                <w:b/>
                <w:bCs w:val="0"/>
                <w:color w:val="auto"/>
                <w:kern w:val="0"/>
                <w:sz w:val="21"/>
                <w:szCs w:val="24"/>
                <w:lang w:val="en-US" w:eastAsia="zh-CN" w:bidi="ar"/>
              </w:rPr>
              <w:t>旱地</w:t>
            </w:r>
          </w:p>
        </w:tc>
        <w:tc>
          <w:tcPr>
            <w:tcW w:w="10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auto"/>
                <w:kern w:val="0"/>
                <w:sz w:val="21"/>
                <w:szCs w:val="24"/>
                <w:lang w:val="en-US" w:eastAsia="zh-CN" w:bidi="ar"/>
              </w:rPr>
            </w:pPr>
            <w:r>
              <w:rPr>
                <w:rFonts w:hint="eastAsia" w:ascii="Times New Roman" w:hAnsi="Times New Roman" w:eastAsia="仿宋_GB2312" w:cs="Times New Roman"/>
                <w:b/>
                <w:bCs w:val="0"/>
                <w:color w:val="auto"/>
                <w:kern w:val="0"/>
                <w:sz w:val="21"/>
                <w:szCs w:val="24"/>
                <w:lang w:val="en-US" w:eastAsia="zh-CN" w:bidi="ar"/>
              </w:rPr>
              <w:t>水田</w:t>
            </w:r>
          </w:p>
        </w:tc>
        <w:tc>
          <w:tcPr>
            <w:tcW w:w="102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auto"/>
                <w:kern w:val="0"/>
                <w:sz w:val="21"/>
                <w:szCs w:val="24"/>
                <w:lang w:val="en-US" w:eastAsia="zh-CN" w:bidi="ar"/>
              </w:rPr>
            </w:pPr>
            <w:r>
              <w:rPr>
                <w:rFonts w:hint="eastAsia" w:ascii="Times New Roman" w:hAnsi="Times New Roman" w:eastAsia="仿宋_GB2312" w:cs="Times New Roman"/>
                <w:b/>
                <w:bCs w:val="0"/>
                <w:color w:val="auto"/>
                <w:kern w:val="0"/>
                <w:sz w:val="21"/>
                <w:szCs w:val="24"/>
                <w:lang w:val="en-US" w:eastAsia="zh-CN" w:bidi="ar"/>
              </w:rPr>
              <w:t>总计</w:t>
            </w:r>
          </w:p>
        </w:tc>
      </w:tr>
      <w:tr>
        <w:tblPrEx>
          <w:tblCellMar>
            <w:top w:w="0" w:type="dxa"/>
            <w:left w:w="108" w:type="dxa"/>
            <w:bottom w:w="0" w:type="dxa"/>
            <w:right w:w="108" w:type="dxa"/>
          </w:tblCellMar>
        </w:tblPrEx>
        <w:trPr>
          <w:trHeight w:val="255" w:hRule="atLeast"/>
        </w:trPr>
        <w:tc>
          <w:tcPr>
            <w:tcW w:w="20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 w:val="0"/>
                <w:bCs w:val="0"/>
                <w:color w:val="auto"/>
                <w:kern w:val="2"/>
                <w:sz w:val="28"/>
                <w:szCs w:val="28"/>
                <w:highlight w:val="none"/>
                <w:u w:val="none"/>
                <w:lang w:val="en-US" w:eastAsia="zh-CN" w:bidi="ar-SA"/>
              </w:rPr>
              <w:t>建设用地整理</w:t>
            </w: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spacing w:before="50" w:after="50" w:line="480" w:lineRule="exact"/>
              <w:ind w:firstLine="0" w:firstLineChars="0"/>
              <w:jc w:val="center"/>
              <w:rPr>
                <w:rFonts w:hint="default"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3.13</w:t>
            </w:r>
          </w:p>
        </w:tc>
        <w:tc>
          <w:tcPr>
            <w:tcW w:w="174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spacing w:before="50" w:after="50" w:line="480" w:lineRule="exact"/>
              <w:ind w:firstLine="0" w:firstLineChars="0"/>
              <w:jc w:val="center"/>
              <w:rPr>
                <w:rFonts w:hint="default"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4.77</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spacing w:before="50" w:after="50" w:line="480" w:lineRule="exact"/>
              <w:ind w:firstLine="0" w:firstLineChars="0"/>
              <w:jc w:val="center"/>
              <w:rPr>
                <w:rFonts w:hint="default"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7.90</w:t>
            </w:r>
          </w:p>
        </w:tc>
      </w:tr>
      <w:tr>
        <w:tblPrEx>
          <w:tblCellMar>
            <w:top w:w="0" w:type="dxa"/>
            <w:left w:w="108" w:type="dxa"/>
            <w:bottom w:w="0" w:type="dxa"/>
            <w:right w:w="108" w:type="dxa"/>
          </w:tblCellMar>
        </w:tblPrEx>
        <w:trPr>
          <w:trHeight w:val="255" w:hRule="atLeast"/>
        </w:trPr>
        <w:tc>
          <w:tcPr>
            <w:tcW w:w="20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宜耕土地开发</w:t>
            </w: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spacing w:before="50" w:after="50" w:line="480" w:lineRule="exact"/>
              <w:ind w:firstLine="0" w:firstLineChars="0"/>
              <w:jc w:val="center"/>
              <w:rPr>
                <w:rFonts w:hint="default"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19.22</w:t>
            </w:r>
          </w:p>
        </w:tc>
        <w:tc>
          <w:tcPr>
            <w:tcW w:w="174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spacing w:before="50" w:after="50" w:line="480" w:lineRule="exact"/>
              <w:ind w:firstLine="0" w:firstLineChars="0"/>
              <w:jc w:val="center"/>
              <w:rPr>
                <w:rFonts w:hint="default"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0.00</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spacing w:before="50" w:after="50" w:line="480" w:lineRule="exact"/>
              <w:ind w:firstLine="0" w:firstLineChars="0"/>
              <w:jc w:val="center"/>
              <w:rPr>
                <w:rFonts w:hint="default"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19.22</w:t>
            </w:r>
          </w:p>
        </w:tc>
      </w:tr>
      <w:tr>
        <w:tblPrEx>
          <w:tblCellMar>
            <w:top w:w="0" w:type="dxa"/>
            <w:left w:w="108" w:type="dxa"/>
            <w:bottom w:w="0" w:type="dxa"/>
            <w:right w:w="108" w:type="dxa"/>
          </w:tblCellMar>
        </w:tblPrEx>
        <w:trPr>
          <w:trHeight w:val="255" w:hRule="atLeast"/>
        </w:trPr>
        <w:tc>
          <w:tcPr>
            <w:tcW w:w="20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总计</w:t>
            </w:r>
          </w:p>
        </w:tc>
        <w:tc>
          <w:tcPr>
            <w:tcW w:w="15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spacing w:before="50" w:after="50" w:line="480" w:lineRule="exact"/>
              <w:ind w:firstLine="0" w:firstLineChars="0"/>
              <w:jc w:val="center"/>
              <w:rPr>
                <w:rFonts w:hint="default"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22.35</w:t>
            </w:r>
          </w:p>
        </w:tc>
        <w:tc>
          <w:tcPr>
            <w:tcW w:w="174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spacing w:before="50" w:after="50" w:line="480" w:lineRule="exact"/>
              <w:ind w:firstLine="0" w:firstLineChars="0"/>
              <w:jc w:val="center"/>
              <w:rPr>
                <w:rFonts w:hint="default"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4.77</w:t>
            </w:r>
          </w:p>
        </w:tc>
        <w:tc>
          <w:tcPr>
            <w:tcW w:w="17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spacing w:before="50" w:after="50" w:line="480" w:lineRule="exact"/>
              <w:ind w:firstLine="0" w:firstLineChars="0"/>
              <w:jc w:val="center"/>
              <w:rPr>
                <w:rFonts w:hint="default"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27.12</w:t>
            </w:r>
          </w:p>
        </w:tc>
      </w:tr>
    </w:tbl>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cs="黑体"/>
          <w:bCs/>
          <w:color w:val="auto"/>
          <w:sz w:val="28"/>
          <w:szCs w:val="28"/>
          <w:lang w:val="en-US" w:eastAsia="zh-CN" w:bidi="ar-SA"/>
        </w:rPr>
      </w:pPr>
      <w:r>
        <w:rPr>
          <w:rFonts w:hint="eastAsia" w:ascii="Times New Roman" w:hAnsi="Times New Roman" w:eastAsia="仿宋_GB2312" w:cs="黑体"/>
          <w:bCs/>
          <w:color w:val="auto"/>
          <w:sz w:val="28"/>
          <w:szCs w:val="28"/>
          <w:lang w:val="en-US" w:eastAsia="zh-CN" w:bidi="ar-SA"/>
        </w:rPr>
        <w:t>全域整治新增耕地总面积27.12公顷，其中</w:t>
      </w:r>
      <w:r>
        <w:rPr>
          <w:rFonts w:hint="eastAsia" w:ascii="Times New Roman" w:hAnsi="Times New Roman" w:eastAsia="仿宋_GB2312" w:cs="Times New Roman"/>
          <w:b w:val="0"/>
          <w:bCs w:val="0"/>
          <w:color w:val="auto"/>
          <w:kern w:val="2"/>
          <w:sz w:val="28"/>
          <w:szCs w:val="28"/>
          <w:highlight w:val="none"/>
          <w:u w:val="none"/>
          <w:lang w:val="en-US" w:eastAsia="zh-CN" w:bidi="ar-SA"/>
        </w:rPr>
        <w:t>建设用地整理</w:t>
      </w:r>
      <w:r>
        <w:rPr>
          <w:rFonts w:hint="eastAsia" w:ascii="Times New Roman" w:hAnsi="Times New Roman" w:eastAsia="仿宋_GB2312" w:cs="黑体"/>
          <w:bCs/>
          <w:color w:val="auto"/>
          <w:sz w:val="28"/>
          <w:szCs w:val="28"/>
          <w:lang w:val="en-US" w:eastAsia="zh-CN" w:bidi="ar-SA"/>
        </w:rPr>
        <w:t>项目新增耕地7.90公顷，宜耕土地开发19.22公顷，拟补充水田4.77公顷，旱地22.35公顷。</w:t>
      </w:r>
    </w:p>
    <w:p>
      <w:pPr>
        <w:snapToGrid w:val="0"/>
        <w:spacing w:line="480" w:lineRule="exact"/>
        <w:ind w:firstLine="562"/>
        <w:rPr>
          <w:rFonts w:hint="default"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三、耕地占补平衡分析</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cs="黑体"/>
          <w:bCs/>
          <w:color w:val="auto"/>
          <w:sz w:val="28"/>
          <w:szCs w:val="28"/>
          <w:lang w:val="en-US" w:eastAsia="zh-CN" w:bidi="ar-SA"/>
        </w:rPr>
      </w:pPr>
      <w:r>
        <w:rPr>
          <w:rFonts w:hint="eastAsia" w:ascii="Times New Roman" w:hAnsi="Times New Roman" w:eastAsia="仿宋_GB2312" w:cs="黑体"/>
          <w:bCs/>
          <w:color w:val="auto"/>
          <w:sz w:val="28"/>
          <w:szCs w:val="28"/>
          <w:lang w:val="en-US" w:eastAsia="zh-CN" w:bidi="ar-SA"/>
        </w:rPr>
        <w:t>可恢复地类是落实耕地进出平衡的主要潜力来源，必须加强耕地用途管制，防止耕地“非粮化”，有序实施耕地恢复任务。</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cs="黑体"/>
          <w:bCs/>
          <w:color w:val="auto"/>
          <w:sz w:val="28"/>
          <w:szCs w:val="28"/>
          <w:lang w:val="en-US" w:eastAsia="zh-CN" w:bidi="ar-SA"/>
        </w:rPr>
      </w:pPr>
      <w:r>
        <w:rPr>
          <w:rFonts w:hint="eastAsia" w:ascii="Times New Roman" w:hAnsi="Times New Roman" w:eastAsia="仿宋_GB2312" w:cs="黑体"/>
          <w:bCs/>
          <w:color w:val="auto"/>
          <w:sz w:val="28"/>
          <w:szCs w:val="28"/>
          <w:lang w:val="en-US" w:eastAsia="zh-CN" w:bidi="ar-SA"/>
        </w:rPr>
        <w:t>1、即可恢复地类分布情况</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cs="黑体"/>
          <w:bCs/>
          <w:color w:val="auto"/>
          <w:sz w:val="28"/>
          <w:szCs w:val="28"/>
          <w:lang w:val="en-US" w:eastAsia="zh-CN" w:bidi="ar-SA"/>
        </w:rPr>
      </w:pPr>
      <w:r>
        <w:rPr>
          <w:rFonts w:hint="eastAsia" w:ascii="Times New Roman" w:hAnsi="Times New Roman" w:eastAsia="仿宋_GB2312" w:cs="黑体"/>
          <w:bCs/>
          <w:color w:val="auto"/>
          <w:sz w:val="28"/>
          <w:szCs w:val="28"/>
          <w:lang w:val="en-US" w:eastAsia="zh-CN" w:bidi="ar-SA"/>
        </w:rPr>
        <w:t>根据2020年国土变更调查统计口径数据，平富乡即可恢复面积为18.42公顷，按行政村统计，其中上寨村即可恢复地类分布面积最大，面积为4.64公顷，各行政村均有即可恢复图斑。</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cs="黑体"/>
          <w:bCs/>
          <w:color w:val="auto"/>
          <w:sz w:val="28"/>
          <w:szCs w:val="28"/>
          <w:lang w:val="en-US" w:eastAsia="zh-CN" w:bidi="ar-SA"/>
        </w:rPr>
      </w:pPr>
      <w:r>
        <w:rPr>
          <w:rFonts w:hint="eastAsia" w:ascii="Times New Roman" w:hAnsi="Times New Roman" w:eastAsia="仿宋_GB2312" w:cs="黑体"/>
          <w:bCs/>
          <w:color w:val="auto"/>
          <w:sz w:val="28"/>
          <w:szCs w:val="28"/>
          <w:lang w:val="en-US" w:eastAsia="zh-CN" w:bidi="ar-SA"/>
        </w:rPr>
        <w:t>按三调土地分类方法，即可恢复地类涉及竹林地、果园、坑塘水面、茶园、其他园地等6种地类，其中坑塘水面分布面积最大，为6.84公顷，留白用地分布面积最小，为0.04公顷。</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cs="黑体"/>
          <w:bCs/>
          <w:color w:val="auto"/>
          <w:sz w:val="28"/>
          <w:szCs w:val="28"/>
          <w:lang w:val="en-US" w:eastAsia="zh-CN" w:bidi="ar-SA"/>
        </w:rPr>
      </w:pPr>
      <w:r>
        <w:rPr>
          <w:rFonts w:hint="eastAsia" w:ascii="Times New Roman" w:hAnsi="Times New Roman" w:eastAsia="仿宋_GB2312" w:cs="黑体"/>
          <w:bCs/>
          <w:color w:val="auto"/>
          <w:sz w:val="28"/>
          <w:szCs w:val="28"/>
          <w:lang w:val="en-US" w:eastAsia="zh-CN" w:bidi="ar-SA"/>
        </w:rPr>
        <w:t>2、工程恢复地类分布情况</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cs="黑体"/>
          <w:bCs/>
          <w:color w:val="auto"/>
          <w:sz w:val="28"/>
          <w:szCs w:val="28"/>
          <w:lang w:val="en-US" w:eastAsia="zh-CN" w:bidi="ar-SA"/>
        </w:rPr>
      </w:pPr>
      <w:r>
        <w:rPr>
          <w:rFonts w:hint="eastAsia" w:ascii="Times New Roman" w:hAnsi="Times New Roman" w:eastAsia="仿宋_GB2312" w:cs="黑体"/>
          <w:bCs/>
          <w:color w:val="auto"/>
          <w:sz w:val="28"/>
          <w:szCs w:val="28"/>
          <w:lang w:val="en-US" w:eastAsia="zh-CN" w:bidi="ar-SA"/>
        </w:rPr>
        <w:t>根据2020年国土变更调查统计口径数据，上犹县工程恢复面积为142.74公顷，按行政村统计，其中上寨村即可恢复地类分布面积最大，面积为53.63公顷，各行政村均有工程恢复图斑。</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cs="黑体"/>
          <w:bCs/>
          <w:color w:val="auto"/>
          <w:sz w:val="28"/>
          <w:szCs w:val="28"/>
          <w:lang w:val="en-US" w:eastAsia="zh-CN" w:bidi="ar-SA"/>
        </w:rPr>
      </w:pPr>
      <w:r>
        <w:rPr>
          <w:rFonts w:hint="eastAsia" w:ascii="Times New Roman" w:hAnsi="Times New Roman" w:eastAsia="仿宋_GB2312" w:cs="黑体"/>
          <w:bCs/>
          <w:color w:val="auto"/>
          <w:sz w:val="28"/>
          <w:szCs w:val="28"/>
          <w:lang w:val="en-US" w:eastAsia="zh-CN" w:bidi="ar-SA"/>
        </w:rPr>
        <w:t>按三调地类统计，工程恢复地类涉及灌木林地、乔木林地、茶园、果园、坑塘水面、其他林地、其他园地、竹林地等9种地类，其中果园分布面积最大，为49.86公顷。</w:t>
      </w:r>
    </w:p>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Times New Roman"/>
          <w:b/>
          <w:color w:val="auto"/>
          <w:kern w:val="2"/>
          <w:sz w:val="21"/>
          <w:szCs w:val="22"/>
          <w:lang w:val="en-US" w:eastAsia="zh-CN" w:bidi="ar-SA"/>
        </w:rPr>
      </w:pPr>
      <w:r>
        <w:rPr>
          <w:rFonts w:hint="eastAsia" w:ascii="Times New Roman" w:hAnsi="Times New Roman" w:eastAsia="仿宋_GB2312" w:cs="Times New Roman"/>
          <w:b/>
          <w:color w:val="auto"/>
          <w:kern w:val="2"/>
          <w:sz w:val="21"/>
          <w:szCs w:val="22"/>
          <w:lang w:val="en-US" w:eastAsia="zh-CN" w:bidi="ar-SA"/>
        </w:rPr>
        <w:t>表9-6 平富乡工程恢复与即可恢复耕地分布情况表</w:t>
      </w:r>
    </w:p>
    <w:p>
      <w:pPr>
        <w:keepNext/>
        <w:pageBreakBefore w:val="0"/>
        <w:kinsoku/>
        <w:wordWrap/>
        <w:overflowPunct/>
        <w:topLinePunct w:val="0"/>
        <w:bidi w:val="0"/>
        <w:snapToGrid w:val="0"/>
        <w:spacing w:line="480" w:lineRule="exact"/>
        <w:ind w:firstLine="0" w:firstLineChars="0"/>
        <w:jc w:val="right"/>
        <w:rPr>
          <w:rFonts w:hint="default" w:ascii="Times New Roman" w:hAnsi="Times New Roman" w:eastAsia="仿宋_GB2312" w:cs="Times New Roman"/>
          <w:b/>
          <w:color w:val="auto"/>
          <w:kern w:val="2"/>
          <w:sz w:val="21"/>
          <w:szCs w:val="22"/>
          <w:lang w:val="en-US" w:eastAsia="zh-CN" w:bidi="ar-SA"/>
        </w:rPr>
      </w:pPr>
      <w:r>
        <w:rPr>
          <w:rFonts w:hint="eastAsia" w:ascii="Times New Roman" w:hAnsi="Times New Roman" w:eastAsia="仿宋_GB2312" w:cs="Times New Roman"/>
          <w:b/>
          <w:color w:val="auto"/>
          <w:kern w:val="2"/>
          <w:sz w:val="21"/>
          <w:szCs w:val="22"/>
          <w:lang w:val="en-US" w:eastAsia="zh-CN" w:bidi="ar-SA"/>
        </w:rPr>
        <w:t>单位：公顷、%</w:t>
      </w:r>
    </w:p>
    <w:tbl>
      <w:tblPr>
        <w:tblStyle w:val="19"/>
        <w:tblpPr w:leftFromText="180" w:rightFromText="180" w:vertAnchor="text" w:horzAnchor="page" w:tblpX="2002" w:tblpY="115"/>
        <w:tblOverlap w:val="never"/>
        <w:tblW w:w="4692" w:type="pct"/>
        <w:tblInd w:w="0" w:type="dxa"/>
        <w:tblLayout w:type="fixed"/>
        <w:tblCellMar>
          <w:top w:w="0" w:type="dxa"/>
          <w:left w:w="108" w:type="dxa"/>
          <w:bottom w:w="0" w:type="dxa"/>
          <w:right w:w="108" w:type="dxa"/>
        </w:tblCellMar>
      </w:tblPr>
      <w:tblGrid>
        <w:gridCol w:w="3542"/>
        <w:gridCol w:w="1199"/>
        <w:gridCol w:w="1080"/>
        <w:gridCol w:w="1024"/>
        <w:gridCol w:w="1153"/>
      </w:tblGrid>
      <w:tr>
        <w:tblPrEx>
          <w:tblCellMar>
            <w:top w:w="0" w:type="dxa"/>
            <w:left w:w="108" w:type="dxa"/>
            <w:bottom w:w="0" w:type="dxa"/>
            <w:right w:w="108" w:type="dxa"/>
          </w:tblCellMar>
        </w:tblPrEx>
        <w:trPr>
          <w:trHeight w:val="919" w:hRule="atLeast"/>
          <w:tblHeader/>
        </w:trPr>
        <w:tc>
          <w:tcPr>
            <w:tcW w:w="3542" w:type="dxa"/>
            <w:tcBorders>
              <w:top w:val="single" w:color="000000" w:sz="4" w:space="0"/>
              <w:left w:val="single" w:color="000000" w:sz="4" w:space="0"/>
              <w:bottom w:val="single" w:color="000000" w:sz="4" w:space="0"/>
              <w:right w:val="single" w:color="000000" w:sz="4" w:space="0"/>
              <w:tl2br w:val="single" w:color="000000" w:sz="4" w:space="0"/>
            </w:tcBorders>
            <w:noWrap/>
            <w:vAlign w:val="center"/>
          </w:tcPr>
          <w:p>
            <w:pPr>
              <w:pageBreakBefore w:val="0"/>
              <w:kinsoku/>
              <w:wordWrap/>
              <w:overflowPunct/>
              <w:topLinePunct w:val="0"/>
              <w:bidi w:val="0"/>
              <w:spacing w:before="50" w:after="50" w:line="480" w:lineRule="exact"/>
              <w:ind w:firstLine="0" w:firstLineChars="0"/>
              <w:jc w:val="both"/>
              <w:rPr>
                <w:rFonts w:hint="eastAsia" w:ascii="Times New Roman" w:hAnsi="Times New Roman" w:eastAsia="仿宋_GB2312" w:cs="Times New Roman"/>
                <w:b/>
                <w:bCs w:val="0"/>
                <w:color w:val="auto"/>
                <w:kern w:val="0"/>
                <w:sz w:val="21"/>
                <w:szCs w:val="24"/>
                <w:lang w:val="en-US" w:eastAsia="zh-CN" w:bidi="ar"/>
              </w:rPr>
            </w:pPr>
            <w:r>
              <w:rPr>
                <w:rFonts w:hint="eastAsia" w:ascii="Times New Roman" w:hAnsi="Times New Roman" w:eastAsia="仿宋_GB2312" w:cs="Times New Roman"/>
                <w:b/>
                <w:bCs w:val="0"/>
                <w:color w:val="auto"/>
                <w:kern w:val="0"/>
                <w:sz w:val="21"/>
                <w:szCs w:val="24"/>
                <w:lang w:val="en-US" w:eastAsia="zh-CN" w:bidi="ar"/>
              </w:rPr>
              <w:t xml:space="preserve">                        类型                   </w:t>
            </w:r>
          </w:p>
          <w:p>
            <w:pPr>
              <w:pageBreakBefore w:val="0"/>
              <w:kinsoku/>
              <w:wordWrap/>
              <w:overflowPunct/>
              <w:topLinePunct w:val="0"/>
              <w:bidi w:val="0"/>
              <w:spacing w:before="50" w:after="50" w:line="480" w:lineRule="exact"/>
              <w:ind w:firstLine="843" w:firstLineChars="400"/>
              <w:jc w:val="both"/>
              <w:rPr>
                <w:rFonts w:hint="eastAsia" w:ascii="Times New Roman" w:hAnsi="Times New Roman" w:eastAsia="仿宋_GB2312" w:cs="Times New Roman"/>
                <w:b/>
                <w:bCs w:val="0"/>
                <w:color w:val="auto"/>
                <w:kern w:val="0"/>
                <w:sz w:val="21"/>
                <w:szCs w:val="24"/>
                <w:lang w:val="en-US" w:eastAsia="zh-CN" w:bidi="ar"/>
              </w:rPr>
            </w:pPr>
            <w:r>
              <w:rPr>
                <w:rFonts w:hint="eastAsia" w:ascii="Times New Roman" w:hAnsi="Times New Roman" w:eastAsia="仿宋_GB2312" w:cs="Times New Roman"/>
                <w:b/>
                <w:bCs w:val="0"/>
                <w:color w:val="auto"/>
                <w:kern w:val="0"/>
                <w:sz w:val="21"/>
                <w:szCs w:val="24"/>
                <w:lang w:val="en-US" w:eastAsia="zh-CN" w:bidi="ar"/>
              </w:rPr>
              <w:t>乡镇名称</w:t>
            </w:r>
          </w:p>
        </w:tc>
        <w:tc>
          <w:tcPr>
            <w:tcW w:w="1199"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auto"/>
                <w:kern w:val="0"/>
                <w:sz w:val="21"/>
                <w:szCs w:val="24"/>
                <w:lang w:val="en-US" w:eastAsia="zh-CN" w:bidi="ar"/>
              </w:rPr>
            </w:pPr>
            <w:r>
              <w:rPr>
                <w:rFonts w:hint="eastAsia" w:ascii="Times New Roman" w:hAnsi="Times New Roman" w:eastAsia="仿宋_GB2312" w:cs="Times New Roman"/>
                <w:b/>
                <w:bCs w:val="0"/>
                <w:color w:val="auto"/>
                <w:kern w:val="0"/>
                <w:sz w:val="21"/>
                <w:szCs w:val="24"/>
                <w:lang w:val="en-US" w:eastAsia="zh-CN" w:bidi="ar"/>
              </w:rPr>
              <w:t>工程恢复</w:t>
            </w:r>
          </w:p>
        </w:tc>
        <w:tc>
          <w:tcPr>
            <w:tcW w:w="1080"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auto"/>
                <w:kern w:val="0"/>
                <w:sz w:val="21"/>
                <w:szCs w:val="24"/>
                <w:lang w:val="en-US" w:eastAsia="zh-CN" w:bidi="ar"/>
              </w:rPr>
            </w:pPr>
            <w:r>
              <w:rPr>
                <w:rFonts w:hint="eastAsia" w:ascii="Times New Roman" w:hAnsi="Times New Roman" w:eastAsia="仿宋_GB2312" w:cs="Times New Roman"/>
                <w:b/>
                <w:bCs w:val="0"/>
                <w:color w:val="auto"/>
                <w:kern w:val="0"/>
                <w:sz w:val="21"/>
                <w:szCs w:val="24"/>
                <w:lang w:val="en-US" w:eastAsia="zh-CN" w:bidi="ar"/>
              </w:rPr>
              <w:t>即可恢复</w:t>
            </w:r>
          </w:p>
        </w:tc>
        <w:tc>
          <w:tcPr>
            <w:tcW w:w="1024"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auto"/>
                <w:kern w:val="0"/>
                <w:sz w:val="21"/>
                <w:szCs w:val="24"/>
                <w:lang w:val="en-US" w:eastAsia="zh-CN" w:bidi="ar"/>
              </w:rPr>
            </w:pPr>
            <w:r>
              <w:rPr>
                <w:rFonts w:hint="eastAsia" w:ascii="Times New Roman" w:hAnsi="Times New Roman" w:eastAsia="仿宋_GB2312" w:cs="Times New Roman"/>
                <w:b/>
                <w:bCs w:val="0"/>
                <w:color w:val="auto"/>
                <w:kern w:val="0"/>
                <w:sz w:val="21"/>
                <w:szCs w:val="24"/>
                <w:lang w:val="en-US" w:eastAsia="zh-CN" w:bidi="ar"/>
              </w:rPr>
              <w:t>总计</w:t>
            </w:r>
          </w:p>
        </w:tc>
        <w:tc>
          <w:tcPr>
            <w:tcW w:w="1153" w:type="dxa"/>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default" w:ascii="Times New Roman" w:hAnsi="Times New Roman" w:eastAsia="仿宋_GB2312" w:cs="Times New Roman"/>
                <w:b/>
                <w:bCs w:val="0"/>
                <w:color w:val="auto"/>
                <w:kern w:val="0"/>
                <w:sz w:val="21"/>
                <w:szCs w:val="24"/>
                <w:lang w:val="en-US" w:eastAsia="zh-CN" w:bidi="ar"/>
              </w:rPr>
            </w:pPr>
            <w:r>
              <w:rPr>
                <w:rFonts w:hint="eastAsia" w:ascii="Times New Roman" w:hAnsi="Times New Roman" w:eastAsia="仿宋_GB2312" w:cs="Times New Roman"/>
                <w:b/>
                <w:bCs w:val="0"/>
                <w:color w:val="auto"/>
                <w:kern w:val="0"/>
                <w:sz w:val="21"/>
                <w:szCs w:val="24"/>
                <w:lang w:val="en-US" w:eastAsia="zh-CN" w:bidi="ar"/>
              </w:rPr>
              <w:t>占比</w:t>
            </w:r>
          </w:p>
        </w:tc>
      </w:tr>
      <w:tr>
        <w:tblPrEx>
          <w:tblCellMar>
            <w:top w:w="0" w:type="dxa"/>
            <w:left w:w="108" w:type="dxa"/>
            <w:bottom w:w="0" w:type="dxa"/>
            <w:right w:w="108" w:type="dxa"/>
          </w:tblCellMar>
        </w:tblPrEx>
        <w:trPr>
          <w:trHeight w:val="485" w:hRule="atLeast"/>
        </w:trPr>
        <w:tc>
          <w:tcPr>
            <w:tcW w:w="3542" w:type="dxa"/>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大潭村</w:t>
            </w:r>
          </w:p>
        </w:tc>
        <w:tc>
          <w:tcPr>
            <w:tcW w:w="1199" w:type="dxa"/>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 xml:space="preserve">4.87 </w:t>
            </w:r>
          </w:p>
        </w:tc>
        <w:tc>
          <w:tcPr>
            <w:tcW w:w="1080" w:type="dxa"/>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 xml:space="preserve">1.19 </w:t>
            </w:r>
          </w:p>
        </w:tc>
        <w:tc>
          <w:tcPr>
            <w:tcW w:w="1024" w:type="dxa"/>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 xml:space="preserve">6.06 </w:t>
            </w:r>
          </w:p>
        </w:tc>
        <w:tc>
          <w:tcPr>
            <w:tcW w:w="1153" w:type="dxa"/>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3.76%</w:t>
            </w:r>
          </w:p>
        </w:tc>
      </w:tr>
      <w:tr>
        <w:tblPrEx>
          <w:tblCellMar>
            <w:top w:w="0" w:type="dxa"/>
            <w:left w:w="108" w:type="dxa"/>
            <w:bottom w:w="0" w:type="dxa"/>
            <w:right w:w="108" w:type="dxa"/>
          </w:tblCellMar>
        </w:tblPrEx>
        <w:trPr>
          <w:trHeight w:val="485" w:hRule="atLeast"/>
        </w:trPr>
        <w:tc>
          <w:tcPr>
            <w:tcW w:w="3542" w:type="dxa"/>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横坑村</w:t>
            </w:r>
          </w:p>
        </w:tc>
        <w:tc>
          <w:tcPr>
            <w:tcW w:w="1199" w:type="dxa"/>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 xml:space="preserve">8.13 </w:t>
            </w:r>
          </w:p>
        </w:tc>
        <w:tc>
          <w:tcPr>
            <w:tcW w:w="1080" w:type="dxa"/>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 xml:space="preserve">1.00 </w:t>
            </w:r>
          </w:p>
        </w:tc>
        <w:tc>
          <w:tcPr>
            <w:tcW w:w="1024" w:type="dxa"/>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 xml:space="preserve">9.14 </w:t>
            </w:r>
          </w:p>
        </w:tc>
        <w:tc>
          <w:tcPr>
            <w:tcW w:w="1153" w:type="dxa"/>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5.67%</w:t>
            </w:r>
          </w:p>
        </w:tc>
      </w:tr>
      <w:tr>
        <w:tblPrEx>
          <w:tblCellMar>
            <w:top w:w="0" w:type="dxa"/>
            <w:left w:w="108" w:type="dxa"/>
            <w:bottom w:w="0" w:type="dxa"/>
            <w:right w:w="108" w:type="dxa"/>
          </w:tblCellMar>
        </w:tblPrEx>
        <w:trPr>
          <w:trHeight w:val="485" w:hRule="atLeast"/>
        </w:trPr>
        <w:tc>
          <w:tcPr>
            <w:tcW w:w="3542" w:type="dxa"/>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平富村</w:t>
            </w:r>
          </w:p>
        </w:tc>
        <w:tc>
          <w:tcPr>
            <w:tcW w:w="1199" w:type="dxa"/>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 xml:space="preserve">12.17 </w:t>
            </w:r>
          </w:p>
        </w:tc>
        <w:tc>
          <w:tcPr>
            <w:tcW w:w="1080" w:type="dxa"/>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 xml:space="preserve">2.64 </w:t>
            </w:r>
          </w:p>
        </w:tc>
        <w:tc>
          <w:tcPr>
            <w:tcW w:w="1024" w:type="dxa"/>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 xml:space="preserve">14.81 </w:t>
            </w:r>
          </w:p>
        </w:tc>
        <w:tc>
          <w:tcPr>
            <w:tcW w:w="1153" w:type="dxa"/>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9.19%</w:t>
            </w:r>
          </w:p>
        </w:tc>
      </w:tr>
      <w:tr>
        <w:tblPrEx>
          <w:tblCellMar>
            <w:top w:w="0" w:type="dxa"/>
            <w:left w:w="108" w:type="dxa"/>
            <w:bottom w:w="0" w:type="dxa"/>
            <w:right w:w="108" w:type="dxa"/>
          </w:tblCellMar>
        </w:tblPrEx>
        <w:trPr>
          <w:trHeight w:val="485" w:hRule="atLeast"/>
        </w:trPr>
        <w:tc>
          <w:tcPr>
            <w:tcW w:w="3542" w:type="dxa"/>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上寨村</w:t>
            </w:r>
          </w:p>
        </w:tc>
        <w:tc>
          <w:tcPr>
            <w:tcW w:w="1199" w:type="dxa"/>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 xml:space="preserve">53.63 </w:t>
            </w:r>
          </w:p>
        </w:tc>
        <w:tc>
          <w:tcPr>
            <w:tcW w:w="1080" w:type="dxa"/>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 xml:space="preserve">4.64 </w:t>
            </w:r>
          </w:p>
        </w:tc>
        <w:tc>
          <w:tcPr>
            <w:tcW w:w="1024" w:type="dxa"/>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 xml:space="preserve">58.27 </w:t>
            </w:r>
          </w:p>
        </w:tc>
        <w:tc>
          <w:tcPr>
            <w:tcW w:w="1153" w:type="dxa"/>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36.15%</w:t>
            </w:r>
          </w:p>
        </w:tc>
      </w:tr>
      <w:tr>
        <w:tblPrEx>
          <w:tblCellMar>
            <w:top w:w="0" w:type="dxa"/>
            <w:left w:w="108" w:type="dxa"/>
            <w:bottom w:w="0" w:type="dxa"/>
            <w:right w:w="108" w:type="dxa"/>
          </w:tblCellMar>
        </w:tblPrEx>
        <w:trPr>
          <w:trHeight w:val="485" w:hRule="atLeast"/>
        </w:trPr>
        <w:tc>
          <w:tcPr>
            <w:tcW w:w="3542" w:type="dxa"/>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向前村</w:t>
            </w:r>
          </w:p>
        </w:tc>
        <w:tc>
          <w:tcPr>
            <w:tcW w:w="1199" w:type="dxa"/>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 xml:space="preserve">19.50 </w:t>
            </w:r>
          </w:p>
        </w:tc>
        <w:tc>
          <w:tcPr>
            <w:tcW w:w="1080" w:type="dxa"/>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 xml:space="preserve">2.71 </w:t>
            </w:r>
          </w:p>
        </w:tc>
        <w:tc>
          <w:tcPr>
            <w:tcW w:w="1024" w:type="dxa"/>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 xml:space="preserve">22.21 </w:t>
            </w:r>
          </w:p>
        </w:tc>
        <w:tc>
          <w:tcPr>
            <w:tcW w:w="1153" w:type="dxa"/>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13.78%</w:t>
            </w:r>
          </w:p>
        </w:tc>
      </w:tr>
      <w:tr>
        <w:tblPrEx>
          <w:tblCellMar>
            <w:top w:w="0" w:type="dxa"/>
            <w:left w:w="108" w:type="dxa"/>
            <w:bottom w:w="0" w:type="dxa"/>
            <w:right w:w="108" w:type="dxa"/>
          </w:tblCellMar>
        </w:tblPrEx>
        <w:trPr>
          <w:trHeight w:val="485" w:hRule="atLeast"/>
        </w:trPr>
        <w:tc>
          <w:tcPr>
            <w:tcW w:w="3542" w:type="dxa"/>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信地村</w:t>
            </w:r>
          </w:p>
        </w:tc>
        <w:tc>
          <w:tcPr>
            <w:tcW w:w="1199" w:type="dxa"/>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 xml:space="preserve">18.07 </w:t>
            </w:r>
          </w:p>
        </w:tc>
        <w:tc>
          <w:tcPr>
            <w:tcW w:w="1080" w:type="dxa"/>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 xml:space="preserve">3.15 </w:t>
            </w:r>
          </w:p>
        </w:tc>
        <w:tc>
          <w:tcPr>
            <w:tcW w:w="1024" w:type="dxa"/>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 xml:space="preserve">21.22 </w:t>
            </w:r>
          </w:p>
        </w:tc>
        <w:tc>
          <w:tcPr>
            <w:tcW w:w="1153" w:type="dxa"/>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13.16%</w:t>
            </w:r>
          </w:p>
        </w:tc>
      </w:tr>
      <w:tr>
        <w:tblPrEx>
          <w:tblCellMar>
            <w:top w:w="0" w:type="dxa"/>
            <w:left w:w="108" w:type="dxa"/>
            <w:bottom w:w="0" w:type="dxa"/>
            <w:right w:w="108" w:type="dxa"/>
          </w:tblCellMar>
        </w:tblPrEx>
        <w:trPr>
          <w:trHeight w:val="485" w:hRule="atLeast"/>
        </w:trPr>
        <w:tc>
          <w:tcPr>
            <w:tcW w:w="3542" w:type="dxa"/>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庄坑村</w:t>
            </w:r>
          </w:p>
        </w:tc>
        <w:tc>
          <w:tcPr>
            <w:tcW w:w="1199" w:type="dxa"/>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 xml:space="preserve">17.18 </w:t>
            </w:r>
          </w:p>
        </w:tc>
        <w:tc>
          <w:tcPr>
            <w:tcW w:w="1080" w:type="dxa"/>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 xml:space="preserve">1.64 </w:t>
            </w:r>
          </w:p>
        </w:tc>
        <w:tc>
          <w:tcPr>
            <w:tcW w:w="1024" w:type="dxa"/>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 xml:space="preserve">18.82 </w:t>
            </w:r>
          </w:p>
        </w:tc>
        <w:tc>
          <w:tcPr>
            <w:tcW w:w="1153" w:type="dxa"/>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11.68%</w:t>
            </w:r>
          </w:p>
        </w:tc>
      </w:tr>
      <w:tr>
        <w:tblPrEx>
          <w:tblCellMar>
            <w:top w:w="0" w:type="dxa"/>
            <w:left w:w="108" w:type="dxa"/>
            <w:bottom w:w="0" w:type="dxa"/>
            <w:right w:w="108" w:type="dxa"/>
          </w:tblCellMar>
        </w:tblPrEx>
        <w:trPr>
          <w:trHeight w:val="485" w:hRule="atLeast"/>
        </w:trPr>
        <w:tc>
          <w:tcPr>
            <w:tcW w:w="3542" w:type="dxa"/>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庄前村</w:t>
            </w:r>
          </w:p>
        </w:tc>
        <w:tc>
          <w:tcPr>
            <w:tcW w:w="1199" w:type="dxa"/>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 xml:space="preserve">9.20 </w:t>
            </w:r>
          </w:p>
        </w:tc>
        <w:tc>
          <w:tcPr>
            <w:tcW w:w="1080" w:type="dxa"/>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 xml:space="preserve">1.44 </w:t>
            </w:r>
          </w:p>
        </w:tc>
        <w:tc>
          <w:tcPr>
            <w:tcW w:w="1024" w:type="dxa"/>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 xml:space="preserve">10.63 </w:t>
            </w:r>
          </w:p>
        </w:tc>
        <w:tc>
          <w:tcPr>
            <w:tcW w:w="1153" w:type="dxa"/>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6.60%</w:t>
            </w:r>
          </w:p>
        </w:tc>
      </w:tr>
      <w:tr>
        <w:tblPrEx>
          <w:tblCellMar>
            <w:top w:w="0" w:type="dxa"/>
            <w:left w:w="108" w:type="dxa"/>
            <w:bottom w:w="0" w:type="dxa"/>
            <w:right w:w="108" w:type="dxa"/>
          </w:tblCellMar>
        </w:tblPrEx>
        <w:trPr>
          <w:trHeight w:val="493" w:hRule="atLeast"/>
        </w:trPr>
        <w:tc>
          <w:tcPr>
            <w:tcW w:w="3542" w:type="dxa"/>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总计</w:t>
            </w:r>
          </w:p>
        </w:tc>
        <w:tc>
          <w:tcPr>
            <w:tcW w:w="1199" w:type="dxa"/>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 xml:space="preserve">142.74 </w:t>
            </w:r>
          </w:p>
        </w:tc>
        <w:tc>
          <w:tcPr>
            <w:tcW w:w="1080" w:type="dxa"/>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 xml:space="preserve">18.42 </w:t>
            </w:r>
          </w:p>
        </w:tc>
        <w:tc>
          <w:tcPr>
            <w:tcW w:w="1024" w:type="dxa"/>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 xml:space="preserve">161.16 </w:t>
            </w:r>
          </w:p>
        </w:tc>
        <w:tc>
          <w:tcPr>
            <w:tcW w:w="1153" w:type="dxa"/>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100.00%</w:t>
            </w:r>
          </w:p>
        </w:tc>
      </w:tr>
    </w:tbl>
    <w:p>
      <w:pPr>
        <w:snapToGrid w:val="0"/>
        <w:spacing w:line="480" w:lineRule="exact"/>
        <w:ind w:firstLine="562"/>
        <w:rPr>
          <w:rFonts w:hint="default"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四、耕地保护目标落实</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cs="黑体"/>
          <w:bCs/>
          <w:color w:val="auto"/>
          <w:sz w:val="28"/>
          <w:szCs w:val="28"/>
          <w:lang w:val="en-US" w:eastAsia="zh-CN" w:bidi="ar-SA"/>
        </w:rPr>
      </w:pPr>
      <w:r>
        <w:rPr>
          <w:rFonts w:hint="eastAsia" w:ascii="Times New Roman" w:hAnsi="Times New Roman" w:eastAsia="仿宋_GB2312" w:cs="黑体"/>
          <w:bCs/>
          <w:color w:val="auto"/>
          <w:sz w:val="28"/>
          <w:szCs w:val="28"/>
          <w:lang w:val="en-US" w:eastAsia="zh-CN" w:bidi="ar-SA"/>
        </w:rPr>
        <w:t>根据三区三线划定成果，规划到2035年，耕地保有量不低于370.69公顷。规划期内应积极开展国土综合整治补充耕地，耕地保有量未达到保护目标的地区还应有序实施耕地恢复计划，在保障耕地占补平衡的基础上进一步落实耕地保护责任。</w:t>
      </w:r>
    </w:p>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Times New Roman"/>
          <w:b/>
          <w:color w:val="auto"/>
          <w:kern w:val="2"/>
          <w:sz w:val="21"/>
          <w:szCs w:val="22"/>
          <w:lang w:val="en-US" w:eastAsia="zh-CN" w:bidi="ar-SA"/>
        </w:rPr>
      </w:pPr>
      <w:r>
        <w:rPr>
          <w:rFonts w:hint="eastAsia" w:ascii="Times New Roman" w:hAnsi="Times New Roman" w:eastAsia="仿宋_GB2312" w:cs="Times New Roman"/>
          <w:b/>
          <w:color w:val="auto"/>
          <w:kern w:val="2"/>
          <w:sz w:val="21"/>
          <w:szCs w:val="22"/>
          <w:lang w:val="en-US" w:eastAsia="zh-CN" w:bidi="ar-SA"/>
        </w:rPr>
        <w:t>表9-7 上犹县耕地保护任务情况表</w:t>
      </w:r>
    </w:p>
    <w:p>
      <w:pPr>
        <w:keepNext/>
        <w:pageBreakBefore w:val="0"/>
        <w:kinsoku/>
        <w:wordWrap/>
        <w:overflowPunct/>
        <w:topLinePunct w:val="0"/>
        <w:bidi w:val="0"/>
        <w:snapToGrid w:val="0"/>
        <w:spacing w:line="480" w:lineRule="exact"/>
        <w:ind w:firstLine="0" w:firstLineChars="0"/>
        <w:jc w:val="right"/>
        <w:rPr>
          <w:rFonts w:hint="default" w:ascii="Times New Roman" w:hAnsi="Times New Roman" w:eastAsia="仿宋_GB2312" w:cs="Times New Roman"/>
          <w:b/>
          <w:color w:val="auto"/>
          <w:kern w:val="2"/>
          <w:sz w:val="21"/>
          <w:szCs w:val="22"/>
          <w:lang w:val="en-US" w:eastAsia="zh-CN" w:bidi="ar-SA"/>
        </w:rPr>
      </w:pPr>
      <w:r>
        <w:rPr>
          <w:rFonts w:hint="eastAsia" w:ascii="Times New Roman" w:hAnsi="Times New Roman" w:eastAsia="仿宋_GB2312" w:cs="Times New Roman"/>
          <w:b/>
          <w:color w:val="auto"/>
          <w:kern w:val="2"/>
          <w:sz w:val="21"/>
          <w:szCs w:val="22"/>
          <w:lang w:val="en-US" w:eastAsia="zh-CN" w:bidi="ar-SA"/>
        </w:rPr>
        <w:t>单位：公顷、%</w:t>
      </w:r>
    </w:p>
    <w:tbl>
      <w:tblPr>
        <w:tblStyle w:val="19"/>
        <w:tblW w:w="437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9"/>
        <w:gridCol w:w="2881"/>
        <w:gridCol w:w="2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blHeader/>
        </w:trPr>
        <w:tc>
          <w:tcPr>
            <w:tcW w:w="1655" w:type="pct"/>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auto"/>
                <w:kern w:val="0"/>
                <w:sz w:val="21"/>
                <w:szCs w:val="24"/>
                <w:lang w:val="en-US" w:eastAsia="zh-CN" w:bidi="ar"/>
              </w:rPr>
            </w:pPr>
            <w:r>
              <w:rPr>
                <w:rFonts w:hint="eastAsia" w:ascii="Times New Roman" w:hAnsi="Times New Roman" w:eastAsia="仿宋_GB2312" w:cs="Times New Roman"/>
                <w:b/>
                <w:bCs w:val="0"/>
                <w:color w:val="auto"/>
                <w:kern w:val="0"/>
                <w:sz w:val="21"/>
                <w:szCs w:val="24"/>
                <w:lang w:val="en-US" w:eastAsia="zh-CN" w:bidi="ar"/>
              </w:rPr>
              <w:t>行政区名称</w:t>
            </w:r>
          </w:p>
        </w:tc>
        <w:tc>
          <w:tcPr>
            <w:tcW w:w="1931" w:type="pct"/>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auto"/>
                <w:kern w:val="0"/>
                <w:sz w:val="21"/>
                <w:szCs w:val="24"/>
                <w:lang w:val="en-US" w:eastAsia="zh-CN" w:bidi="ar"/>
              </w:rPr>
            </w:pPr>
            <w:r>
              <w:rPr>
                <w:rFonts w:hint="eastAsia" w:ascii="Times New Roman" w:hAnsi="Times New Roman" w:eastAsia="仿宋_GB2312" w:cs="Times New Roman"/>
                <w:b/>
                <w:bCs w:val="0"/>
                <w:color w:val="auto"/>
                <w:kern w:val="0"/>
                <w:sz w:val="21"/>
                <w:szCs w:val="24"/>
                <w:lang w:val="en-US" w:eastAsia="zh-CN" w:bidi="ar"/>
              </w:rPr>
              <w:t>耕地保有量</w:t>
            </w:r>
          </w:p>
        </w:tc>
        <w:tc>
          <w:tcPr>
            <w:tcW w:w="1413" w:type="pct"/>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auto"/>
                <w:kern w:val="0"/>
                <w:sz w:val="21"/>
                <w:szCs w:val="24"/>
                <w:lang w:val="en-US" w:eastAsia="zh-CN" w:bidi="ar"/>
              </w:rPr>
            </w:pPr>
            <w:r>
              <w:rPr>
                <w:rFonts w:hint="eastAsia" w:ascii="Times New Roman" w:hAnsi="Times New Roman" w:eastAsia="仿宋_GB2312" w:cs="Times New Roman"/>
                <w:b/>
                <w:bCs w:val="0"/>
                <w:color w:val="auto"/>
                <w:kern w:val="0"/>
                <w:sz w:val="21"/>
                <w:szCs w:val="24"/>
                <w:lang w:val="en-US" w:eastAsia="zh-CN" w:bidi="ar"/>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655" w:type="pct"/>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大潭村</w:t>
            </w:r>
          </w:p>
        </w:tc>
        <w:tc>
          <w:tcPr>
            <w:tcW w:w="1931" w:type="pct"/>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 xml:space="preserve">48.32 </w:t>
            </w:r>
          </w:p>
        </w:tc>
        <w:tc>
          <w:tcPr>
            <w:tcW w:w="1413" w:type="pct"/>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13.03%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655" w:type="pct"/>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横坑村</w:t>
            </w:r>
          </w:p>
        </w:tc>
        <w:tc>
          <w:tcPr>
            <w:tcW w:w="1931" w:type="pct"/>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 xml:space="preserve">30.81 </w:t>
            </w:r>
          </w:p>
        </w:tc>
        <w:tc>
          <w:tcPr>
            <w:tcW w:w="1413" w:type="pct"/>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655" w:type="pct"/>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平富村</w:t>
            </w:r>
          </w:p>
        </w:tc>
        <w:tc>
          <w:tcPr>
            <w:tcW w:w="1931" w:type="pct"/>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 xml:space="preserve">82.77 </w:t>
            </w:r>
          </w:p>
        </w:tc>
        <w:tc>
          <w:tcPr>
            <w:tcW w:w="1413" w:type="pct"/>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22.33%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655" w:type="pct"/>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上寨村</w:t>
            </w:r>
          </w:p>
        </w:tc>
        <w:tc>
          <w:tcPr>
            <w:tcW w:w="1931" w:type="pct"/>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 xml:space="preserve">42.52 </w:t>
            </w:r>
          </w:p>
        </w:tc>
        <w:tc>
          <w:tcPr>
            <w:tcW w:w="1413" w:type="pct"/>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11.47%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655" w:type="pct"/>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向前村</w:t>
            </w:r>
          </w:p>
        </w:tc>
        <w:tc>
          <w:tcPr>
            <w:tcW w:w="1931" w:type="pct"/>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 xml:space="preserve">41.52 </w:t>
            </w:r>
          </w:p>
        </w:tc>
        <w:tc>
          <w:tcPr>
            <w:tcW w:w="1413" w:type="pct"/>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11.20%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655" w:type="pct"/>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信地村</w:t>
            </w:r>
          </w:p>
        </w:tc>
        <w:tc>
          <w:tcPr>
            <w:tcW w:w="1931" w:type="pct"/>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 xml:space="preserve">47.32 </w:t>
            </w:r>
          </w:p>
        </w:tc>
        <w:tc>
          <w:tcPr>
            <w:tcW w:w="1413" w:type="pct"/>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12.77%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655" w:type="pct"/>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庄坑村</w:t>
            </w:r>
          </w:p>
        </w:tc>
        <w:tc>
          <w:tcPr>
            <w:tcW w:w="1931" w:type="pct"/>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 xml:space="preserve">28.62 </w:t>
            </w:r>
          </w:p>
        </w:tc>
        <w:tc>
          <w:tcPr>
            <w:tcW w:w="1413" w:type="pct"/>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655" w:type="pct"/>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庄前村</w:t>
            </w:r>
          </w:p>
        </w:tc>
        <w:tc>
          <w:tcPr>
            <w:tcW w:w="1931" w:type="pct"/>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 xml:space="preserve">48.82 </w:t>
            </w:r>
          </w:p>
        </w:tc>
        <w:tc>
          <w:tcPr>
            <w:tcW w:w="1413" w:type="pct"/>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13.17%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1655" w:type="pct"/>
            <w:shd w:val="clear" w:color="auto" w:fill="auto"/>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总计</w:t>
            </w:r>
          </w:p>
        </w:tc>
        <w:tc>
          <w:tcPr>
            <w:tcW w:w="1931" w:type="pct"/>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370.</w:t>
            </w:r>
            <w:r>
              <w:rPr>
                <w:rFonts w:hint="eastAsia" w:ascii="Times New Roman" w:hAnsi="Times New Roman" w:eastAsia="仿宋_GB2312" w:cs="Times New Roman"/>
                <w:bCs/>
                <w:color w:val="auto"/>
                <w:kern w:val="0"/>
                <w:sz w:val="21"/>
                <w:szCs w:val="24"/>
                <w:lang w:val="en-US" w:eastAsia="zh-CN" w:bidi="ar"/>
              </w:rPr>
              <w:t>69</w:t>
            </w:r>
            <w:r>
              <w:rPr>
                <w:rFonts w:hint="default" w:ascii="Times New Roman" w:hAnsi="Times New Roman" w:eastAsia="仿宋_GB2312" w:cs="Times New Roman"/>
                <w:bCs/>
                <w:color w:val="auto"/>
                <w:kern w:val="0"/>
                <w:sz w:val="21"/>
                <w:szCs w:val="24"/>
                <w:lang w:val="en-US" w:eastAsia="zh-CN" w:bidi="ar"/>
              </w:rPr>
              <w:t xml:space="preserve"> </w:t>
            </w:r>
          </w:p>
        </w:tc>
        <w:tc>
          <w:tcPr>
            <w:tcW w:w="1413" w:type="pct"/>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100.00%</w:t>
            </w:r>
          </w:p>
        </w:tc>
      </w:tr>
    </w:tbl>
    <w:p>
      <w:pPr>
        <w:pStyle w:val="33"/>
        <w:spacing w:before="156" w:beforeLines="50" w:after="156" w:afterLines="50" w:line="520" w:lineRule="exact"/>
        <w:jc w:val="center"/>
        <w:rPr>
          <w:rFonts w:hint="eastAsia" w:ascii="Times New Roman" w:hAnsi="Times New Roman"/>
          <w:color w:val="auto"/>
          <w:kern w:val="2"/>
          <w:szCs w:val="32"/>
          <w:lang w:val="en-US" w:eastAsia="zh-CN"/>
        </w:rPr>
      </w:pPr>
      <w:bookmarkStart w:id="59" w:name="_Toc476"/>
      <w:r>
        <w:rPr>
          <w:rFonts w:hint="eastAsia" w:ascii="Times New Roman" w:hAnsi="Times New Roman"/>
          <w:color w:val="auto"/>
          <w:kern w:val="2"/>
          <w:szCs w:val="32"/>
          <w:lang w:val="en-US" w:eastAsia="zh-CN"/>
        </w:rPr>
        <w:t>第二节 水资源保护与利用</w:t>
      </w:r>
      <w:bookmarkEnd w:id="59"/>
    </w:p>
    <w:p>
      <w:pPr>
        <w:snapToGrid w:val="0"/>
        <w:spacing w:line="480" w:lineRule="exact"/>
        <w:ind w:firstLine="562"/>
        <w:rPr>
          <w:rFonts w:hint="default"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一、水资源现状</w:t>
      </w:r>
    </w:p>
    <w:p>
      <w:pPr>
        <w:pageBreakBefore w:val="0"/>
        <w:kinsoku/>
        <w:wordWrap/>
        <w:overflowPunct/>
        <w:topLinePunct w:val="0"/>
        <w:bidi w:val="0"/>
        <w:snapToGrid w:val="0"/>
        <w:spacing w:line="480" w:lineRule="exact"/>
        <w:ind w:left="0" w:leftChars="0" w:firstLine="560" w:firstLineChars="200"/>
        <w:rPr>
          <w:rFonts w:ascii="Times New Roman" w:hAnsi="Times New Roman" w:eastAsia="仿宋_GB2312" w:cs="Times New Roman"/>
          <w:b w:val="0"/>
          <w:bCs/>
          <w:color w:val="auto"/>
          <w:kern w:val="2"/>
          <w:sz w:val="28"/>
          <w:szCs w:val="32"/>
          <w:lang w:val="en-US" w:eastAsia="zh-CN" w:bidi="ar-SA"/>
        </w:rPr>
      </w:pPr>
      <w:r>
        <w:rPr>
          <w:rFonts w:hint="eastAsia" w:ascii="Times New Roman" w:hAnsi="Times New Roman" w:eastAsia="仿宋_GB2312" w:cs="Times New Roman"/>
          <w:b w:val="0"/>
          <w:bCs/>
          <w:color w:val="auto"/>
          <w:kern w:val="2"/>
          <w:sz w:val="28"/>
          <w:szCs w:val="32"/>
          <w:lang w:val="en-US" w:eastAsia="zh-CN" w:bidi="ar-SA"/>
        </w:rPr>
        <w:t>1、水资源总量</w:t>
      </w:r>
    </w:p>
    <w:p>
      <w:pPr>
        <w:pageBreakBefore w:val="0"/>
        <w:numPr>
          <w:ilvl w:val="0"/>
          <w:numId w:val="0"/>
        </w:numPr>
        <w:kinsoku/>
        <w:wordWrap/>
        <w:overflowPunct/>
        <w:topLinePunct w:val="0"/>
        <w:bidi w:val="0"/>
        <w:spacing w:line="480" w:lineRule="exact"/>
        <w:ind w:firstLine="560" w:firstLineChars="200"/>
        <w:rPr>
          <w:rFonts w:hint="eastAsia" w:ascii="Times New Roman" w:hAnsi="Times New Roman" w:eastAsia="仿宋_GB2312"/>
          <w:bCs/>
          <w:color w:val="auto"/>
          <w:sz w:val="28"/>
          <w:szCs w:val="28"/>
        </w:rPr>
      </w:pPr>
      <w:r>
        <w:rPr>
          <w:rFonts w:hint="eastAsia" w:ascii="Times New Roman" w:hAnsi="Times New Roman" w:eastAsia="仿宋_GB2312"/>
          <w:bCs/>
          <w:color w:val="auto"/>
          <w:sz w:val="28"/>
          <w:szCs w:val="28"/>
        </w:rPr>
        <w:t>水资源总量是指当地降水形成的可供利用的地表水、地下水水量、不包括过境水量。由于</w:t>
      </w:r>
      <w:r>
        <w:rPr>
          <w:rFonts w:hint="eastAsia" w:ascii="Times New Roman" w:hAnsi="Times New Roman" w:eastAsia="仿宋_GB2312"/>
          <w:bCs/>
          <w:color w:val="auto"/>
          <w:sz w:val="28"/>
          <w:szCs w:val="28"/>
          <w:lang w:eastAsia="zh-CN"/>
        </w:rPr>
        <w:t>上犹县</w:t>
      </w:r>
      <w:r>
        <w:rPr>
          <w:rFonts w:hint="eastAsia" w:ascii="Times New Roman" w:hAnsi="Times New Roman" w:eastAsia="仿宋_GB2312"/>
          <w:bCs/>
          <w:color w:val="auto"/>
          <w:sz w:val="28"/>
          <w:szCs w:val="28"/>
        </w:rPr>
        <w:t>属山丘区，浅层地下水资源量等于重复计算水资源量，因此，</w:t>
      </w:r>
      <w:r>
        <w:rPr>
          <w:rFonts w:hint="eastAsia" w:ascii="Times New Roman" w:hAnsi="Times New Roman" w:eastAsia="仿宋_GB2312"/>
          <w:bCs/>
          <w:color w:val="auto"/>
          <w:sz w:val="28"/>
          <w:szCs w:val="28"/>
          <w:lang w:eastAsia="zh-CN"/>
        </w:rPr>
        <w:t>平富乡</w:t>
      </w:r>
      <w:r>
        <w:rPr>
          <w:rFonts w:hint="eastAsia" w:ascii="Times New Roman" w:hAnsi="Times New Roman" w:eastAsia="仿宋_GB2312"/>
          <w:bCs/>
          <w:color w:val="auto"/>
          <w:sz w:val="28"/>
          <w:szCs w:val="28"/>
        </w:rPr>
        <w:t>水资源总量即为</w:t>
      </w:r>
      <w:r>
        <w:rPr>
          <w:rFonts w:hint="eastAsia" w:ascii="Times New Roman" w:hAnsi="Times New Roman" w:eastAsia="仿宋_GB2312"/>
          <w:bCs/>
          <w:color w:val="auto"/>
          <w:sz w:val="28"/>
          <w:szCs w:val="28"/>
          <w:lang w:eastAsia="zh-CN"/>
        </w:rPr>
        <w:t>平富乡</w:t>
      </w:r>
      <w:r>
        <w:rPr>
          <w:rFonts w:hint="eastAsia" w:ascii="Times New Roman" w:hAnsi="Times New Roman" w:eastAsia="仿宋_GB2312"/>
          <w:bCs/>
          <w:color w:val="auto"/>
          <w:sz w:val="28"/>
          <w:szCs w:val="28"/>
        </w:rPr>
        <w:t>地表水资源量。根据</w:t>
      </w:r>
      <w:r>
        <w:rPr>
          <w:rFonts w:hint="eastAsia" w:ascii="Times New Roman" w:hAnsi="Times New Roman" w:eastAsia="仿宋_GB2312"/>
          <w:bCs/>
          <w:color w:val="auto"/>
          <w:sz w:val="28"/>
          <w:szCs w:val="28"/>
          <w:lang w:eastAsia="zh-CN"/>
        </w:rPr>
        <w:t>上犹县</w:t>
      </w:r>
      <w:r>
        <w:rPr>
          <w:rFonts w:hint="eastAsia" w:ascii="Times New Roman" w:hAnsi="Times New Roman" w:eastAsia="仿宋_GB2312"/>
          <w:bCs/>
          <w:color w:val="auto"/>
          <w:sz w:val="28"/>
          <w:szCs w:val="28"/>
        </w:rPr>
        <w:t>水资源公报，</w:t>
      </w:r>
      <w:r>
        <w:rPr>
          <w:rFonts w:hint="eastAsia" w:ascii="Times New Roman" w:hAnsi="Times New Roman" w:eastAsia="仿宋_GB2312"/>
          <w:bCs/>
          <w:color w:val="auto"/>
          <w:sz w:val="28"/>
          <w:szCs w:val="28"/>
          <w:lang w:eastAsia="zh-CN"/>
        </w:rPr>
        <w:t>平富乡</w:t>
      </w:r>
      <w:r>
        <w:rPr>
          <w:rFonts w:hint="eastAsia" w:ascii="Times New Roman" w:hAnsi="Times New Roman" w:eastAsia="仿宋_GB2312"/>
          <w:bCs/>
          <w:color w:val="auto"/>
          <w:sz w:val="28"/>
          <w:szCs w:val="28"/>
        </w:rPr>
        <w:t>多年平均水资源量为0.86亿立方米。2020年，</w:t>
      </w:r>
      <w:r>
        <w:rPr>
          <w:rFonts w:hint="eastAsia" w:ascii="Times New Roman" w:hAnsi="Times New Roman" w:eastAsia="仿宋_GB2312"/>
          <w:bCs/>
          <w:color w:val="auto"/>
          <w:sz w:val="28"/>
          <w:szCs w:val="28"/>
          <w:lang w:eastAsia="zh-CN"/>
        </w:rPr>
        <w:t>平富乡</w:t>
      </w:r>
      <w:r>
        <w:rPr>
          <w:rFonts w:hint="eastAsia" w:ascii="Times New Roman" w:hAnsi="Times New Roman" w:eastAsia="仿宋_GB2312"/>
          <w:bCs/>
          <w:color w:val="auto"/>
          <w:sz w:val="28"/>
          <w:szCs w:val="28"/>
        </w:rPr>
        <w:t>水资源总量为0.82亿立方米，产水模数75.36万立方米/平方千米，比多年平均值偏少3.96%，近六年水资源总量呈波动变化趋势，与年降水量变化趋势基本一致。</w:t>
      </w:r>
    </w:p>
    <w:p>
      <w:pPr>
        <w:pageBreakBefore w:val="0"/>
        <w:kinsoku/>
        <w:wordWrap/>
        <w:overflowPunct/>
        <w:topLinePunct w:val="0"/>
        <w:bidi w:val="0"/>
        <w:snapToGrid w:val="0"/>
        <w:spacing w:line="480" w:lineRule="exact"/>
        <w:ind w:left="0" w:leftChars="0" w:firstLine="560" w:firstLineChars="200"/>
        <w:rPr>
          <w:rFonts w:hint="default" w:ascii="Times New Roman" w:hAnsi="Times New Roman" w:eastAsia="仿宋_GB2312" w:cs="Times New Roman"/>
          <w:b w:val="0"/>
          <w:bCs/>
          <w:color w:val="auto"/>
          <w:kern w:val="2"/>
          <w:sz w:val="28"/>
          <w:szCs w:val="32"/>
          <w:lang w:val="en-US" w:eastAsia="zh-CN" w:bidi="ar-SA"/>
        </w:rPr>
      </w:pPr>
      <w:r>
        <w:rPr>
          <w:rFonts w:hint="eastAsia" w:ascii="Times New Roman" w:hAnsi="Times New Roman" w:eastAsia="仿宋_GB2312" w:cs="Times New Roman"/>
          <w:b w:val="0"/>
          <w:bCs/>
          <w:color w:val="auto"/>
          <w:kern w:val="2"/>
          <w:sz w:val="28"/>
          <w:szCs w:val="32"/>
          <w:lang w:val="en-US" w:eastAsia="zh-CN" w:bidi="ar-SA"/>
        </w:rPr>
        <w:t>2、降水资源</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cs="Times New Roman"/>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_GB2312" w:cs="Times New Roman"/>
          <w:bCs/>
          <w:color w:val="auto"/>
          <w:kern w:val="2"/>
          <w:sz w:val="28"/>
          <w:szCs w:val="28"/>
          <w:lang w:val="en-US" w:eastAsia="zh-CN" w:bidi="ar-SA"/>
        </w:rPr>
        <w:t>平富乡多年平均年降水量为1230.5毫米。根据《2020年上犹县水资源公报》，2020年，平富乡平均年降水量1580毫米，折合水量1.485亿立方米，比多年平均值偏多3.2%，属平水年。降水量年内分配不均，主要集中在3-7月，占全年总降水量的64.4%，汛期4-9月降水量占全年总降水量的66.0%。2016-2020年间，2016年上犹县年降水量最多，达到1693毫米，2018年最少，为1184.5毫米，近六年降水量呈现波动</w:t>
      </w:r>
      <w:r>
        <w:rPr>
          <w:rFonts w:hint="eastAsia" w:ascii="Times New Roman" w:hAnsi="Times New Roman" w:eastAsia="仿宋_GB2312" w:cs="Times New Roman"/>
          <w:bCs/>
          <w:color w:val="000000" w:themeColor="text1"/>
          <w:kern w:val="2"/>
          <w:sz w:val="28"/>
          <w:szCs w:val="28"/>
          <w:lang w:val="en-US" w:eastAsia="zh-CN" w:bidi="ar-SA"/>
          <w14:textFill>
            <w14:solidFill>
              <w14:schemeClr w14:val="tx1"/>
            </w14:solidFill>
          </w14:textFill>
        </w:rPr>
        <w:t>变化趋势。</w:t>
      </w:r>
    </w:p>
    <w:p>
      <w:pPr>
        <w:pageBreakBefore w:val="0"/>
        <w:kinsoku/>
        <w:wordWrap/>
        <w:overflowPunct/>
        <w:topLinePunct w:val="0"/>
        <w:bidi w:val="0"/>
        <w:snapToGrid w:val="0"/>
        <w:spacing w:line="480" w:lineRule="exact"/>
        <w:ind w:left="0" w:leftChars="0" w:firstLine="560" w:firstLineChars="200"/>
        <w:rPr>
          <w:rFonts w:hint="default" w:ascii="Times New Roman" w:hAnsi="Times New Roman" w:eastAsia="仿宋_GB2312" w:cs="Times New Roman"/>
          <w:b w:val="0"/>
          <w:bCs/>
          <w:color w:val="000000" w:themeColor="text1"/>
          <w:kern w:val="2"/>
          <w:sz w:val="28"/>
          <w:szCs w:val="32"/>
          <w:lang w:val="en-US" w:eastAsia="zh-CN" w:bidi="ar-SA"/>
          <w14:textFill>
            <w14:solidFill>
              <w14:schemeClr w14:val="tx1"/>
            </w14:solidFill>
          </w14:textFill>
        </w:rPr>
      </w:pPr>
      <w:r>
        <w:rPr>
          <w:rFonts w:hint="eastAsia" w:ascii="Times New Roman" w:hAnsi="Times New Roman" w:eastAsia="仿宋_GB2312" w:cs="Times New Roman"/>
          <w:b w:val="0"/>
          <w:bCs/>
          <w:color w:val="000000" w:themeColor="text1"/>
          <w:kern w:val="2"/>
          <w:sz w:val="28"/>
          <w:szCs w:val="32"/>
          <w:lang w:val="en-US" w:eastAsia="zh-CN" w:bidi="ar-SA"/>
          <w14:textFill>
            <w14:solidFill>
              <w14:schemeClr w14:val="tx1"/>
            </w14:solidFill>
          </w14:textFill>
        </w:rPr>
        <w:t>3、地表水资源</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cs="Times New Roman"/>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_GB2312" w:cs="Times New Roman"/>
          <w:bCs/>
          <w:color w:val="000000" w:themeColor="text1"/>
          <w:kern w:val="2"/>
          <w:sz w:val="28"/>
          <w:szCs w:val="28"/>
          <w:lang w:val="en-US" w:eastAsia="zh-CN" w:bidi="ar-SA"/>
          <w14:textFill>
            <w14:solidFill>
              <w14:schemeClr w14:val="tx1"/>
            </w14:solidFill>
          </w14:textFill>
        </w:rPr>
        <w:t>地表水资源指河流、湖泊等地表水体逐年更新的动态水量，主要受气候和下垫面条件的影响，同时人类活动对其影响也很大。2020年，平富乡地表水资源量0.827亿立方米。地表水资源除山区可有效利用外，丘陵、平原区由于很快形成地表径流汇入平富河，利用率较低。</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cs="Times New Roman"/>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_GB2312" w:cs="Times New Roman"/>
          <w:bCs/>
          <w:color w:val="000000" w:themeColor="text1"/>
          <w:kern w:val="2"/>
          <w:sz w:val="28"/>
          <w:szCs w:val="28"/>
          <w:lang w:val="en-US" w:eastAsia="zh-CN" w:bidi="ar-SA"/>
          <w14:textFill>
            <w14:solidFill>
              <w14:schemeClr w14:val="tx1"/>
            </w14:solidFill>
          </w14:textFill>
        </w:rPr>
        <w:t>从时间分布上看，2020年上犹县地表水资源量较上年增加，与上年比较减少33.3%，较多年平均减少6.0%，近三年地表水资源量呈逐年下降趋势。</w:t>
      </w:r>
    </w:p>
    <w:p>
      <w:pPr>
        <w:pageBreakBefore w:val="0"/>
        <w:kinsoku/>
        <w:wordWrap/>
        <w:overflowPunct/>
        <w:topLinePunct w:val="0"/>
        <w:bidi w:val="0"/>
        <w:snapToGrid w:val="0"/>
        <w:spacing w:line="480" w:lineRule="exact"/>
        <w:ind w:left="0" w:leftChars="0" w:firstLine="560" w:firstLineChars="200"/>
        <w:rPr>
          <w:rFonts w:hint="default" w:ascii="Times New Roman" w:hAnsi="Times New Roman" w:eastAsia="仿宋_GB2312" w:cs="Times New Roman"/>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_GB2312" w:cs="Times New Roman"/>
          <w:bCs/>
          <w:color w:val="000000" w:themeColor="text1"/>
          <w:kern w:val="2"/>
          <w:sz w:val="28"/>
          <w:szCs w:val="28"/>
          <w:lang w:val="en-US" w:eastAsia="zh-CN" w:bidi="ar-SA"/>
          <w14:textFill>
            <w14:solidFill>
              <w14:schemeClr w14:val="tx1"/>
            </w14:solidFill>
          </w14:textFill>
        </w:rPr>
        <w:t>4、地下水资源</w:t>
      </w:r>
    </w:p>
    <w:p>
      <w:pPr>
        <w:pageBreakBefore w:val="0"/>
        <w:kinsoku/>
        <w:wordWrap/>
        <w:overflowPunct/>
        <w:topLinePunct w:val="0"/>
        <w:bidi w:val="0"/>
        <w:snapToGrid w:val="0"/>
        <w:spacing w:line="480" w:lineRule="exact"/>
        <w:ind w:left="0" w:leftChars="0" w:firstLine="560" w:firstLineChars="200"/>
        <w:rPr>
          <w:rFonts w:hint="eastAsia" w:ascii="Times New Roman" w:hAnsi="Times New Roman" w:eastAsia="仿宋_GB2312" w:cs="Times New Roman"/>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_GB2312" w:cs="Times New Roman"/>
          <w:bCs/>
          <w:color w:val="000000" w:themeColor="text1"/>
          <w:kern w:val="2"/>
          <w:sz w:val="28"/>
          <w:szCs w:val="28"/>
          <w:lang w:val="en-US" w:eastAsia="zh-CN" w:bidi="ar-SA"/>
          <w14:textFill>
            <w14:solidFill>
              <w14:schemeClr w14:val="tx1"/>
            </w14:solidFill>
          </w14:textFill>
        </w:rPr>
        <w:t>地下水资源量是指降水、地表水体（含河道、湖泊、渠系和渠灌田间）入渗补给地下含水层的动态水量，山丘区地下水主要以河川基流形式排泄，总排泄量作为地下水资源量，平富乡地下水全部为浅层地下水。2020年，平富乡浅层地下水资源量为0.204亿立方米，地下水全部为降水入渗产生。平富乡地下水资源量呈逐年减少趋势，从2016年的0.242亿立方米下降为2020年的0.204亿立方米。</w:t>
      </w:r>
    </w:p>
    <w:p>
      <w:pPr>
        <w:pStyle w:val="36"/>
        <w:ind w:left="0" w:leftChars="0" w:firstLine="0" w:firstLineChars="0"/>
        <w:jc w:val="both"/>
        <w:rPr>
          <w:rFonts w:ascii="Times New Roman" w:hAnsi="Times New Roman" w:eastAsia="仿宋_GB2312"/>
          <w:color w:val="000000" w:themeColor="text1"/>
          <w:szCs w:val="32"/>
          <w14:textFill>
            <w14:solidFill>
              <w14:schemeClr w14:val="tx1"/>
            </w14:solidFill>
          </w14:textFill>
        </w:rPr>
      </w:pPr>
      <w:r>
        <w:rPr>
          <w:rFonts w:hint="eastAsia" w:ascii="Times New Roman" w:hAnsi="Times New Roman" w:eastAsia="仿宋_GB2312"/>
          <w:color w:val="000000" w:themeColor="text1"/>
          <w:szCs w:val="32"/>
          <w:lang w:val="en-US" w:eastAsia="zh-CN"/>
          <w14:textFill>
            <w14:solidFill>
              <w14:schemeClr w14:val="tx1"/>
            </w14:solidFill>
          </w14:textFill>
        </w:rPr>
        <w:t>二、</w:t>
      </w:r>
      <w:r>
        <w:rPr>
          <w:rFonts w:hint="eastAsia" w:ascii="Times New Roman" w:hAnsi="Times New Roman" w:eastAsia="仿宋_GB2312"/>
          <w:color w:val="000000" w:themeColor="text1"/>
          <w:szCs w:val="32"/>
          <w14:textFill>
            <w14:solidFill>
              <w14:schemeClr w14:val="tx1"/>
            </w14:solidFill>
          </w14:textFill>
        </w:rPr>
        <w:t>水资源质量现状</w:t>
      </w:r>
    </w:p>
    <w:p>
      <w:pPr>
        <w:pStyle w:val="17"/>
        <w:pageBreakBefore w:val="0"/>
        <w:kinsoku/>
        <w:wordWrap/>
        <w:overflowPunct/>
        <w:topLinePunct w:val="0"/>
        <w:bidi w:val="0"/>
        <w:spacing w:after="0" w:line="480" w:lineRule="exact"/>
        <w:ind w:left="0" w:leftChars="0" w:firstLine="0" w:firstLineChars="0"/>
        <w:rPr>
          <w:rFonts w:hint="default" w:ascii="Times New Roman" w:hAnsi="Times New Roman" w:eastAsia="仿宋_GB2312"/>
          <w:bCs/>
          <w:color w:val="000000" w:themeColor="text1"/>
          <w:sz w:val="28"/>
          <w:szCs w:val="28"/>
          <w14:textFill>
            <w14:solidFill>
              <w14:schemeClr w14:val="tx1"/>
            </w14:solidFill>
          </w14:textFill>
        </w:rPr>
      </w:pPr>
      <w:r>
        <w:rPr>
          <w:rFonts w:hint="eastAsia" w:ascii="Times New Roman" w:hAnsi="Times New Roman" w:eastAsia="仿宋_GB2312"/>
          <w:bCs/>
          <w:color w:val="000000" w:themeColor="text1"/>
          <w:sz w:val="28"/>
          <w:szCs w:val="28"/>
          <w:lang w:val="en-US" w:eastAsia="zh-CN"/>
          <w14:textFill>
            <w14:solidFill>
              <w14:schemeClr w14:val="tx1"/>
            </w14:solidFill>
          </w14:textFill>
        </w:rPr>
        <w:t>1</w:t>
      </w:r>
      <w:r>
        <w:rPr>
          <w:rFonts w:ascii="Times New Roman" w:hAnsi="Times New Roman" w:eastAsia="仿宋_GB2312"/>
          <w:bCs/>
          <w:color w:val="000000" w:themeColor="text1"/>
          <w:sz w:val="28"/>
          <w:szCs w:val="28"/>
          <w14:textFill>
            <w14:solidFill>
              <w14:schemeClr w14:val="tx1"/>
            </w14:solidFill>
          </w14:textFill>
        </w:rPr>
        <w:t>、河流水质</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cs="Times New Roman"/>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_GB2312" w:cs="Times New Roman"/>
          <w:bCs/>
          <w:color w:val="000000" w:themeColor="text1"/>
          <w:kern w:val="2"/>
          <w:sz w:val="28"/>
          <w:szCs w:val="28"/>
          <w:lang w:val="en-US" w:eastAsia="zh-CN" w:bidi="ar-SA"/>
          <w14:textFill>
            <w14:solidFill>
              <w14:schemeClr w14:val="tx1"/>
            </w14:solidFill>
          </w14:textFill>
        </w:rPr>
        <w:t>2020年，根据上犹县河流监测点的水质资料，采用《地表水环境质量标准》（GB3838-2002），全县已监测的河流水质状况评价。全年期、汛期、非汛期水质均优于或符合Ⅲ类水。</w:t>
      </w:r>
    </w:p>
    <w:p>
      <w:pPr>
        <w:pStyle w:val="17"/>
        <w:pageBreakBefore w:val="0"/>
        <w:kinsoku/>
        <w:wordWrap/>
        <w:overflowPunct/>
        <w:topLinePunct w:val="0"/>
        <w:bidi w:val="0"/>
        <w:spacing w:after="0" w:line="480" w:lineRule="exact"/>
        <w:ind w:left="0" w:leftChars="0" w:firstLine="0" w:firstLineChars="0"/>
        <w:rPr>
          <w:rFonts w:hint="default" w:ascii="Times New Roman" w:hAnsi="Times New Roman" w:eastAsia="仿宋_GB2312" w:cs="Times New Roman"/>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_GB2312" w:cs="Times New Roman"/>
          <w:bCs/>
          <w:color w:val="000000" w:themeColor="text1"/>
          <w:kern w:val="2"/>
          <w:sz w:val="28"/>
          <w:szCs w:val="28"/>
          <w:lang w:val="en-US" w:eastAsia="zh-CN" w:bidi="ar-SA"/>
          <w14:textFill>
            <w14:solidFill>
              <w14:schemeClr w14:val="tx1"/>
            </w14:solidFill>
          </w14:textFill>
        </w:rPr>
        <w:t>2、水库水质</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cs="Times New Roman"/>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_GB2312" w:cs="Times New Roman"/>
          <w:bCs/>
          <w:color w:val="000000" w:themeColor="text1"/>
          <w:kern w:val="2"/>
          <w:sz w:val="28"/>
          <w:szCs w:val="28"/>
          <w:lang w:val="en-US" w:eastAsia="zh-CN" w:bidi="ar-SA"/>
          <w14:textFill>
            <w14:solidFill>
              <w14:schemeClr w14:val="tx1"/>
            </w14:solidFill>
          </w14:textFill>
        </w:rPr>
        <w:t>平富乡无大中型水库。</w:t>
      </w:r>
    </w:p>
    <w:p>
      <w:pPr>
        <w:pStyle w:val="17"/>
        <w:pageBreakBefore w:val="0"/>
        <w:kinsoku/>
        <w:wordWrap/>
        <w:overflowPunct/>
        <w:topLinePunct w:val="0"/>
        <w:bidi w:val="0"/>
        <w:spacing w:after="0" w:line="480" w:lineRule="exact"/>
        <w:rPr>
          <w:rFonts w:hint="default" w:ascii="Times New Roman" w:hAnsi="Times New Roman" w:eastAsia="仿宋_GB2312" w:cs="Times New Roman"/>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_GB2312" w:cs="Times New Roman"/>
          <w:bCs/>
          <w:color w:val="000000" w:themeColor="text1"/>
          <w:kern w:val="2"/>
          <w:sz w:val="28"/>
          <w:szCs w:val="28"/>
          <w:lang w:val="en-US" w:eastAsia="zh-CN" w:bidi="ar-SA"/>
          <w14:textFill>
            <w14:solidFill>
              <w14:schemeClr w14:val="tx1"/>
            </w14:solidFill>
          </w14:textFill>
        </w:rPr>
        <w:t>3、水功能区水质</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cs="Times New Roman"/>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_GB2312" w:cs="Times New Roman"/>
          <w:bCs/>
          <w:color w:val="000000" w:themeColor="text1"/>
          <w:kern w:val="2"/>
          <w:sz w:val="28"/>
          <w:szCs w:val="28"/>
          <w:lang w:val="en-US" w:eastAsia="zh-CN" w:bidi="ar-SA"/>
          <w14:textFill>
            <w14:solidFill>
              <w14:schemeClr w14:val="tx1"/>
            </w14:solidFill>
          </w14:textFill>
        </w:rPr>
        <w:t>根据水环境功能区划，上犹县共有4个水功能区，采用水功能区限制纳污红线主要控制项目进行达标评价，平富乡范围内近三年进行评价的水功能区水质均为达标状态。</w:t>
      </w:r>
    </w:p>
    <w:p>
      <w:pPr>
        <w:snapToGrid w:val="0"/>
        <w:spacing w:line="480" w:lineRule="exact"/>
        <w:ind w:firstLine="562"/>
        <w:rPr>
          <w:rFonts w:hint="eastAsia" w:ascii="Times New Roman" w:hAnsi="Times New Roman" w:eastAsia="仿宋_GB2312" w:cs="Times New Roman"/>
          <w:b/>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b/>
          <w:color w:val="000000" w:themeColor="text1"/>
          <w:sz w:val="28"/>
          <w:szCs w:val="28"/>
          <w:lang w:val="en-US" w:eastAsia="zh-CN"/>
          <w14:textFill>
            <w14:solidFill>
              <w14:schemeClr w14:val="tx1"/>
            </w14:solidFill>
          </w14:textFill>
        </w:rPr>
        <w:t>三、水资源利用现状分析</w:t>
      </w:r>
    </w:p>
    <w:p>
      <w:pPr>
        <w:pageBreakBefore w:val="0"/>
        <w:kinsoku/>
        <w:wordWrap/>
        <w:overflowPunct/>
        <w:topLinePunct w:val="0"/>
        <w:bidi w:val="0"/>
        <w:spacing w:line="480" w:lineRule="exact"/>
        <w:ind w:firstLine="560" w:firstLineChars="200"/>
        <w:jc w:val="left"/>
        <w:outlineLvl w:val="2"/>
        <w:rPr>
          <w:rFonts w:hint="default" w:ascii="Times New Roman" w:hAnsi="Times New Roman" w:eastAsia="仿宋_GB2312" w:cs="Times New Roman"/>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_GB2312" w:cs="Times New Roman"/>
          <w:b w:val="0"/>
          <w:bCs/>
          <w:color w:val="000000" w:themeColor="text1"/>
          <w:kern w:val="2"/>
          <w:sz w:val="28"/>
          <w:szCs w:val="28"/>
          <w:lang w:val="en-US" w:eastAsia="zh-CN" w:bidi="ar-SA"/>
          <w14:textFill>
            <w14:solidFill>
              <w14:schemeClr w14:val="tx1"/>
            </w14:solidFill>
          </w14:textFill>
        </w:rPr>
        <w:t>1、供水状况分析</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000000" w:themeColor="text1"/>
          <w:sz w:val="28"/>
          <w:szCs w:val="28"/>
          <w14:textFill>
            <w14:solidFill>
              <w14:schemeClr w14:val="tx1"/>
            </w14:solidFill>
          </w14:textFill>
        </w:rPr>
      </w:pPr>
      <w:r>
        <w:rPr>
          <w:rFonts w:ascii="Times New Roman" w:hAnsi="Times New Roman" w:eastAsia="仿宋_GB2312"/>
          <w:bCs/>
          <w:color w:val="000000" w:themeColor="text1"/>
          <w:sz w:val="28"/>
          <w:szCs w:val="28"/>
          <w14:textFill>
            <w14:solidFill>
              <w14:schemeClr w14:val="tx1"/>
            </w14:solidFill>
          </w14:textFill>
        </w:rPr>
        <w:t>供水量指各种水源工程为用户提供的包括输水损失在内的水量，按地表水源、地下水源和其他水源（污水处理回用和集雨工程供水量）统计。2020年，</w:t>
      </w:r>
      <w:r>
        <w:rPr>
          <w:rFonts w:hint="eastAsia" w:ascii="Times New Roman" w:hAnsi="Times New Roman" w:eastAsia="仿宋_GB2312"/>
          <w:bCs/>
          <w:color w:val="000000" w:themeColor="text1"/>
          <w:sz w:val="28"/>
          <w:szCs w:val="28"/>
          <w:lang w:eastAsia="zh-CN"/>
          <w14:textFill>
            <w14:solidFill>
              <w14:schemeClr w14:val="tx1"/>
            </w14:solidFill>
          </w14:textFill>
        </w:rPr>
        <w:t>平富乡</w:t>
      </w:r>
      <w:r>
        <w:rPr>
          <w:rFonts w:ascii="Times New Roman" w:hAnsi="Times New Roman" w:eastAsia="仿宋_GB2312"/>
          <w:bCs/>
          <w:color w:val="000000" w:themeColor="text1"/>
          <w:sz w:val="28"/>
          <w:szCs w:val="28"/>
          <w14:textFill>
            <w14:solidFill>
              <w14:schemeClr w14:val="tx1"/>
            </w14:solidFill>
          </w14:textFill>
        </w:rPr>
        <w:t>总供水量827万立方米。均为地表水源供水。</w:t>
      </w:r>
    </w:p>
    <w:p>
      <w:pPr>
        <w:pStyle w:val="17"/>
        <w:pageBreakBefore w:val="0"/>
        <w:kinsoku/>
        <w:wordWrap/>
        <w:overflowPunct/>
        <w:topLinePunct w:val="0"/>
        <w:bidi w:val="0"/>
        <w:spacing w:after="0" w:line="480" w:lineRule="exact"/>
        <w:ind w:left="0" w:leftChars="0" w:firstLine="560" w:firstLineChars="200"/>
        <w:rPr>
          <w:rFonts w:ascii="Times New Roman" w:hAnsi="Times New Roman" w:eastAsia="仿宋_GB2312"/>
          <w:bCs/>
          <w:color w:val="000000" w:themeColor="text1"/>
          <w:sz w:val="28"/>
          <w:szCs w:val="28"/>
          <w14:textFill>
            <w14:solidFill>
              <w14:schemeClr w14:val="tx1"/>
            </w14:solidFill>
          </w14:textFill>
        </w:rPr>
      </w:pPr>
      <w:r>
        <w:rPr>
          <w:rFonts w:hint="eastAsia" w:ascii="Times New Roman" w:hAnsi="Times New Roman" w:eastAsia="仿宋_GB2312"/>
          <w:bCs/>
          <w:color w:val="000000" w:themeColor="text1"/>
          <w:sz w:val="28"/>
          <w:szCs w:val="28"/>
          <w:lang w:val="en-US" w:eastAsia="zh-CN"/>
          <w14:textFill>
            <w14:solidFill>
              <w14:schemeClr w14:val="tx1"/>
            </w14:solidFill>
          </w14:textFill>
        </w:rPr>
        <w:t>2</w:t>
      </w:r>
      <w:r>
        <w:rPr>
          <w:rFonts w:ascii="Times New Roman" w:hAnsi="Times New Roman" w:eastAsia="仿宋_GB2312"/>
          <w:bCs/>
          <w:color w:val="000000" w:themeColor="text1"/>
          <w:sz w:val="28"/>
          <w:szCs w:val="28"/>
          <w14:textFill>
            <w14:solidFill>
              <w14:schemeClr w14:val="tx1"/>
            </w14:solidFill>
          </w14:textFill>
        </w:rPr>
        <w:t>、用水状况分析</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000000" w:themeColor="text1"/>
          <w:sz w:val="28"/>
          <w:szCs w:val="28"/>
          <w14:textFill>
            <w14:solidFill>
              <w14:schemeClr w14:val="tx1"/>
            </w14:solidFill>
          </w14:textFill>
        </w:rPr>
      </w:pPr>
      <w:r>
        <w:rPr>
          <w:rFonts w:ascii="Times New Roman" w:hAnsi="Times New Roman" w:eastAsia="仿宋_GB2312"/>
          <w:bCs/>
          <w:color w:val="000000" w:themeColor="text1"/>
          <w:sz w:val="28"/>
          <w:szCs w:val="28"/>
          <w14:textFill>
            <w14:solidFill>
              <w14:schemeClr w14:val="tx1"/>
            </w14:solidFill>
          </w14:textFill>
        </w:rPr>
        <w:t>（1）农业用水</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000000" w:themeColor="text1"/>
          <w:sz w:val="28"/>
          <w:szCs w:val="28"/>
          <w14:textFill>
            <w14:solidFill>
              <w14:schemeClr w14:val="tx1"/>
            </w14:solidFill>
          </w14:textFill>
        </w:rPr>
      </w:pPr>
      <w:r>
        <w:rPr>
          <w:rFonts w:ascii="Times New Roman" w:hAnsi="Times New Roman" w:eastAsia="仿宋_GB2312"/>
          <w:bCs/>
          <w:color w:val="000000" w:themeColor="text1"/>
          <w:sz w:val="28"/>
          <w:szCs w:val="28"/>
          <w14:textFill>
            <w14:solidFill>
              <w14:schemeClr w14:val="tx1"/>
            </w14:solidFill>
          </w14:textFill>
        </w:rPr>
        <w:t>农业用水量包括农田灌溉用水、林牧渔畜用水量。</w:t>
      </w:r>
      <w:r>
        <w:rPr>
          <w:rFonts w:hint="eastAsia" w:ascii="Times New Roman" w:hAnsi="Times New Roman" w:eastAsia="仿宋_GB2312"/>
          <w:bCs/>
          <w:color w:val="000000" w:themeColor="text1"/>
          <w:sz w:val="28"/>
          <w:szCs w:val="28"/>
          <w:lang w:eastAsia="zh-CN"/>
          <w14:textFill>
            <w14:solidFill>
              <w14:schemeClr w14:val="tx1"/>
            </w14:solidFill>
          </w14:textFill>
        </w:rPr>
        <w:t>平富乡</w:t>
      </w:r>
      <w:r>
        <w:rPr>
          <w:rFonts w:ascii="Times New Roman" w:hAnsi="Times New Roman" w:eastAsia="仿宋_GB2312"/>
          <w:bCs/>
          <w:color w:val="000000" w:themeColor="text1"/>
          <w:sz w:val="28"/>
          <w:szCs w:val="28"/>
          <w14:textFill>
            <w14:solidFill>
              <w14:schemeClr w14:val="tx1"/>
            </w14:solidFill>
          </w14:textFill>
        </w:rPr>
        <w:t>2016—2020年农业用水量分别为1713万立方米、1412万立方米、1361万立方米、1353万立方米、1372万立方米，近3年来呈小幅下降趋势，但在用水总量中所占比例均超过80%，农业用水效率还有待进一步提高。</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000000" w:themeColor="text1"/>
          <w:sz w:val="28"/>
          <w:szCs w:val="28"/>
          <w14:textFill>
            <w14:solidFill>
              <w14:schemeClr w14:val="tx1"/>
            </w14:solidFill>
          </w14:textFill>
        </w:rPr>
      </w:pPr>
      <w:r>
        <w:rPr>
          <w:rFonts w:ascii="Times New Roman" w:hAnsi="Times New Roman" w:eastAsia="仿宋_GB2312"/>
          <w:bCs/>
          <w:color w:val="000000" w:themeColor="text1"/>
          <w:sz w:val="28"/>
          <w:szCs w:val="28"/>
          <w14:textFill>
            <w14:solidFill>
              <w14:schemeClr w14:val="tx1"/>
            </w14:solidFill>
          </w14:textFill>
        </w:rPr>
        <w:t>（2）工业用水</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000000" w:themeColor="text1"/>
          <w:sz w:val="28"/>
          <w:szCs w:val="28"/>
          <w14:textFill>
            <w14:solidFill>
              <w14:schemeClr w14:val="tx1"/>
            </w14:solidFill>
          </w14:textFill>
        </w:rPr>
      </w:pPr>
      <w:r>
        <w:rPr>
          <w:rFonts w:ascii="Times New Roman" w:hAnsi="Times New Roman" w:eastAsia="仿宋_GB2312"/>
          <w:bCs/>
          <w:color w:val="000000" w:themeColor="text1"/>
          <w:sz w:val="28"/>
          <w:szCs w:val="28"/>
          <w14:textFill>
            <w14:solidFill>
              <w14:schemeClr w14:val="tx1"/>
            </w14:solidFill>
          </w14:textFill>
        </w:rPr>
        <w:t>工业用水指工业生产过程中使用的生产用水及厂区内职工生活用水的总称。</w:t>
      </w:r>
      <w:r>
        <w:rPr>
          <w:rFonts w:hint="eastAsia" w:ascii="Times New Roman" w:hAnsi="Times New Roman" w:eastAsia="仿宋_GB2312"/>
          <w:bCs/>
          <w:color w:val="000000" w:themeColor="text1"/>
          <w:sz w:val="28"/>
          <w:szCs w:val="28"/>
          <w:lang w:eastAsia="zh-CN"/>
          <w14:textFill>
            <w14:solidFill>
              <w14:schemeClr w14:val="tx1"/>
            </w14:solidFill>
          </w14:textFill>
        </w:rPr>
        <w:t>平富乡</w:t>
      </w:r>
      <w:r>
        <w:rPr>
          <w:rFonts w:ascii="Times New Roman" w:hAnsi="Times New Roman" w:eastAsia="仿宋_GB2312"/>
          <w:bCs/>
          <w:color w:val="000000" w:themeColor="text1"/>
          <w:sz w:val="28"/>
          <w:szCs w:val="28"/>
          <w14:textFill>
            <w14:solidFill>
              <w14:schemeClr w14:val="tx1"/>
            </w14:solidFill>
          </w14:textFill>
        </w:rPr>
        <w:t>近年无工业用水量。</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000000" w:themeColor="text1"/>
          <w:sz w:val="28"/>
          <w:szCs w:val="28"/>
          <w14:textFill>
            <w14:solidFill>
              <w14:schemeClr w14:val="tx1"/>
            </w14:solidFill>
          </w14:textFill>
        </w:rPr>
      </w:pPr>
      <w:r>
        <w:rPr>
          <w:rFonts w:ascii="Times New Roman" w:hAnsi="Times New Roman" w:eastAsia="仿宋_GB2312"/>
          <w:bCs/>
          <w:color w:val="000000" w:themeColor="text1"/>
          <w:sz w:val="28"/>
          <w:szCs w:val="28"/>
          <w14:textFill>
            <w14:solidFill>
              <w14:schemeClr w14:val="tx1"/>
            </w14:solidFill>
          </w14:textFill>
        </w:rPr>
        <w:t>（3）城镇用水</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000000" w:themeColor="text1"/>
          <w:sz w:val="28"/>
          <w:szCs w:val="28"/>
          <w14:textFill>
            <w14:solidFill>
              <w14:schemeClr w14:val="tx1"/>
            </w14:solidFill>
          </w14:textFill>
        </w:rPr>
      </w:pPr>
      <w:r>
        <w:rPr>
          <w:rFonts w:ascii="Times New Roman" w:hAnsi="Times New Roman" w:eastAsia="仿宋_GB2312"/>
          <w:bCs/>
          <w:color w:val="000000" w:themeColor="text1"/>
          <w:sz w:val="28"/>
          <w:szCs w:val="28"/>
          <w14:textFill>
            <w14:solidFill>
              <w14:schemeClr w14:val="tx1"/>
            </w14:solidFill>
          </w14:textFill>
        </w:rPr>
        <w:t>城镇用水包括城镇公共用水和城镇居民生活用水。</w:t>
      </w:r>
      <w:r>
        <w:rPr>
          <w:rFonts w:hint="eastAsia" w:ascii="Times New Roman" w:hAnsi="Times New Roman" w:eastAsia="仿宋_GB2312"/>
          <w:bCs/>
          <w:color w:val="000000" w:themeColor="text1"/>
          <w:sz w:val="28"/>
          <w:szCs w:val="28"/>
          <w:lang w:eastAsia="zh-CN"/>
          <w14:textFill>
            <w14:solidFill>
              <w14:schemeClr w14:val="tx1"/>
            </w14:solidFill>
          </w14:textFill>
        </w:rPr>
        <w:t>平富乡</w:t>
      </w:r>
      <w:r>
        <w:rPr>
          <w:rFonts w:ascii="Times New Roman" w:hAnsi="Times New Roman" w:eastAsia="仿宋_GB2312"/>
          <w:bCs/>
          <w:color w:val="000000" w:themeColor="text1"/>
          <w:sz w:val="28"/>
          <w:szCs w:val="28"/>
          <w14:textFill>
            <w14:solidFill>
              <w14:schemeClr w14:val="tx1"/>
            </w14:solidFill>
          </w14:textFill>
        </w:rPr>
        <w:t>2016—2020年城镇用水总量分别为100万立方米、104万立方米、104万立方米、108万立方米、99万立方米，变化趋势较为稳定。</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000000" w:themeColor="text1"/>
          <w:sz w:val="28"/>
          <w:szCs w:val="28"/>
          <w14:textFill>
            <w14:solidFill>
              <w14:schemeClr w14:val="tx1"/>
            </w14:solidFill>
          </w14:textFill>
        </w:rPr>
      </w:pPr>
      <w:r>
        <w:rPr>
          <w:rFonts w:ascii="Times New Roman" w:hAnsi="Times New Roman" w:eastAsia="仿宋_GB2312"/>
          <w:bCs/>
          <w:color w:val="000000" w:themeColor="text1"/>
          <w:sz w:val="28"/>
          <w:szCs w:val="28"/>
          <w14:textFill>
            <w14:solidFill>
              <w14:schemeClr w14:val="tx1"/>
            </w14:solidFill>
          </w14:textFill>
        </w:rPr>
        <w:t>（4）生态环境用水</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000000" w:themeColor="text1"/>
          <w:sz w:val="28"/>
          <w:szCs w:val="28"/>
          <w14:textFill>
            <w14:solidFill>
              <w14:schemeClr w14:val="tx1"/>
            </w14:solidFill>
          </w14:textFill>
        </w:rPr>
      </w:pPr>
      <w:r>
        <w:rPr>
          <w:rFonts w:hint="eastAsia" w:ascii="Times New Roman" w:hAnsi="Times New Roman" w:eastAsia="仿宋_GB2312"/>
          <w:bCs/>
          <w:color w:val="000000" w:themeColor="text1"/>
          <w:sz w:val="28"/>
          <w:szCs w:val="28"/>
          <w:lang w:eastAsia="zh-CN"/>
          <w14:textFill>
            <w14:solidFill>
              <w14:schemeClr w14:val="tx1"/>
            </w14:solidFill>
          </w14:textFill>
        </w:rPr>
        <w:t>平富乡</w:t>
      </w:r>
      <w:r>
        <w:rPr>
          <w:rFonts w:ascii="Times New Roman" w:hAnsi="Times New Roman" w:eastAsia="仿宋_GB2312"/>
          <w:bCs/>
          <w:color w:val="000000" w:themeColor="text1"/>
          <w:sz w:val="28"/>
          <w:szCs w:val="28"/>
          <w14:textFill>
            <w14:solidFill>
              <w14:schemeClr w14:val="tx1"/>
            </w14:solidFill>
          </w14:textFill>
        </w:rPr>
        <w:t>近年无生态用水量。</w:t>
      </w:r>
    </w:p>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Times New Roman"/>
          <w:b/>
          <w:color w:val="000000" w:themeColor="text1"/>
          <w:kern w:val="2"/>
          <w:sz w:val="21"/>
          <w:szCs w:val="22"/>
          <w:lang w:val="en-US" w:eastAsia="zh-CN" w:bidi="ar-SA"/>
          <w14:textFill>
            <w14:solidFill>
              <w14:schemeClr w14:val="tx1"/>
            </w14:solidFill>
          </w14:textFill>
        </w:rPr>
      </w:pPr>
      <w:r>
        <w:rPr>
          <w:rFonts w:hint="eastAsia" w:ascii="Times New Roman" w:hAnsi="Times New Roman" w:eastAsia="仿宋_GB2312" w:cs="Times New Roman"/>
          <w:b/>
          <w:color w:val="000000" w:themeColor="text1"/>
          <w:kern w:val="2"/>
          <w:sz w:val="21"/>
          <w:szCs w:val="22"/>
          <w:lang w:val="en-US" w:eastAsia="zh-CN" w:bidi="ar-SA"/>
          <w14:textFill>
            <w14:solidFill>
              <w14:schemeClr w14:val="tx1"/>
            </w14:solidFill>
          </w14:textFill>
        </w:rPr>
        <w:t>表9-8 平富乡2016—2020年用水量表</w:t>
      </w:r>
    </w:p>
    <w:p>
      <w:pPr>
        <w:keepNext/>
        <w:pageBreakBefore w:val="0"/>
        <w:kinsoku/>
        <w:wordWrap/>
        <w:overflowPunct/>
        <w:topLinePunct w:val="0"/>
        <w:bidi w:val="0"/>
        <w:snapToGrid w:val="0"/>
        <w:spacing w:line="480" w:lineRule="exact"/>
        <w:ind w:firstLine="0" w:firstLineChars="0"/>
        <w:jc w:val="right"/>
        <w:rPr>
          <w:rFonts w:hint="default" w:ascii="Times New Roman" w:hAnsi="Times New Roman" w:eastAsia="仿宋_GB2312" w:cs="Times New Roman"/>
          <w:b/>
          <w:color w:val="000000" w:themeColor="text1"/>
          <w:kern w:val="2"/>
          <w:sz w:val="21"/>
          <w:szCs w:val="22"/>
          <w:lang w:val="en-US" w:eastAsia="zh-CN" w:bidi="ar-SA"/>
          <w14:textFill>
            <w14:solidFill>
              <w14:schemeClr w14:val="tx1"/>
            </w14:solidFill>
          </w14:textFill>
        </w:rPr>
      </w:pPr>
      <w:r>
        <w:rPr>
          <w:rFonts w:hint="eastAsia" w:ascii="Times New Roman" w:hAnsi="Times New Roman" w:eastAsia="仿宋_GB2312" w:cs="Times New Roman"/>
          <w:b/>
          <w:color w:val="000000" w:themeColor="text1"/>
          <w:kern w:val="2"/>
          <w:sz w:val="21"/>
          <w:szCs w:val="22"/>
          <w:lang w:val="en-US" w:eastAsia="zh-CN" w:bidi="ar-SA"/>
          <w14:textFill>
            <w14:solidFill>
              <w14:schemeClr w14:val="tx1"/>
            </w14:solidFill>
          </w14:textFill>
        </w:rPr>
        <w:t>单位：万立方米</w:t>
      </w:r>
    </w:p>
    <w:tbl>
      <w:tblPr>
        <w:tblStyle w:val="2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8"/>
        <w:gridCol w:w="879"/>
        <w:gridCol w:w="1278"/>
        <w:gridCol w:w="1144"/>
        <w:gridCol w:w="1260"/>
        <w:gridCol w:w="1183"/>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blHeader/>
          <w:jc w:val="center"/>
        </w:trPr>
        <w:tc>
          <w:tcPr>
            <w:tcW w:w="932"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before="50" w:after="50" w:line="480" w:lineRule="exact"/>
              <w:ind w:firstLine="0" w:firstLineChars="0"/>
              <w:jc w:val="both"/>
              <w:rPr>
                <w:rFonts w:hint="eastAsia" w:ascii="Times New Roman" w:hAnsi="Times New Roman" w:eastAsia="仿宋_GB2312" w:cs="Times New Roman"/>
                <w:b/>
                <w:bCs w:val="0"/>
                <w:color w:val="000000" w:themeColor="text1"/>
                <w:kern w:val="0"/>
                <w:sz w:val="21"/>
                <w:szCs w:val="24"/>
                <w:lang w:val="en-US" w:eastAsia="zh-CN" w:bidi="ar"/>
                <w14:textFill>
                  <w14:solidFill>
                    <w14:schemeClr w14:val="tx1"/>
                  </w14:solidFill>
                </w14:textFill>
              </w:rPr>
            </w:pPr>
            <w:r>
              <w:rPr>
                <w:rFonts w:hint="eastAsia" w:ascii="Times New Roman" w:hAnsi="Times New Roman" w:eastAsia="仿宋_GB2312" w:cs="Times New Roman"/>
                <w:b/>
                <w:bCs w:val="0"/>
                <w:color w:val="000000" w:themeColor="text1"/>
                <w:kern w:val="0"/>
                <w:sz w:val="21"/>
                <w:szCs w:val="24"/>
                <w:lang w:val="en-US" w:eastAsia="zh-CN" w:bidi="ar"/>
                <w14:textFill>
                  <w14:solidFill>
                    <w14:schemeClr w14:val="tx1"/>
                  </w14:solidFill>
                </w14:textFill>
              </w:rPr>
              <w:t>用水类型/年份</w:t>
            </w:r>
          </w:p>
        </w:tc>
        <w:tc>
          <w:tcPr>
            <w:tcW w:w="516"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000000" w:themeColor="text1"/>
                <w:kern w:val="0"/>
                <w:sz w:val="21"/>
                <w:szCs w:val="24"/>
                <w:lang w:val="en-US" w:eastAsia="zh-CN" w:bidi="ar"/>
                <w14:textFill>
                  <w14:solidFill>
                    <w14:schemeClr w14:val="tx1"/>
                  </w14:solidFill>
                </w14:textFill>
              </w:rPr>
            </w:pPr>
            <w:r>
              <w:rPr>
                <w:rFonts w:hint="eastAsia" w:ascii="Times New Roman" w:hAnsi="Times New Roman" w:eastAsia="仿宋_GB2312" w:cs="Times New Roman"/>
                <w:b/>
                <w:bCs w:val="0"/>
                <w:color w:val="000000" w:themeColor="text1"/>
                <w:kern w:val="0"/>
                <w:sz w:val="21"/>
                <w:szCs w:val="24"/>
                <w:lang w:val="en-US" w:eastAsia="zh-CN" w:bidi="ar"/>
                <w14:textFill>
                  <w14:solidFill>
                    <w14:schemeClr w14:val="tx1"/>
                  </w14:solidFill>
                </w14:textFill>
              </w:rPr>
              <w:t>2016</w:t>
            </w:r>
          </w:p>
        </w:tc>
        <w:tc>
          <w:tcPr>
            <w:tcW w:w="750"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000000" w:themeColor="text1"/>
                <w:kern w:val="0"/>
                <w:sz w:val="21"/>
                <w:szCs w:val="24"/>
                <w:lang w:val="en-US" w:eastAsia="zh-CN" w:bidi="ar"/>
                <w14:textFill>
                  <w14:solidFill>
                    <w14:schemeClr w14:val="tx1"/>
                  </w14:solidFill>
                </w14:textFill>
              </w:rPr>
            </w:pPr>
            <w:r>
              <w:rPr>
                <w:rFonts w:hint="eastAsia" w:ascii="Times New Roman" w:hAnsi="Times New Roman" w:eastAsia="仿宋_GB2312" w:cs="Times New Roman"/>
                <w:b/>
                <w:bCs w:val="0"/>
                <w:color w:val="000000" w:themeColor="text1"/>
                <w:kern w:val="0"/>
                <w:sz w:val="21"/>
                <w:szCs w:val="24"/>
                <w:lang w:val="en-US" w:eastAsia="zh-CN" w:bidi="ar"/>
                <w14:textFill>
                  <w14:solidFill>
                    <w14:schemeClr w14:val="tx1"/>
                  </w14:solidFill>
                </w14:textFill>
              </w:rPr>
              <w:t>2017</w:t>
            </w:r>
          </w:p>
        </w:tc>
        <w:tc>
          <w:tcPr>
            <w:tcW w:w="67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000000" w:themeColor="text1"/>
                <w:kern w:val="0"/>
                <w:sz w:val="21"/>
                <w:szCs w:val="24"/>
                <w:lang w:val="en-US" w:eastAsia="zh-CN" w:bidi="ar"/>
                <w14:textFill>
                  <w14:solidFill>
                    <w14:schemeClr w14:val="tx1"/>
                  </w14:solidFill>
                </w14:textFill>
              </w:rPr>
            </w:pPr>
            <w:r>
              <w:rPr>
                <w:rFonts w:hint="eastAsia" w:ascii="Times New Roman" w:hAnsi="Times New Roman" w:eastAsia="仿宋_GB2312" w:cs="Times New Roman"/>
                <w:b/>
                <w:bCs w:val="0"/>
                <w:color w:val="000000" w:themeColor="text1"/>
                <w:kern w:val="0"/>
                <w:sz w:val="21"/>
                <w:szCs w:val="24"/>
                <w:lang w:val="en-US" w:eastAsia="zh-CN" w:bidi="ar"/>
                <w14:textFill>
                  <w14:solidFill>
                    <w14:schemeClr w14:val="tx1"/>
                  </w14:solidFill>
                </w14:textFill>
              </w:rPr>
              <w:t>2018</w:t>
            </w:r>
          </w:p>
        </w:tc>
        <w:tc>
          <w:tcPr>
            <w:tcW w:w="739"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000000" w:themeColor="text1"/>
                <w:kern w:val="0"/>
                <w:sz w:val="21"/>
                <w:szCs w:val="24"/>
                <w:lang w:val="en-US" w:eastAsia="zh-CN" w:bidi="ar"/>
                <w14:textFill>
                  <w14:solidFill>
                    <w14:schemeClr w14:val="tx1"/>
                  </w14:solidFill>
                </w14:textFill>
              </w:rPr>
            </w:pPr>
            <w:r>
              <w:rPr>
                <w:rFonts w:hint="eastAsia" w:ascii="Times New Roman" w:hAnsi="Times New Roman" w:eastAsia="仿宋_GB2312" w:cs="Times New Roman"/>
                <w:b/>
                <w:bCs w:val="0"/>
                <w:color w:val="000000" w:themeColor="text1"/>
                <w:kern w:val="0"/>
                <w:sz w:val="21"/>
                <w:szCs w:val="24"/>
                <w:lang w:val="en-US" w:eastAsia="zh-CN" w:bidi="ar"/>
                <w14:textFill>
                  <w14:solidFill>
                    <w14:schemeClr w14:val="tx1"/>
                  </w14:solidFill>
                </w14:textFill>
              </w:rPr>
              <w:t>2019</w:t>
            </w:r>
          </w:p>
        </w:tc>
        <w:tc>
          <w:tcPr>
            <w:tcW w:w="694"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000000" w:themeColor="text1"/>
                <w:kern w:val="0"/>
                <w:sz w:val="21"/>
                <w:szCs w:val="24"/>
                <w:lang w:val="en-US" w:eastAsia="zh-CN" w:bidi="ar"/>
                <w14:textFill>
                  <w14:solidFill>
                    <w14:schemeClr w14:val="tx1"/>
                  </w14:solidFill>
                </w14:textFill>
              </w:rPr>
            </w:pPr>
            <w:r>
              <w:rPr>
                <w:rFonts w:hint="eastAsia" w:ascii="Times New Roman" w:hAnsi="Times New Roman" w:eastAsia="仿宋_GB2312" w:cs="Times New Roman"/>
                <w:b/>
                <w:bCs w:val="0"/>
                <w:color w:val="000000" w:themeColor="text1"/>
                <w:kern w:val="0"/>
                <w:sz w:val="21"/>
                <w:szCs w:val="24"/>
                <w:lang w:val="en-US" w:eastAsia="zh-CN" w:bidi="ar"/>
                <w14:textFill>
                  <w14:solidFill>
                    <w14:schemeClr w14:val="tx1"/>
                  </w14:solidFill>
                </w14:textFill>
              </w:rPr>
              <w:t>2020</w:t>
            </w:r>
          </w:p>
        </w:tc>
        <w:tc>
          <w:tcPr>
            <w:tcW w:w="695"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000000" w:themeColor="text1"/>
                <w:kern w:val="0"/>
                <w:sz w:val="21"/>
                <w:szCs w:val="24"/>
                <w:lang w:val="en-US" w:eastAsia="zh-CN" w:bidi="ar"/>
                <w14:textFill>
                  <w14:solidFill>
                    <w14:schemeClr w14:val="tx1"/>
                  </w14:solidFill>
                </w14:textFill>
              </w:rPr>
            </w:pPr>
            <w:r>
              <w:rPr>
                <w:rFonts w:hint="eastAsia" w:ascii="Times New Roman" w:hAnsi="Times New Roman" w:eastAsia="仿宋_GB2312" w:cs="Times New Roman"/>
                <w:b/>
                <w:bCs w:val="0"/>
                <w:color w:val="000000" w:themeColor="text1"/>
                <w:kern w:val="0"/>
                <w:sz w:val="21"/>
                <w:szCs w:val="24"/>
                <w:lang w:val="en-US" w:eastAsia="zh-CN" w:bidi="ar"/>
                <w14:textFill>
                  <w14:solidFill>
                    <w14:schemeClr w14:val="tx1"/>
                  </w14:solidFill>
                </w14:textFill>
              </w:rPr>
              <w:t>五年年均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2"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000000" w:themeColor="text1"/>
                <w:kern w:val="0"/>
                <w:sz w:val="21"/>
                <w:szCs w:val="24"/>
                <w:lang w:val="en-US" w:eastAsia="zh-CN" w:bidi="ar"/>
                <w14:textFill>
                  <w14:solidFill>
                    <w14:schemeClr w14:val="tx1"/>
                  </w14:solidFill>
                </w14:textFill>
              </w:rPr>
            </w:pPr>
            <w:r>
              <w:rPr>
                <w:rFonts w:hint="eastAsia" w:ascii="Times New Roman" w:hAnsi="Times New Roman" w:eastAsia="仿宋_GB2312" w:cs="Times New Roman"/>
                <w:bCs/>
                <w:color w:val="000000" w:themeColor="text1"/>
                <w:kern w:val="0"/>
                <w:sz w:val="21"/>
                <w:szCs w:val="24"/>
                <w:lang w:val="en-US" w:eastAsia="zh-CN" w:bidi="ar"/>
                <w14:textFill>
                  <w14:solidFill>
                    <w14:schemeClr w14:val="tx1"/>
                  </w14:solidFill>
                </w14:textFill>
              </w:rPr>
              <w:t>农业用水</w:t>
            </w:r>
          </w:p>
        </w:tc>
        <w:tc>
          <w:tcPr>
            <w:tcW w:w="516"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000000" w:themeColor="text1"/>
                <w:kern w:val="0"/>
                <w:sz w:val="21"/>
                <w:szCs w:val="24"/>
                <w:lang w:val="en-US" w:eastAsia="zh-CN" w:bidi="ar"/>
                <w14:textFill>
                  <w14:solidFill>
                    <w14:schemeClr w14:val="tx1"/>
                  </w14:solidFill>
                </w14:textFill>
              </w:rPr>
            </w:pPr>
            <w:r>
              <w:rPr>
                <w:rFonts w:hint="eastAsia" w:ascii="Times New Roman" w:hAnsi="Times New Roman" w:eastAsia="仿宋_GB2312" w:cs="Times New Roman"/>
                <w:bCs/>
                <w:color w:val="000000" w:themeColor="text1"/>
                <w:kern w:val="0"/>
                <w:sz w:val="21"/>
                <w:szCs w:val="24"/>
                <w:lang w:val="en-US" w:eastAsia="zh-CN" w:bidi="ar"/>
                <w14:textFill>
                  <w14:solidFill>
                    <w14:schemeClr w14:val="tx1"/>
                  </w14:solidFill>
                </w14:textFill>
              </w:rPr>
              <w:t>1713</w:t>
            </w:r>
          </w:p>
        </w:tc>
        <w:tc>
          <w:tcPr>
            <w:tcW w:w="750"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000000" w:themeColor="text1"/>
                <w:kern w:val="0"/>
                <w:sz w:val="21"/>
                <w:szCs w:val="24"/>
                <w:lang w:val="en-US" w:eastAsia="zh-CN" w:bidi="ar"/>
                <w14:textFill>
                  <w14:solidFill>
                    <w14:schemeClr w14:val="tx1"/>
                  </w14:solidFill>
                </w14:textFill>
              </w:rPr>
            </w:pPr>
            <w:r>
              <w:rPr>
                <w:rFonts w:hint="eastAsia" w:ascii="Times New Roman" w:hAnsi="Times New Roman" w:eastAsia="仿宋_GB2312" w:cs="Times New Roman"/>
                <w:bCs/>
                <w:color w:val="000000" w:themeColor="text1"/>
                <w:kern w:val="0"/>
                <w:sz w:val="21"/>
                <w:szCs w:val="24"/>
                <w:lang w:val="en-US" w:eastAsia="zh-CN" w:bidi="ar"/>
                <w14:textFill>
                  <w14:solidFill>
                    <w14:schemeClr w14:val="tx1"/>
                  </w14:solidFill>
                </w14:textFill>
              </w:rPr>
              <w:t>1412</w:t>
            </w:r>
          </w:p>
        </w:tc>
        <w:tc>
          <w:tcPr>
            <w:tcW w:w="67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000000" w:themeColor="text1"/>
                <w:kern w:val="0"/>
                <w:sz w:val="21"/>
                <w:szCs w:val="24"/>
                <w:lang w:val="en-US" w:eastAsia="zh-CN" w:bidi="ar"/>
                <w14:textFill>
                  <w14:solidFill>
                    <w14:schemeClr w14:val="tx1"/>
                  </w14:solidFill>
                </w14:textFill>
              </w:rPr>
            </w:pPr>
            <w:r>
              <w:rPr>
                <w:rFonts w:hint="eastAsia" w:ascii="Times New Roman" w:hAnsi="Times New Roman" w:eastAsia="仿宋_GB2312" w:cs="Times New Roman"/>
                <w:bCs/>
                <w:color w:val="000000" w:themeColor="text1"/>
                <w:kern w:val="0"/>
                <w:sz w:val="21"/>
                <w:szCs w:val="24"/>
                <w:lang w:val="en-US" w:eastAsia="zh-CN" w:bidi="ar"/>
                <w14:textFill>
                  <w14:solidFill>
                    <w14:schemeClr w14:val="tx1"/>
                  </w14:solidFill>
                </w14:textFill>
              </w:rPr>
              <w:t>1361</w:t>
            </w:r>
          </w:p>
        </w:tc>
        <w:tc>
          <w:tcPr>
            <w:tcW w:w="739"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000000" w:themeColor="text1"/>
                <w:kern w:val="0"/>
                <w:sz w:val="21"/>
                <w:szCs w:val="24"/>
                <w:lang w:val="en-US" w:eastAsia="zh-CN" w:bidi="ar"/>
                <w14:textFill>
                  <w14:solidFill>
                    <w14:schemeClr w14:val="tx1"/>
                  </w14:solidFill>
                </w14:textFill>
              </w:rPr>
            </w:pPr>
            <w:r>
              <w:rPr>
                <w:rFonts w:hint="eastAsia" w:ascii="Times New Roman" w:hAnsi="Times New Roman" w:eastAsia="仿宋_GB2312" w:cs="Times New Roman"/>
                <w:bCs/>
                <w:color w:val="000000" w:themeColor="text1"/>
                <w:kern w:val="0"/>
                <w:sz w:val="21"/>
                <w:szCs w:val="24"/>
                <w:lang w:val="en-US" w:eastAsia="zh-CN" w:bidi="ar"/>
                <w14:textFill>
                  <w14:solidFill>
                    <w14:schemeClr w14:val="tx1"/>
                  </w14:solidFill>
                </w14:textFill>
              </w:rPr>
              <w:t>1353</w:t>
            </w:r>
          </w:p>
        </w:tc>
        <w:tc>
          <w:tcPr>
            <w:tcW w:w="694"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000000" w:themeColor="text1"/>
                <w:kern w:val="0"/>
                <w:sz w:val="21"/>
                <w:szCs w:val="24"/>
                <w:lang w:val="en-US" w:eastAsia="zh-CN" w:bidi="ar"/>
                <w14:textFill>
                  <w14:solidFill>
                    <w14:schemeClr w14:val="tx1"/>
                  </w14:solidFill>
                </w14:textFill>
              </w:rPr>
            </w:pPr>
            <w:r>
              <w:rPr>
                <w:rFonts w:hint="eastAsia" w:ascii="Times New Roman" w:hAnsi="Times New Roman" w:eastAsia="仿宋_GB2312" w:cs="Times New Roman"/>
                <w:bCs/>
                <w:color w:val="000000" w:themeColor="text1"/>
                <w:kern w:val="0"/>
                <w:sz w:val="21"/>
                <w:szCs w:val="24"/>
                <w:lang w:val="en-US" w:eastAsia="zh-CN" w:bidi="ar"/>
                <w14:textFill>
                  <w14:solidFill>
                    <w14:schemeClr w14:val="tx1"/>
                  </w14:solidFill>
                </w14:textFill>
              </w:rPr>
              <w:t>1372</w:t>
            </w:r>
          </w:p>
        </w:tc>
        <w:tc>
          <w:tcPr>
            <w:tcW w:w="695"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000000" w:themeColor="text1"/>
                <w:kern w:val="0"/>
                <w:sz w:val="21"/>
                <w:szCs w:val="24"/>
                <w:lang w:val="en-US" w:eastAsia="zh-CN" w:bidi="ar"/>
                <w14:textFill>
                  <w14:solidFill>
                    <w14:schemeClr w14:val="tx1"/>
                  </w14:solidFill>
                </w14:textFill>
              </w:rPr>
            </w:pPr>
            <w:r>
              <w:rPr>
                <w:rFonts w:hint="eastAsia" w:ascii="Times New Roman" w:hAnsi="Times New Roman" w:eastAsia="仿宋_GB2312" w:cs="Times New Roman"/>
                <w:bCs/>
                <w:color w:val="000000" w:themeColor="text1"/>
                <w:kern w:val="0"/>
                <w:sz w:val="21"/>
                <w:szCs w:val="24"/>
                <w:lang w:val="en-US" w:eastAsia="zh-CN" w:bidi="ar"/>
                <w14:textFill>
                  <w14:solidFill>
                    <w14:schemeClr w14:val="tx1"/>
                  </w14:solidFill>
                </w14:textFill>
              </w:rPr>
              <w:t>1442.2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2"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000000" w:themeColor="text1"/>
                <w:kern w:val="0"/>
                <w:sz w:val="21"/>
                <w:szCs w:val="24"/>
                <w:lang w:val="en-US" w:eastAsia="zh-CN" w:bidi="ar"/>
                <w14:textFill>
                  <w14:solidFill>
                    <w14:schemeClr w14:val="tx1"/>
                  </w14:solidFill>
                </w14:textFill>
              </w:rPr>
            </w:pPr>
            <w:r>
              <w:rPr>
                <w:rFonts w:hint="eastAsia" w:ascii="Times New Roman" w:hAnsi="Times New Roman" w:eastAsia="仿宋_GB2312" w:cs="Times New Roman"/>
                <w:bCs/>
                <w:color w:val="000000" w:themeColor="text1"/>
                <w:kern w:val="0"/>
                <w:sz w:val="21"/>
                <w:szCs w:val="24"/>
                <w:lang w:val="en-US" w:eastAsia="zh-CN" w:bidi="ar"/>
                <w14:textFill>
                  <w14:solidFill>
                    <w14:schemeClr w14:val="tx1"/>
                  </w14:solidFill>
                </w14:textFill>
              </w:rPr>
              <w:t>生活用水</w:t>
            </w:r>
          </w:p>
        </w:tc>
        <w:tc>
          <w:tcPr>
            <w:tcW w:w="516"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000000" w:themeColor="text1"/>
                <w:kern w:val="0"/>
                <w:sz w:val="21"/>
                <w:szCs w:val="24"/>
                <w:lang w:val="en-US" w:eastAsia="zh-CN" w:bidi="ar"/>
                <w14:textFill>
                  <w14:solidFill>
                    <w14:schemeClr w14:val="tx1"/>
                  </w14:solidFill>
                </w14:textFill>
              </w:rPr>
            </w:pPr>
            <w:r>
              <w:rPr>
                <w:rFonts w:hint="eastAsia" w:ascii="Times New Roman" w:hAnsi="Times New Roman" w:eastAsia="仿宋_GB2312" w:cs="Times New Roman"/>
                <w:bCs/>
                <w:color w:val="000000" w:themeColor="text1"/>
                <w:kern w:val="0"/>
                <w:sz w:val="21"/>
                <w:szCs w:val="24"/>
                <w:lang w:val="en-US" w:eastAsia="zh-CN" w:bidi="ar"/>
                <w14:textFill>
                  <w14:solidFill>
                    <w14:schemeClr w14:val="tx1"/>
                  </w14:solidFill>
                </w14:textFill>
              </w:rPr>
              <w:t>100</w:t>
            </w:r>
          </w:p>
        </w:tc>
        <w:tc>
          <w:tcPr>
            <w:tcW w:w="750"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000000" w:themeColor="text1"/>
                <w:kern w:val="0"/>
                <w:sz w:val="21"/>
                <w:szCs w:val="24"/>
                <w:lang w:val="en-US" w:eastAsia="zh-CN" w:bidi="ar"/>
                <w14:textFill>
                  <w14:solidFill>
                    <w14:schemeClr w14:val="tx1"/>
                  </w14:solidFill>
                </w14:textFill>
              </w:rPr>
            </w:pPr>
            <w:r>
              <w:rPr>
                <w:rFonts w:hint="eastAsia" w:ascii="Times New Roman" w:hAnsi="Times New Roman" w:eastAsia="仿宋_GB2312" w:cs="Times New Roman"/>
                <w:bCs/>
                <w:color w:val="000000" w:themeColor="text1"/>
                <w:kern w:val="0"/>
                <w:sz w:val="21"/>
                <w:szCs w:val="24"/>
                <w:lang w:val="en-US" w:eastAsia="zh-CN" w:bidi="ar"/>
                <w14:textFill>
                  <w14:solidFill>
                    <w14:schemeClr w14:val="tx1"/>
                  </w14:solidFill>
                </w14:textFill>
              </w:rPr>
              <w:t>104</w:t>
            </w:r>
          </w:p>
        </w:tc>
        <w:tc>
          <w:tcPr>
            <w:tcW w:w="67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000000" w:themeColor="text1"/>
                <w:kern w:val="0"/>
                <w:sz w:val="21"/>
                <w:szCs w:val="24"/>
                <w:lang w:val="en-US" w:eastAsia="zh-CN" w:bidi="ar"/>
                <w14:textFill>
                  <w14:solidFill>
                    <w14:schemeClr w14:val="tx1"/>
                  </w14:solidFill>
                </w14:textFill>
              </w:rPr>
            </w:pPr>
            <w:r>
              <w:rPr>
                <w:rFonts w:hint="eastAsia" w:ascii="Times New Roman" w:hAnsi="Times New Roman" w:eastAsia="仿宋_GB2312" w:cs="Times New Roman"/>
                <w:bCs/>
                <w:color w:val="000000" w:themeColor="text1"/>
                <w:kern w:val="0"/>
                <w:sz w:val="21"/>
                <w:szCs w:val="24"/>
                <w:lang w:val="en-US" w:eastAsia="zh-CN" w:bidi="ar"/>
                <w14:textFill>
                  <w14:solidFill>
                    <w14:schemeClr w14:val="tx1"/>
                  </w14:solidFill>
                </w14:textFill>
              </w:rPr>
              <w:t>104</w:t>
            </w:r>
          </w:p>
        </w:tc>
        <w:tc>
          <w:tcPr>
            <w:tcW w:w="739"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000000" w:themeColor="text1"/>
                <w:kern w:val="0"/>
                <w:sz w:val="21"/>
                <w:szCs w:val="24"/>
                <w:lang w:val="en-US" w:eastAsia="zh-CN" w:bidi="ar"/>
                <w14:textFill>
                  <w14:solidFill>
                    <w14:schemeClr w14:val="tx1"/>
                  </w14:solidFill>
                </w14:textFill>
              </w:rPr>
            </w:pPr>
            <w:r>
              <w:rPr>
                <w:rFonts w:hint="eastAsia" w:ascii="Times New Roman" w:hAnsi="Times New Roman" w:eastAsia="仿宋_GB2312" w:cs="Times New Roman"/>
                <w:bCs/>
                <w:color w:val="000000" w:themeColor="text1"/>
                <w:kern w:val="0"/>
                <w:sz w:val="21"/>
                <w:szCs w:val="24"/>
                <w:lang w:val="en-US" w:eastAsia="zh-CN" w:bidi="ar"/>
                <w14:textFill>
                  <w14:solidFill>
                    <w14:schemeClr w14:val="tx1"/>
                  </w14:solidFill>
                </w14:textFill>
              </w:rPr>
              <w:t>108</w:t>
            </w:r>
          </w:p>
        </w:tc>
        <w:tc>
          <w:tcPr>
            <w:tcW w:w="694"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000000" w:themeColor="text1"/>
                <w:kern w:val="0"/>
                <w:sz w:val="21"/>
                <w:szCs w:val="24"/>
                <w:lang w:val="en-US" w:eastAsia="zh-CN" w:bidi="ar"/>
                <w14:textFill>
                  <w14:solidFill>
                    <w14:schemeClr w14:val="tx1"/>
                  </w14:solidFill>
                </w14:textFill>
              </w:rPr>
            </w:pPr>
            <w:r>
              <w:rPr>
                <w:rFonts w:hint="eastAsia" w:ascii="Times New Roman" w:hAnsi="Times New Roman" w:eastAsia="仿宋_GB2312" w:cs="Times New Roman"/>
                <w:bCs/>
                <w:color w:val="000000" w:themeColor="text1"/>
                <w:kern w:val="0"/>
                <w:sz w:val="21"/>
                <w:szCs w:val="24"/>
                <w:lang w:val="en-US" w:eastAsia="zh-CN" w:bidi="ar"/>
                <w14:textFill>
                  <w14:solidFill>
                    <w14:schemeClr w14:val="tx1"/>
                  </w14:solidFill>
                </w14:textFill>
              </w:rPr>
              <w:t>99</w:t>
            </w:r>
          </w:p>
        </w:tc>
        <w:tc>
          <w:tcPr>
            <w:tcW w:w="695"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000000" w:themeColor="text1"/>
                <w:kern w:val="0"/>
                <w:sz w:val="21"/>
                <w:szCs w:val="24"/>
                <w:lang w:val="en-US" w:eastAsia="zh-CN" w:bidi="ar"/>
                <w14:textFill>
                  <w14:solidFill>
                    <w14:schemeClr w14:val="tx1"/>
                  </w14:solidFill>
                </w14:textFill>
              </w:rPr>
            </w:pPr>
            <w:r>
              <w:rPr>
                <w:rFonts w:hint="eastAsia" w:ascii="Times New Roman" w:hAnsi="Times New Roman" w:eastAsia="仿宋_GB2312" w:cs="Times New Roman"/>
                <w:bCs/>
                <w:color w:val="000000" w:themeColor="text1"/>
                <w:kern w:val="0"/>
                <w:sz w:val="21"/>
                <w:szCs w:val="24"/>
                <w:lang w:val="en-US" w:eastAsia="zh-CN" w:bidi="ar"/>
                <w14:textFill>
                  <w14:solidFill>
                    <w14:schemeClr w14:val="tx1"/>
                  </w14:solidFill>
                </w14:textFill>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32"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000000" w:themeColor="text1"/>
                <w:kern w:val="0"/>
                <w:sz w:val="21"/>
                <w:szCs w:val="24"/>
                <w:lang w:val="en-US" w:eastAsia="zh-CN" w:bidi="ar"/>
                <w14:textFill>
                  <w14:solidFill>
                    <w14:schemeClr w14:val="tx1"/>
                  </w14:solidFill>
                </w14:textFill>
              </w:rPr>
            </w:pPr>
            <w:r>
              <w:rPr>
                <w:rFonts w:hint="eastAsia" w:ascii="Times New Roman" w:hAnsi="Times New Roman" w:eastAsia="仿宋_GB2312" w:cs="Times New Roman"/>
                <w:bCs/>
                <w:color w:val="000000" w:themeColor="text1"/>
                <w:kern w:val="0"/>
                <w:sz w:val="21"/>
                <w:szCs w:val="24"/>
                <w:lang w:val="en-US" w:eastAsia="zh-CN" w:bidi="ar"/>
                <w14:textFill>
                  <w14:solidFill>
                    <w14:schemeClr w14:val="tx1"/>
                  </w14:solidFill>
                </w14:textFill>
              </w:rPr>
              <w:t>用水总量</w:t>
            </w:r>
          </w:p>
        </w:tc>
        <w:tc>
          <w:tcPr>
            <w:tcW w:w="516"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000000" w:themeColor="text1"/>
                <w:kern w:val="0"/>
                <w:sz w:val="21"/>
                <w:szCs w:val="24"/>
                <w:lang w:val="en-US" w:eastAsia="zh-CN" w:bidi="ar"/>
                <w14:textFill>
                  <w14:solidFill>
                    <w14:schemeClr w14:val="tx1"/>
                  </w14:solidFill>
                </w14:textFill>
              </w:rPr>
            </w:pPr>
            <w:r>
              <w:rPr>
                <w:rFonts w:hint="eastAsia" w:ascii="Times New Roman" w:hAnsi="Times New Roman" w:eastAsia="仿宋_GB2312" w:cs="Times New Roman"/>
                <w:bCs/>
                <w:color w:val="000000" w:themeColor="text1"/>
                <w:kern w:val="0"/>
                <w:sz w:val="21"/>
                <w:szCs w:val="24"/>
                <w:lang w:val="en-US" w:eastAsia="zh-CN" w:bidi="ar"/>
                <w14:textFill>
                  <w14:solidFill>
                    <w14:schemeClr w14:val="tx1"/>
                  </w14:solidFill>
                </w14:textFill>
              </w:rPr>
              <w:t>1813</w:t>
            </w:r>
          </w:p>
        </w:tc>
        <w:tc>
          <w:tcPr>
            <w:tcW w:w="750"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000000" w:themeColor="text1"/>
                <w:kern w:val="0"/>
                <w:sz w:val="21"/>
                <w:szCs w:val="24"/>
                <w:lang w:val="en-US" w:eastAsia="zh-CN" w:bidi="ar"/>
                <w14:textFill>
                  <w14:solidFill>
                    <w14:schemeClr w14:val="tx1"/>
                  </w14:solidFill>
                </w14:textFill>
              </w:rPr>
            </w:pPr>
            <w:r>
              <w:rPr>
                <w:rFonts w:hint="eastAsia" w:ascii="Times New Roman" w:hAnsi="Times New Roman" w:eastAsia="仿宋_GB2312" w:cs="Times New Roman"/>
                <w:bCs/>
                <w:color w:val="000000" w:themeColor="text1"/>
                <w:kern w:val="0"/>
                <w:sz w:val="21"/>
                <w:szCs w:val="24"/>
                <w:lang w:val="en-US" w:eastAsia="zh-CN" w:bidi="ar"/>
                <w14:textFill>
                  <w14:solidFill>
                    <w14:schemeClr w14:val="tx1"/>
                  </w14:solidFill>
                </w14:textFill>
              </w:rPr>
              <w:t>1516</w:t>
            </w:r>
          </w:p>
        </w:tc>
        <w:tc>
          <w:tcPr>
            <w:tcW w:w="671"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000000" w:themeColor="text1"/>
                <w:kern w:val="0"/>
                <w:sz w:val="21"/>
                <w:szCs w:val="24"/>
                <w:lang w:val="en-US" w:eastAsia="zh-CN" w:bidi="ar"/>
                <w14:textFill>
                  <w14:solidFill>
                    <w14:schemeClr w14:val="tx1"/>
                  </w14:solidFill>
                </w14:textFill>
              </w:rPr>
            </w:pPr>
            <w:r>
              <w:rPr>
                <w:rFonts w:hint="eastAsia" w:ascii="Times New Roman" w:hAnsi="Times New Roman" w:eastAsia="仿宋_GB2312" w:cs="Times New Roman"/>
                <w:bCs/>
                <w:color w:val="000000" w:themeColor="text1"/>
                <w:kern w:val="0"/>
                <w:sz w:val="21"/>
                <w:szCs w:val="24"/>
                <w:lang w:val="en-US" w:eastAsia="zh-CN" w:bidi="ar"/>
                <w14:textFill>
                  <w14:solidFill>
                    <w14:schemeClr w14:val="tx1"/>
                  </w14:solidFill>
                </w14:textFill>
              </w:rPr>
              <w:t>1465</w:t>
            </w:r>
          </w:p>
        </w:tc>
        <w:tc>
          <w:tcPr>
            <w:tcW w:w="739"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000000" w:themeColor="text1"/>
                <w:kern w:val="0"/>
                <w:sz w:val="21"/>
                <w:szCs w:val="24"/>
                <w:lang w:val="en-US" w:eastAsia="zh-CN" w:bidi="ar"/>
                <w14:textFill>
                  <w14:solidFill>
                    <w14:schemeClr w14:val="tx1"/>
                  </w14:solidFill>
                </w14:textFill>
              </w:rPr>
            </w:pPr>
            <w:r>
              <w:rPr>
                <w:rFonts w:hint="eastAsia" w:ascii="Times New Roman" w:hAnsi="Times New Roman" w:eastAsia="仿宋_GB2312" w:cs="Times New Roman"/>
                <w:bCs/>
                <w:color w:val="000000" w:themeColor="text1"/>
                <w:kern w:val="0"/>
                <w:sz w:val="21"/>
                <w:szCs w:val="24"/>
                <w:lang w:val="en-US" w:eastAsia="zh-CN" w:bidi="ar"/>
                <w14:textFill>
                  <w14:solidFill>
                    <w14:schemeClr w14:val="tx1"/>
                  </w14:solidFill>
                </w14:textFill>
              </w:rPr>
              <w:t>1461</w:t>
            </w:r>
          </w:p>
        </w:tc>
        <w:tc>
          <w:tcPr>
            <w:tcW w:w="694"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000000" w:themeColor="text1"/>
                <w:kern w:val="0"/>
                <w:sz w:val="21"/>
                <w:szCs w:val="24"/>
                <w:lang w:val="en-US" w:eastAsia="zh-CN" w:bidi="ar"/>
                <w14:textFill>
                  <w14:solidFill>
                    <w14:schemeClr w14:val="tx1"/>
                  </w14:solidFill>
                </w14:textFill>
              </w:rPr>
            </w:pPr>
            <w:r>
              <w:rPr>
                <w:rFonts w:hint="eastAsia" w:ascii="Times New Roman" w:hAnsi="Times New Roman" w:eastAsia="仿宋_GB2312" w:cs="Times New Roman"/>
                <w:bCs/>
                <w:color w:val="000000" w:themeColor="text1"/>
                <w:kern w:val="0"/>
                <w:sz w:val="21"/>
                <w:szCs w:val="24"/>
                <w:lang w:val="en-US" w:eastAsia="zh-CN" w:bidi="ar"/>
                <w14:textFill>
                  <w14:solidFill>
                    <w14:schemeClr w14:val="tx1"/>
                  </w14:solidFill>
                </w14:textFill>
              </w:rPr>
              <w:t>1471</w:t>
            </w:r>
          </w:p>
        </w:tc>
        <w:tc>
          <w:tcPr>
            <w:tcW w:w="695" w:type="pct"/>
            <w:tcBorders>
              <w:top w:val="single" w:color="auto" w:sz="4" w:space="0"/>
              <w:left w:val="single" w:color="auto" w:sz="4" w:space="0"/>
              <w:bottom w:val="single" w:color="auto" w:sz="4" w:space="0"/>
              <w:right w:val="single" w:color="auto" w:sz="4" w:space="0"/>
            </w:tcBorders>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000000" w:themeColor="text1"/>
                <w:kern w:val="0"/>
                <w:sz w:val="21"/>
                <w:szCs w:val="24"/>
                <w:lang w:val="en-US" w:eastAsia="zh-CN" w:bidi="ar"/>
                <w14:textFill>
                  <w14:solidFill>
                    <w14:schemeClr w14:val="tx1"/>
                  </w14:solidFill>
                </w14:textFill>
              </w:rPr>
            </w:pPr>
            <w:r>
              <w:rPr>
                <w:rFonts w:hint="eastAsia" w:ascii="Times New Roman" w:hAnsi="Times New Roman" w:eastAsia="仿宋_GB2312" w:cs="Times New Roman"/>
                <w:bCs/>
                <w:color w:val="000000" w:themeColor="text1"/>
                <w:kern w:val="0"/>
                <w:sz w:val="21"/>
                <w:szCs w:val="24"/>
                <w:lang w:val="en-US" w:eastAsia="zh-CN" w:bidi="ar"/>
                <w14:textFill>
                  <w14:solidFill>
                    <w14:schemeClr w14:val="tx1"/>
                  </w14:solidFill>
                </w14:textFill>
              </w:rPr>
              <w:t>1545.2</w:t>
            </w:r>
          </w:p>
        </w:tc>
      </w:tr>
    </w:tbl>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000000" w:themeColor="text1"/>
          <w:sz w:val="28"/>
          <w:szCs w:val="28"/>
          <w14:textFill>
            <w14:solidFill>
              <w14:schemeClr w14:val="tx1"/>
            </w14:solidFill>
          </w14:textFill>
        </w:rPr>
      </w:pPr>
      <w:r>
        <w:rPr>
          <w:rFonts w:hint="eastAsia" w:ascii="Times New Roman" w:hAnsi="Times New Roman" w:eastAsia="仿宋_GB2312"/>
          <w:bCs/>
          <w:color w:val="000000" w:themeColor="text1"/>
          <w:sz w:val="28"/>
          <w:szCs w:val="28"/>
          <w:lang w:val="en-US" w:eastAsia="zh-CN"/>
          <w14:textFill>
            <w14:solidFill>
              <w14:schemeClr w14:val="tx1"/>
            </w14:solidFill>
          </w14:textFill>
        </w:rPr>
        <w:t>3</w:t>
      </w:r>
      <w:r>
        <w:rPr>
          <w:rFonts w:ascii="Times New Roman" w:hAnsi="Times New Roman" w:eastAsia="仿宋_GB2312"/>
          <w:bCs/>
          <w:color w:val="000000" w:themeColor="text1"/>
          <w:sz w:val="28"/>
          <w:szCs w:val="28"/>
          <w14:textFill>
            <w14:solidFill>
              <w14:schemeClr w14:val="tx1"/>
            </w14:solidFill>
          </w14:textFill>
        </w:rPr>
        <w:t>、水资源开发利用程度评价</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000000" w:themeColor="text1"/>
          <w:sz w:val="28"/>
          <w:szCs w:val="28"/>
          <w14:textFill>
            <w14:solidFill>
              <w14:schemeClr w14:val="tx1"/>
            </w14:solidFill>
          </w14:textFill>
        </w:rPr>
      </w:pPr>
      <w:r>
        <w:rPr>
          <w:rFonts w:ascii="Times New Roman" w:hAnsi="Times New Roman" w:eastAsia="仿宋_GB2312"/>
          <w:bCs/>
          <w:color w:val="000000" w:themeColor="text1"/>
          <w:sz w:val="28"/>
          <w:szCs w:val="28"/>
          <w14:textFill>
            <w14:solidFill>
              <w14:schemeClr w14:val="tx1"/>
            </w14:solidFill>
          </w14:textFill>
        </w:rPr>
        <w:t>通过分析2016～2020年供、用水总量化趋势可知，近几年</w:t>
      </w:r>
      <w:r>
        <w:rPr>
          <w:rFonts w:hint="eastAsia" w:ascii="Times New Roman" w:hAnsi="Times New Roman" w:eastAsia="仿宋_GB2312"/>
          <w:bCs/>
          <w:color w:val="000000" w:themeColor="text1"/>
          <w:sz w:val="28"/>
          <w:szCs w:val="28"/>
          <w:lang w:eastAsia="zh-CN"/>
          <w14:textFill>
            <w14:solidFill>
              <w14:schemeClr w14:val="tx1"/>
            </w14:solidFill>
          </w14:textFill>
        </w:rPr>
        <w:t>平富乡</w:t>
      </w:r>
      <w:r>
        <w:rPr>
          <w:rFonts w:ascii="Times New Roman" w:hAnsi="Times New Roman" w:eastAsia="仿宋_GB2312"/>
          <w:bCs/>
          <w:color w:val="000000" w:themeColor="text1"/>
          <w:sz w:val="28"/>
          <w:szCs w:val="28"/>
          <w14:textFill>
            <w14:solidFill>
              <w14:schemeClr w14:val="tx1"/>
            </w14:solidFill>
          </w14:textFill>
        </w:rPr>
        <w:t>供水总量整体上保持相对稳定，一般在1450-1520立方米范围内波动，供水来源均为地下水。用水总量变化趋势为：农业用水量所占比例呈波动趋势，城镇用水量所占比例呈递减趋势，暂无工业用水及其他用水。</w:t>
      </w:r>
    </w:p>
    <w:p>
      <w:pPr>
        <w:pStyle w:val="17"/>
        <w:pageBreakBefore w:val="0"/>
        <w:kinsoku/>
        <w:wordWrap/>
        <w:overflowPunct/>
        <w:topLinePunct w:val="0"/>
        <w:bidi w:val="0"/>
        <w:spacing w:after="0" w:line="480" w:lineRule="exact"/>
        <w:ind w:left="0" w:leftChars="0" w:firstLine="560" w:firstLineChars="200"/>
        <w:rPr>
          <w:rFonts w:cs="宋体"/>
          <w:bCs/>
          <w:color w:val="000000" w:themeColor="text1"/>
          <w:szCs w:val="24"/>
          <w14:textFill>
            <w14:solidFill>
              <w14:schemeClr w14:val="tx1"/>
            </w14:solidFill>
          </w14:textFill>
        </w:rPr>
      </w:pPr>
      <w:r>
        <w:rPr>
          <w:rFonts w:ascii="Times New Roman" w:hAnsi="Times New Roman" w:eastAsia="仿宋_GB2312"/>
          <w:bCs/>
          <w:color w:val="000000" w:themeColor="text1"/>
          <w:sz w:val="28"/>
          <w:szCs w:val="28"/>
          <w14:textFill>
            <w14:solidFill>
              <w14:schemeClr w14:val="tx1"/>
            </w14:solidFill>
          </w14:textFill>
        </w:rPr>
        <w:t>2015—2020年</w:t>
      </w:r>
      <w:r>
        <w:rPr>
          <w:rFonts w:hint="eastAsia" w:ascii="Times New Roman" w:hAnsi="Times New Roman" w:eastAsia="仿宋_GB2312"/>
          <w:bCs/>
          <w:color w:val="000000" w:themeColor="text1"/>
          <w:sz w:val="28"/>
          <w:szCs w:val="28"/>
          <w:lang w:eastAsia="zh-CN"/>
          <w14:textFill>
            <w14:solidFill>
              <w14:schemeClr w14:val="tx1"/>
            </w14:solidFill>
          </w14:textFill>
        </w:rPr>
        <w:t>上犹县</w:t>
      </w:r>
      <w:r>
        <w:rPr>
          <w:rFonts w:ascii="Times New Roman" w:hAnsi="Times New Roman" w:eastAsia="仿宋_GB2312"/>
          <w:bCs/>
          <w:color w:val="000000" w:themeColor="text1"/>
          <w:sz w:val="28"/>
          <w:szCs w:val="28"/>
          <w14:textFill>
            <w14:solidFill>
              <w14:schemeClr w14:val="tx1"/>
            </w14:solidFill>
          </w14:textFill>
        </w:rPr>
        <w:t>水资源开发利用率分别为21.08%、17.63%、17.03%、16.99%、17.01%，高于</w:t>
      </w:r>
      <w:r>
        <w:rPr>
          <w:rFonts w:hint="eastAsia" w:ascii="Times New Roman" w:hAnsi="Times New Roman" w:eastAsia="仿宋_GB2312"/>
          <w:bCs/>
          <w:color w:val="000000" w:themeColor="text1"/>
          <w:sz w:val="28"/>
          <w:szCs w:val="28"/>
          <w:lang w:eastAsia="zh-CN"/>
          <w14:textFill>
            <w14:solidFill>
              <w14:schemeClr w14:val="tx1"/>
            </w14:solidFill>
          </w14:textFill>
        </w:rPr>
        <w:t>上犹县</w:t>
      </w:r>
      <w:r>
        <w:rPr>
          <w:rFonts w:ascii="Times New Roman" w:hAnsi="Times New Roman" w:eastAsia="仿宋_GB2312"/>
          <w:bCs/>
          <w:color w:val="000000" w:themeColor="text1"/>
          <w:sz w:val="28"/>
          <w:szCs w:val="28"/>
          <w14:textFill>
            <w14:solidFill>
              <w14:schemeClr w14:val="tx1"/>
            </w14:solidFill>
          </w14:textFill>
        </w:rPr>
        <w:t>同时期水资源开发利用率，且年际波动较小。</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000000" w:themeColor="text1"/>
          <w:sz w:val="28"/>
          <w:szCs w:val="28"/>
          <w14:textFill>
            <w14:solidFill>
              <w14:schemeClr w14:val="tx1"/>
            </w14:solidFill>
          </w14:textFill>
        </w:rPr>
      </w:pPr>
      <w:r>
        <w:rPr>
          <w:rFonts w:hint="eastAsia" w:ascii="Times New Roman" w:hAnsi="Times New Roman" w:eastAsia="仿宋_GB2312"/>
          <w:bCs/>
          <w:color w:val="000000" w:themeColor="text1"/>
          <w:sz w:val="28"/>
          <w:szCs w:val="28"/>
          <w:lang w:val="en-US" w:eastAsia="zh-CN"/>
          <w14:textFill>
            <w14:solidFill>
              <w14:schemeClr w14:val="tx1"/>
            </w14:solidFill>
          </w14:textFill>
        </w:rPr>
        <w:t>4</w:t>
      </w:r>
      <w:r>
        <w:rPr>
          <w:rFonts w:ascii="Times New Roman" w:hAnsi="Times New Roman" w:eastAsia="仿宋_GB2312"/>
          <w:bCs/>
          <w:color w:val="000000" w:themeColor="text1"/>
          <w:sz w:val="28"/>
          <w:szCs w:val="28"/>
          <w14:textFill>
            <w14:solidFill>
              <w14:schemeClr w14:val="tx1"/>
            </w14:solidFill>
          </w14:textFill>
        </w:rPr>
        <w:t>、水资源利用效率评价</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000000" w:themeColor="text1"/>
          <w:sz w:val="28"/>
          <w:szCs w:val="28"/>
          <w14:textFill>
            <w14:solidFill>
              <w14:schemeClr w14:val="tx1"/>
            </w14:solidFill>
          </w14:textFill>
        </w:rPr>
      </w:pPr>
      <w:r>
        <w:rPr>
          <w:rFonts w:ascii="Times New Roman" w:hAnsi="Times New Roman" w:eastAsia="仿宋_GB2312"/>
          <w:bCs/>
          <w:color w:val="000000" w:themeColor="text1"/>
          <w:sz w:val="28"/>
          <w:szCs w:val="28"/>
          <w14:textFill>
            <w14:solidFill>
              <w14:schemeClr w14:val="tx1"/>
            </w14:solidFill>
          </w14:textFill>
        </w:rPr>
        <w:t>2020年，</w:t>
      </w:r>
      <w:r>
        <w:rPr>
          <w:rFonts w:hint="eastAsia" w:ascii="Times New Roman" w:hAnsi="Times New Roman" w:eastAsia="仿宋_GB2312"/>
          <w:bCs/>
          <w:color w:val="000000" w:themeColor="text1"/>
          <w:sz w:val="28"/>
          <w:szCs w:val="28"/>
          <w:lang w:eastAsia="zh-CN"/>
          <w14:textFill>
            <w14:solidFill>
              <w14:schemeClr w14:val="tx1"/>
            </w14:solidFill>
          </w14:textFill>
        </w:rPr>
        <w:t>平富乡</w:t>
      </w:r>
      <w:r>
        <w:rPr>
          <w:rFonts w:ascii="Times New Roman" w:hAnsi="Times New Roman" w:eastAsia="仿宋_GB2312"/>
          <w:bCs/>
          <w:color w:val="000000" w:themeColor="text1"/>
          <w:sz w:val="28"/>
          <w:szCs w:val="28"/>
          <w14:textFill>
            <w14:solidFill>
              <w14:schemeClr w14:val="tx1"/>
            </w14:solidFill>
          </w14:textFill>
        </w:rPr>
        <w:t>用水总量为1471万立方米。农业用水量所占用水总量的比重最大，达到93.27%，水田灌溉水有效利用系数为0.514，符合用水效率控制红线，也高于江西省和</w:t>
      </w:r>
      <w:r>
        <w:rPr>
          <w:rFonts w:hint="eastAsia" w:ascii="Times New Roman" w:hAnsi="Times New Roman" w:eastAsia="仿宋_GB2312"/>
          <w:bCs/>
          <w:color w:val="000000" w:themeColor="text1"/>
          <w:sz w:val="28"/>
          <w:szCs w:val="28"/>
          <w:lang w:eastAsia="zh-CN"/>
          <w14:textFill>
            <w14:solidFill>
              <w14:schemeClr w14:val="tx1"/>
            </w14:solidFill>
          </w14:textFill>
        </w:rPr>
        <w:t>赣州</w:t>
      </w:r>
      <w:r>
        <w:rPr>
          <w:rFonts w:ascii="Times New Roman" w:hAnsi="Times New Roman" w:eastAsia="仿宋_GB2312"/>
          <w:bCs/>
          <w:color w:val="000000" w:themeColor="text1"/>
          <w:sz w:val="28"/>
          <w:szCs w:val="28"/>
          <w14:textFill>
            <w14:solidFill>
              <w14:schemeClr w14:val="tx1"/>
            </w14:solidFill>
          </w14:textFill>
        </w:rPr>
        <w:t>市同时期农田灌溉水有效利用系数（0.509），农业用水效率较高。</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000000" w:themeColor="text1"/>
          <w:sz w:val="28"/>
          <w:szCs w:val="28"/>
          <w14:textFill>
            <w14:solidFill>
              <w14:schemeClr w14:val="tx1"/>
            </w14:solidFill>
          </w14:textFill>
        </w:rPr>
      </w:pPr>
      <w:r>
        <w:rPr>
          <w:rFonts w:ascii="Times New Roman" w:hAnsi="Times New Roman" w:eastAsia="仿宋_GB2312"/>
          <w:bCs/>
          <w:color w:val="000000" w:themeColor="text1"/>
          <w:sz w:val="28"/>
          <w:szCs w:val="28"/>
          <w14:textFill>
            <w14:solidFill>
              <w14:schemeClr w14:val="tx1"/>
            </w14:solidFill>
          </w14:textFill>
        </w:rPr>
        <w:t>2020年</w:t>
      </w:r>
      <w:r>
        <w:rPr>
          <w:rFonts w:hint="eastAsia" w:ascii="Times New Roman" w:hAnsi="Times New Roman" w:eastAsia="仿宋_GB2312"/>
          <w:bCs/>
          <w:color w:val="000000" w:themeColor="text1"/>
          <w:sz w:val="28"/>
          <w:szCs w:val="28"/>
          <w:lang w:eastAsia="zh-CN"/>
          <w14:textFill>
            <w14:solidFill>
              <w14:schemeClr w14:val="tx1"/>
            </w14:solidFill>
          </w14:textFill>
        </w:rPr>
        <w:t>平富乡</w:t>
      </w:r>
      <w:r>
        <w:rPr>
          <w:rFonts w:ascii="Times New Roman" w:hAnsi="Times New Roman" w:eastAsia="仿宋_GB2312"/>
          <w:bCs/>
          <w:color w:val="000000" w:themeColor="text1"/>
          <w:sz w:val="28"/>
          <w:szCs w:val="28"/>
          <w14:textFill>
            <w14:solidFill>
              <w14:schemeClr w14:val="tx1"/>
            </w14:solidFill>
          </w14:textFill>
        </w:rPr>
        <w:t>人均用水量为735.5立方米，高于江西省同期539立方米的人均用水量，也高于</w:t>
      </w:r>
      <w:r>
        <w:rPr>
          <w:rFonts w:hint="eastAsia" w:ascii="Times New Roman" w:hAnsi="Times New Roman" w:eastAsia="仿宋_GB2312"/>
          <w:bCs/>
          <w:color w:val="000000" w:themeColor="text1"/>
          <w:sz w:val="28"/>
          <w:szCs w:val="28"/>
          <w:lang w:eastAsia="zh-CN"/>
          <w14:textFill>
            <w14:solidFill>
              <w14:schemeClr w14:val="tx1"/>
            </w14:solidFill>
          </w14:textFill>
        </w:rPr>
        <w:t>赣州</w:t>
      </w:r>
      <w:r>
        <w:rPr>
          <w:rFonts w:ascii="Times New Roman" w:hAnsi="Times New Roman" w:eastAsia="仿宋_GB2312"/>
          <w:bCs/>
          <w:color w:val="000000" w:themeColor="text1"/>
          <w:sz w:val="28"/>
          <w:szCs w:val="28"/>
          <w14:textFill>
            <w14:solidFill>
              <w14:schemeClr w14:val="tx1"/>
            </w14:solidFill>
          </w14:textFill>
        </w:rPr>
        <w:t>市同期水平。</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000000" w:themeColor="text1"/>
          <w:sz w:val="28"/>
          <w:szCs w:val="28"/>
          <w14:textFill>
            <w14:solidFill>
              <w14:schemeClr w14:val="tx1"/>
            </w14:solidFill>
          </w14:textFill>
        </w:rPr>
      </w:pPr>
      <w:r>
        <w:rPr>
          <w:rFonts w:ascii="Times New Roman" w:hAnsi="Times New Roman" w:eastAsia="仿宋_GB2312"/>
          <w:bCs/>
          <w:color w:val="000000" w:themeColor="text1"/>
          <w:sz w:val="28"/>
          <w:szCs w:val="28"/>
          <w14:textFill>
            <w14:solidFill>
              <w14:schemeClr w14:val="tx1"/>
            </w14:solidFill>
          </w14:textFill>
        </w:rPr>
        <w:t>（</w:t>
      </w:r>
      <w:r>
        <w:rPr>
          <w:rFonts w:hint="eastAsia" w:ascii="Times New Roman" w:hAnsi="Times New Roman" w:eastAsia="仿宋_GB2312"/>
          <w:bCs/>
          <w:color w:val="000000" w:themeColor="text1"/>
          <w:sz w:val="28"/>
          <w:szCs w:val="28"/>
          <w:lang w:val="en-US" w:eastAsia="zh-CN"/>
          <w14:textFill>
            <w14:solidFill>
              <w14:schemeClr w14:val="tx1"/>
            </w14:solidFill>
          </w14:textFill>
        </w:rPr>
        <w:t>1</w:t>
      </w:r>
      <w:r>
        <w:rPr>
          <w:rFonts w:ascii="Times New Roman" w:hAnsi="Times New Roman" w:eastAsia="仿宋_GB2312"/>
          <w:bCs/>
          <w:color w:val="000000" w:themeColor="text1"/>
          <w:sz w:val="28"/>
          <w:szCs w:val="28"/>
          <w14:textFill>
            <w14:solidFill>
              <w14:schemeClr w14:val="tx1"/>
            </w14:solidFill>
          </w14:textFill>
        </w:rPr>
        <w:t>）优化用水建议</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000000" w:themeColor="text1"/>
          <w:sz w:val="28"/>
          <w:szCs w:val="28"/>
          <w14:textFill>
            <w14:solidFill>
              <w14:schemeClr w14:val="tx1"/>
            </w14:solidFill>
          </w14:textFill>
        </w:rPr>
      </w:pPr>
      <w:r>
        <w:rPr>
          <w:rFonts w:hint="eastAsia" w:ascii="Times New Roman" w:hAnsi="Times New Roman" w:eastAsia="仿宋_GB2312"/>
          <w:bCs/>
          <w:color w:val="000000" w:themeColor="text1"/>
          <w:sz w:val="28"/>
          <w:szCs w:val="28"/>
          <w:lang w:eastAsia="zh-CN"/>
          <w14:textFill>
            <w14:solidFill>
              <w14:schemeClr w14:val="tx1"/>
            </w14:solidFill>
          </w14:textFill>
        </w:rPr>
        <w:t>平富乡</w:t>
      </w:r>
      <w:r>
        <w:rPr>
          <w:rFonts w:ascii="Times New Roman" w:hAnsi="Times New Roman" w:eastAsia="仿宋_GB2312"/>
          <w:bCs/>
          <w:color w:val="000000" w:themeColor="text1"/>
          <w:sz w:val="28"/>
          <w:szCs w:val="28"/>
          <w14:textFill>
            <w14:solidFill>
              <w14:schemeClr w14:val="tx1"/>
            </w14:solidFill>
          </w14:textFill>
        </w:rPr>
        <w:t>水资源总量较为丰富，但水资源利用率低、耗水量大的问题比较严重，水资源浪费，污水利用率极低，从而影响水生态环境。未来发展需提高水资源利用率，节约用水，加强污水处理能力，加强对水资源的监督管理，提高水资源质量，以满足未来经济快速发展的需求。结合</w:t>
      </w:r>
      <w:r>
        <w:rPr>
          <w:rFonts w:hint="eastAsia" w:ascii="Times New Roman" w:hAnsi="Times New Roman" w:eastAsia="仿宋_GB2312"/>
          <w:bCs/>
          <w:color w:val="000000" w:themeColor="text1"/>
          <w:sz w:val="28"/>
          <w:szCs w:val="28"/>
          <w:lang w:eastAsia="zh-CN"/>
          <w14:textFill>
            <w14:solidFill>
              <w14:schemeClr w14:val="tx1"/>
            </w14:solidFill>
          </w14:textFill>
        </w:rPr>
        <w:t>平富乡</w:t>
      </w:r>
      <w:r>
        <w:rPr>
          <w:rFonts w:ascii="Times New Roman" w:hAnsi="Times New Roman" w:eastAsia="仿宋_GB2312"/>
          <w:bCs/>
          <w:color w:val="000000" w:themeColor="text1"/>
          <w:sz w:val="28"/>
          <w:szCs w:val="28"/>
          <w14:textFill>
            <w14:solidFill>
              <w14:schemeClr w14:val="tx1"/>
            </w14:solidFill>
          </w14:textFill>
        </w:rPr>
        <w:t>水资源的特点和存在的一些状况，特提出以下建议，促进</w:t>
      </w:r>
      <w:r>
        <w:rPr>
          <w:rFonts w:hint="eastAsia" w:ascii="Times New Roman" w:hAnsi="Times New Roman" w:eastAsia="仿宋_GB2312"/>
          <w:bCs/>
          <w:color w:val="000000" w:themeColor="text1"/>
          <w:sz w:val="28"/>
          <w:szCs w:val="28"/>
          <w:lang w:eastAsia="zh-CN"/>
          <w14:textFill>
            <w14:solidFill>
              <w14:schemeClr w14:val="tx1"/>
            </w14:solidFill>
          </w14:textFill>
        </w:rPr>
        <w:t>平富乡</w:t>
      </w:r>
      <w:r>
        <w:rPr>
          <w:rFonts w:ascii="Times New Roman" w:hAnsi="Times New Roman" w:eastAsia="仿宋_GB2312"/>
          <w:bCs/>
          <w:color w:val="000000" w:themeColor="text1"/>
          <w:sz w:val="28"/>
          <w:szCs w:val="28"/>
          <w14:textFill>
            <w14:solidFill>
              <w14:schemeClr w14:val="tx1"/>
            </w14:solidFill>
          </w14:textFill>
        </w:rPr>
        <w:t>人口、水资源、水环境和社会经济的协调发展。</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000000" w:themeColor="text1"/>
          <w:sz w:val="28"/>
          <w:szCs w:val="28"/>
          <w14:textFill>
            <w14:solidFill>
              <w14:schemeClr w14:val="tx1"/>
            </w14:solidFill>
          </w14:textFill>
        </w:rPr>
      </w:pPr>
      <w:r>
        <w:rPr>
          <w:rFonts w:ascii="Times New Roman" w:hAnsi="Times New Roman" w:eastAsia="仿宋_GB2312"/>
          <w:bCs/>
          <w:color w:val="000000" w:themeColor="text1"/>
          <w:sz w:val="28"/>
          <w:szCs w:val="28"/>
          <w14:textFill>
            <w14:solidFill>
              <w14:schemeClr w14:val="tx1"/>
            </w14:solidFill>
          </w14:textFill>
        </w:rPr>
        <w:t>根据区域水资源及地形地质条件，规划一批城乡供水工程，以增大供水量。</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000000" w:themeColor="text1"/>
          <w:sz w:val="28"/>
          <w:szCs w:val="28"/>
          <w14:textFill>
            <w14:solidFill>
              <w14:schemeClr w14:val="tx1"/>
            </w14:solidFill>
          </w14:textFill>
        </w:rPr>
      </w:pPr>
      <w:r>
        <w:rPr>
          <w:rFonts w:ascii="Times New Roman" w:hAnsi="Times New Roman" w:eastAsia="仿宋_GB2312"/>
          <w:bCs/>
          <w:color w:val="000000" w:themeColor="text1"/>
          <w:sz w:val="28"/>
          <w:szCs w:val="28"/>
          <w14:textFill>
            <w14:solidFill>
              <w14:schemeClr w14:val="tx1"/>
            </w14:solidFill>
          </w14:textFill>
        </w:rPr>
        <w:t>积极推行节约用水，制定相应的节水措施规划，包括城镇节水、农业节水和工业节水规划，通过各行业用水的水平衡测试，确定本地区合理的用水定额，以此作为节约用水效果的依据。</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000000" w:themeColor="text1"/>
          <w:sz w:val="28"/>
          <w:szCs w:val="28"/>
          <w14:textFill>
            <w14:solidFill>
              <w14:schemeClr w14:val="tx1"/>
            </w14:solidFill>
          </w14:textFill>
        </w:rPr>
      </w:pPr>
      <w:r>
        <w:rPr>
          <w:rFonts w:ascii="Times New Roman" w:hAnsi="Times New Roman" w:eastAsia="仿宋_GB2312"/>
          <w:bCs/>
          <w:color w:val="000000" w:themeColor="text1"/>
          <w:sz w:val="28"/>
          <w:szCs w:val="28"/>
          <w14:textFill>
            <w14:solidFill>
              <w14:schemeClr w14:val="tx1"/>
            </w14:solidFill>
          </w14:textFill>
        </w:rPr>
        <w:t>因地制宜做好雨洪水利用规划，不但可解决农村人畜饮水，还可解决部分农业灌溉用水及绿化用水。</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000000" w:themeColor="text1"/>
          <w:sz w:val="28"/>
          <w:szCs w:val="28"/>
          <w14:textFill>
            <w14:solidFill>
              <w14:schemeClr w14:val="tx1"/>
            </w14:solidFill>
          </w14:textFill>
        </w:rPr>
      </w:pPr>
      <w:r>
        <w:rPr>
          <w:rFonts w:ascii="Times New Roman" w:hAnsi="Times New Roman" w:eastAsia="仿宋_GB2312"/>
          <w:bCs/>
          <w:color w:val="000000" w:themeColor="text1"/>
          <w:sz w:val="28"/>
          <w:szCs w:val="28"/>
          <w14:textFill>
            <w14:solidFill>
              <w14:schemeClr w14:val="tx1"/>
            </w14:solidFill>
          </w14:textFill>
        </w:rPr>
        <w:t>做好农业面源污染、工业及生活点源污染防治规划。农业面源污染物主要为农药残留物，残留物在雨水的冲刷下，很容易进入河道，污染水源；工业及生活点源污染物主要为有机污染，如未经处理直接外排极易污染河流。河流污染将给饮水安全带来威胁，应尽早制定污染防治规划，在农田较为集中的区域布置截水沟，将污水引入饮用水水源地下游，工业及生活污水必须经过污水设施处理达标排放。</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000000" w:themeColor="text1"/>
          <w:sz w:val="28"/>
          <w:szCs w:val="28"/>
          <w14:textFill>
            <w14:solidFill>
              <w14:schemeClr w14:val="tx1"/>
            </w14:solidFill>
          </w14:textFill>
        </w:rPr>
      </w:pPr>
      <w:r>
        <w:rPr>
          <w:rFonts w:ascii="Times New Roman" w:hAnsi="Times New Roman" w:eastAsia="仿宋_GB2312"/>
          <w:bCs/>
          <w:color w:val="000000" w:themeColor="text1"/>
          <w:sz w:val="28"/>
          <w:szCs w:val="28"/>
          <w14:textFill>
            <w14:solidFill>
              <w14:schemeClr w14:val="tx1"/>
            </w14:solidFill>
          </w14:textFill>
        </w:rPr>
        <w:t>逐步建立并完善相关的政策法规体系，强化全民节水意识；严格实行取水许可制度，对使用淘汰落后用水工艺的项目不予审批；大力推广应用节水器具、节水新技术和新工艺，改变农业现行的灌溉制度，推行农业滴灌及喷灌技术等。</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000000" w:themeColor="text1"/>
          <w:sz w:val="28"/>
          <w:szCs w:val="28"/>
          <w14:textFill>
            <w14:solidFill>
              <w14:schemeClr w14:val="tx1"/>
            </w14:solidFill>
          </w14:textFill>
        </w:rPr>
      </w:pPr>
      <w:r>
        <w:rPr>
          <w:rFonts w:hint="eastAsia" w:ascii="Times New Roman" w:hAnsi="Times New Roman" w:eastAsia="仿宋_GB2312"/>
          <w:bCs/>
          <w:color w:val="000000" w:themeColor="text1"/>
          <w:sz w:val="28"/>
          <w:szCs w:val="28"/>
          <w:lang w:val="en-US" w:eastAsia="zh-CN"/>
          <w14:textFill>
            <w14:solidFill>
              <w14:schemeClr w14:val="tx1"/>
            </w14:solidFill>
          </w14:textFill>
        </w:rPr>
        <w:t>4</w:t>
      </w:r>
      <w:r>
        <w:rPr>
          <w:rFonts w:ascii="Times New Roman" w:hAnsi="Times New Roman" w:eastAsia="仿宋_GB2312"/>
          <w:bCs/>
          <w:color w:val="000000" w:themeColor="text1"/>
          <w:sz w:val="28"/>
          <w:szCs w:val="28"/>
          <w14:textFill>
            <w14:solidFill>
              <w14:schemeClr w14:val="tx1"/>
            </w14:solidFill>
          </w14:textFill>
        </w:rPr>
        <w:t>、水资源控制指标预测</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000000" w:themeColor="text1"/>
          <w:sz w:val="28"/>
          <w:szCs w:val="28"/>
          <w14:textFill>
            <w14:solidFill>
              <w14:schemeClr w14:val="tx1"/>
            </w14:solidFill>
          </w14:textFill>
        </w:rPr>
      </w:pPr>
      <w:r>
        <w:rPr>
          <w:rFonts w:ascii="Times New Roman" w:hAnsi="Times New Roman" w:eastAsia="仿宋_GB2312"/>
          <w:bCs/>
          <w:color w:val="000000" w:themeColor="text1"/>
          <w:sz w:val="28"/>
          <w:szCs w:val="28"/>
          <w14:textFill>
            <w14:solidFill>
              <w14:schemeClr w14:val="tx1"/>
            </w14:solidFill>
          </w14:textFill>
        </w:rPr>
        <w:t>以《关于下达</w:t>
      </w:r>
      <w:r>
        <w:rPr>
          <w:rFonts w:hint="eastAsia" w:ascii="Times New Roman" w:hAnsi="Times New Roman" w:eastAsia="仿宋_GB2312"/>
          <w:bCs/>
          <w:color w:val="000000" w:themeColor="text1"/>
          <w:sz w:val="28"/>
          <w:szCs w:val="28"/>
          <w:lang w:eastAsia="zh-CN"/>
          <w14:textFill>
            <w14:solidFill>
              <w14:schemeClr w14:val="tx1"/>
            </w14:solidFill>
          </w14:textFill>
        </w:rPr>
        <w:t>赣州</w:t>
      </w:r>
      <w:r>
        <w:rPr>
          <w:rFonts w:ascii="Times New Roman" w:hAnsi="Times New Roman" w:eastAsia="仿宋_GB2312"/>
          <w:bCs/>
          <w:color w:val="000000" w:themeColor="text1"/>
          <w:sz w:val="28"/>
          <w:szCs w:val="28"/>
          <w14:textFill>
            <w14:solidFill>
              <w14:schemeClr w14:val="tx1"/>
            </w14:solidFill>
          </w14:textFill>
        </w:rPr>
        <w:t>市水资源管理“三条红线”控制目标（2016—2020年）及2030年用水总量控制指标的通知》为基础，以《</w:t>
      </w:r>
      <w:r>
        <w:rPr>
          <w:rFonts w:hint="eastAsia" w:ascii="Times New Roman" w:hAnsi="Times New Roman" w:eastAsia="仿宋_GB2312"/>
          <w:bCs/>
          <w:color w:val="000000" w:themeColor="text1"/>
          <w:sz w:val="28"/>
          <w:szCs w:val="28"/>
          <w:lang w:eastAsia="zh-CN"/>
          <w14:textFill>
            <w14:solidFill>
              <w14:schemeClr w14:val="tx1"/>
            </w14:solidFill>
          </w14:textFill>
        </w:rPr>
        <w:t>上犹县</w:t>
      </w:r>
      <w:r>
        <w:rPr>
          <w:rFonts w:ascii="Times New Roman" w:hAnsi="Times New Roman" w:eastAsia="仿宋_GB2312"/>
          <w:bCs/>
          <w:color w:val="000000" w:themeColor="text1"/>
          <w:sz w:val="28"/>
          <w:szCs w:val="28"/>
          <w14:textFill>
            <w14:solidFill>
              <w14:schemeClr w14:val="tx1"/>
            </w14:solidFill>
          </w14:textFill>
        </w:rPr>
        <w:t>国土空间总体规划（2021-2035年）》为依据，对</w:t>
      </w:r>
      <w:r>
        <w:rPr>
          <w:rFonts w:hint="eastAsia" w:ascii="Times New Roman" w:hAnsi="Times New Roman" w:eastAsia="仿宋_GB2312"/>
          <w:bCs/>
          <w:color w:val="000000" w:themeColor="text1"/>
          <w:sz w:val="28"/>
          <w:szCs w:val="28"/>
          <w:lang w:eastAsia="zh-CN"/>
          <w14:textFill>
            <w14:solidFill>
              <w14:schemeClr w14:val="tx1"/>
            </w14:solidFill>
          </w14:textFill>
        </w:rPr>
        <w:t>平富乡</w:t>
      </w:r>
      <w:r>
        <w:rPr>
          <w:rFonts w:ascii="Times New Roman" w:hAnsi="Times New Roman" w:eastAsia="仿宋_GB2312"/>
          <w:bCs/>
          <w:color w:val="000000" w:themeColor="text1"/>
          <w:sz w:val="28"/>
          <w:szCs w:val="28"/>
          <w14:textFill>
            <w14:solidFill>
              <w14:schemeClr w14:val="tx1"/>
            </w14:solidFill>
          </w14:textFill>
        </w:rPr>
        <w:t>规划期内用水指标进行分解，农业灌溉水利用系数提升至0.566以上；万元工业增加值用水量降低至26万元；万元GDP用水量降低至60万元；全县重要江河湖泊水功能区划控制达标率为100%。</w:t>
      </w:r>
    </w:p>
    <w:p>
      <w:pPr>
        <w:snapToGrid w:val="0"/>
        <w:spacing w:line="480" w:lineRule="exact"/>
        <w:ind w:firstLine="562"/>
        <w:rPr>
          <w:rFonts w:hint="eastAsia" w:ascii="Times New Roman" w:hAnsi="Times New Roman" w:eastAsia="仿宋_GB2312" w:cs="Times New Roman"/>
          <w:b/>
          <w:color w:val="000000" w:themeColor="text1"/>
          <w:sz w:val="28"/>
          <w:szCs w:val="28"/>
          <w:lang w:val="en-US" w:eastAsia="zh-CN"/>
          <w14:textFill>
            <w14:solidFill>
              <w14:schemeClr w14:val="tx1"/>
            </w14:solidFill>
          </w14:textFill>
        </w:rPr>
      </w:pPr>
      <w:r>
        <w:rPr>
          <w:rFonts w:hint="eastAsia" w:ascii="Times New Roman" w:hAnsi="Times New Roman" w:eastAsia="仿宋_GB2312" w:cs="Times New Roman"/>
          <w:b/>
          <w:color w:val="000000" w:themeColor="text1"/>
          <w:sz w:val="28"/>
          <w:szCs w:val="28"/>
          <w:lang w:val="en-US" w:eastAsia="zh-CN"/>
          <w14:textFill>
            <w14:solidFill>
              <w14:schemeClr w14:val="tx1"/>
            </w14:solidFill>
          </w14:textFill>
        </w:rPr>
        <w:t>四、水体保护等级</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000000" w:themeColor="text1"/>
          <w:sz w:val="28"/>
          <w:szCs w:val="28"/>
          <w14:textFill>
            <w14:solidFill>
              <w14:schemeClr w14:val="tx1"/>
            </w14:solidFill>
          </w14:textFill>
        </w:rPr>
      </w:pPr>
      <w:r>
        <w:rPr>
          <w:rFonts w:ascii="Times New Roman" w:hAnsi="Times New Roman" w:eastAsia="仿宋_GB2312"/>
          <w:bCs/>
          <w:color w:val="000000" w:themeColor="text1"/>
          <w:sz w:val="28"/>
          <w:szCs w:val="28"/>
          <w14:textFill>
            <w14:solidFill>
              <w14:schemeClr w14:val="tx1"/>
            </w14:solidFill>
          </w14:textFill>
        </w:rPr>
        <w:t>按照水环境质量“越来越好”的原则，以改善水环境质量为目标，在当前的水质现状就是水环境质量底线，2035 年的水环境质量底线是在水十条和区域生态环境战略规划的基础上，对未来的水环境质量改善做出的战略安排。</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000000" w:themeColor="text1"/>
          <w:sz w:val="28"/>
          <w:szCs w:val="28"/>
          <w14:textFill>
            <w14:solidFill>
              <w14:schemeClr w14:val="tx1"/>
            </w14:solidFill>
          </w14:textFill>
        </w:rPr>
      </w:pPr>
      <w:r>
        <w:rPr>
          <w:rFonts w:ascii="Times New Roman" w:hAnsi="Times New Roman" w:eastAsia="仿宋_GB2312"/>
          <w:bCs/>
          <w:color w:val="000000" w:themeColor="text1"/>
          <w:sz w:val="28"/>
          <w:szCs w:val="28"/>
          <w14:textFill>
            <w14:solidFill>
              <w14:schemeClr w14:val="tx1"/>
            </w14:solidFill>
          </w14:textFill>
        </w:rPr>
        <w:t>预测近期2025年、远期2035年，</w:t>
      </w:r>
      <w:r>
        <w:rPr>
          <w:rFonts w:hint="eastAsia" w:ascii="Times New Roman" w:hAnsi="Times New Roman" w:eastAsia="仿宋_GB2312"/>
          <w:bCs/>
          <w:color w:val="000000" w:themeColor="text1"/>
          <w:sz w:val="28"/>
          <w:szCs w:val="28"/>
          <w:lang w:eastAsia="zh-CN"/>
          <w14:textFill>
            <w14:solidFill>
              <w14:schemeClr w14:val="tx1"/>
            </w14:solidFill>
          </w14:textFill>
        </w:rPr>
        <w:t>平富河</w:t>
      </w:r>
      <w:r>
        <w:rPr>
          <w:rFonts w:ascii="Times New Roman" w:hAnsi="Times New Roman" w:eastAsia="仿宋_GB2312"/>
          <w:bCs/>
          <w:color w:val="000000" w:themeColor="text1"/>
          <w:sz w:val="28"/>
          <w:szCs w:val="28"/>
          <w14:textFill>
            <w14:solidFill>
              <w14:schemeClr w14:val="tx1"/>
            </w14:solidFill>
          </w14:textFill>
        </w:rPr>
        <w:t>河段要保持甚至优于Ⅲ类水质。</w:t>
      </w:r>
    </w:p>
    <w:p>
      <w:pPr>
        <w:snapToGrid w:val="0"/>
        <w:spacing w:line="480" w:lineRule="exact"/>
        <w:ind w:firstLine="562"/>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000000" w:themeColor="text1"/>
          <w:sz w:val="28"/>
          <w:szCs w:val="28"/>
          <w:lang w:val="en-US" w:eastAsia="zh-CN"/>
          <w14:textFill>
            <w14:solidFill>
              <w14:schemeClr w14:val="tx1"/>
            </w14:solidFill>
          </w14:textFill>
        </w:rPr>
        <w:t>五、水生</w:t>
      </w:r>
      <w:r>
        <w:rPr>
          <w:rFonts w:hint="eastAsia" w:ascii="Times New Roman" w:hAnsi="Times New Roman" w:eastAsia="仿宋_GB2312" w:cs="Times New Roman"/>
          <w:b/>
          <w:color w:val="auto"/>
          <w:sz w:val="28"/>
          <w:szCs w:val="28"/>
          <w:lang w:val="en-US" w:eastAsia="zh-CN"/>
        </w:rPr>
        <w:t>态保护区划定</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hint="eastAsia" w:ascii="Times New Roman" w:hAnsi="Times New Roman" w:eastAsia="仿宋_GB2312"/>
          <w:bCs/>
          <w:color w:val="auto"/>
          <w:sz w:val="28"/>
          <w:szCs w:val="28"/>
          <w:lang w:val="en-US" w:eastAsia="zh-CN"/>
        </w:rPr>
        <w:t>1</w:t>
      </w:r>
      <w:r>
        <w:rPr>
          <w:rFonts w:ascii="Times New Roman" w:hAnsi="Times New Roman" w:eastAsia="仿宋_GB2312"/>
          <w:bCs/>
          <w:color w:val="auto"/>
          <w:sz w:val="28"/>
          <w:szCs w:val="28"/>
        </w:rPr>
        <w:t>、饮用水水源保护区划定</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hint="eastAsia" w:ascii="Times New Roman" w:hAnsi="Times New Roman" w:eastAsia="仿宋_GB2312"/>
          <w:bCs/>
          <w:color w:val="auto"/>
          <w:sz w:val="28"/>
          <w:szCs w:val="28"/>
          <w:lang w:eastAsia="zh-CN"/>
        </w:rPr>
        <w:t>平富乡域</w:t>
      </w:r>
      <w:r>
        <w:rPr>
          <w:rFonts w:ascii="Times New Roman" w:hAnsi="Times New Roman" w:eastAsia="仿宋_GB2312"/>
          <w:bCs/>
          <w:color w:val="auto"/>
          <w:sz w:val="28"/>
          <w:szCs w:val="28"/>
        </w:rPr>
        <w:t>范围内</w:t>
      </w:r>
      <w:r>
        <w:rPr>
          <w:rFonts w:hint="eastAsia" w:ascii="Times New Roman" w:hAnsi="Times New Roman" w:eastAsia="仿宋_GB2312"/>
          <w:bCs/>
          <w:color w:val="auto"/>
          <w:sz w:val="28"/>
          <w:szCs w:val="28"/>
          <w:lang w:val="en-US" w:eastAsia="zh-CN"/>
        </w:rPr>
        <w:t>不</w:t>
      </w:r>
      <w:r>
        <w:rPr>
          <w:rFonts w:ascii="Times New Roman" w:hAnsi="Times New Roman" w:eastAsia="仿宋_GB2312"/>
          <w:bCs/>
          <w:color w:val="auto"/>
          <w:sz w:val="28"/>
          <w:szCs w:val="28"/>
        </w:rPr>
        <w:t>涉及水源保护地</w:t>
      </w:r>
      <w:r>
        <w:rPr>
          <w:rFonts w:hint="eastAsia" w:ascii="Times New Roman" w:hAnsi="Times New Roman" w:eastAsia="仿宋_GB2312"/>
          <w:bCs/>
          <w:color w:val="auto"/>
          <w:sz w:val="28"/>
          <w:szCs w:val="28"/>
          <w:lang w:eastAsia="zh-CN"/>
        </w:rPr>
        <w:t>。</w:t>
      </w:r>
    </w:p>
    <w:p>
      <w:pPr>
        <w:snapToGrid w:val="0"/>
        <w:spacing w:line="480" w:lineRule="exact"/>
        <w:ind w:firstLine="562"/>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六、存在的问题</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hint="eastAsia" w:ascii="Times New Roman" w:hAnsi="Times New Roman" w:eastAsia="仿宋_GB2312"/>
          <w:bCs/>
          <w:color w:val="auto"/>
          <w:sz w:val="28"/>
          <w:szCs w:val="28"/>
          <w:lang w:val="en-US" w:eastAsia="zh-CN"/>
        </w:rPr>
        <w:t>1</w:t>
      </w:r>
      <w:r>
        <w:rPr>
          <w:rFonts w:ascii="Times New Roman" w:hAnsi="Times New Roman" w:eastAsia="仿宋_GB2312"/>
          <w:bCs/>
          <w:color w:val="auto"/>
          <w:sz w:val="28"/>
          <w:szCs w:val="28"/>
        </w:rPr>
        <w:t>、水资源紧张程度加剧、时空分布不均</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水资源量近年来持续下降，水资源供需紧张程度加剧，且降水量年内分配不均，主要集中在5-8月，占全年总降水量的51.9%，汛期4-9月降水量占全年总降水量的60.4%。</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hint="eastAsia" w:ascii="Times New Roman" w:hAnsi="Times New Roman" w:eastAsia="仿宋_GB2312"/>
          <w:bCs/>
          <w:color w:val="auto"/>
          <w:sz w:val="28"/>
          <w:szCs w:val="28"/>
          <w:lang w:val="en-US" w:eastAsia="zh-CN"/>
        </w:rPr>
        <w:t>2</w:t>
      </w:r>
      <w:r>
        <w:rPr>
          <w:rFonts w:ascii="Times New Roman" w:hAnsi="Times New Roman" w:eastAsia="仿宋_GB2312"/>
          <w:bCs/>
          <w:color w:val="auto"/>
          <w:sz w:val="28"/>
          <w:szCs w:val="28"/>
        </w:rPr>
        <w:t>、再生水利用量偏低</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目前，</w:t>
      </w:r>
      <w:r>
        <w:rPr>
          <w:rFonts w:hint="eastAsia" w:ascii="Times New Roman" w:hAnsi="Times New Roman" w:eastAsia="仿宋_GB2312"/>
          <w:bCs/>
          <w:color w:val="auto"/>
          <w:sz w:val="28"/>
          <w:szCs w:val="28"/>
          <w:lang w:eastAsia="zh-CN"/>
        </w:rPr>
        <w:t>平富乡</w:t>
      </w:r>
      <w:r>
        <w:rPr>
          <w:rFonts w:ascii="Times New Roman" w:hAnsi="Times New Roman" w:eastAsia="仿宋_GB2312"/>
          <w:bCs/>
          <w:color w:val="auto"/>
          <w:sz w:val="28"/>
          <w:szCs w:val="28"/>
        </w:rPr>
        <w:t>对于再生水利用几乎为零，除极少数生活污水作为生态灌溉用水外，其余排入河流；城区再生水利用量极低，利用方式较为缺乏。</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hint="eastAsia" w:ascii="Times New Roman" w:hAnsi="Times New Roman" w:eastAsia="仿宋_GB2312"/>
          <w:bCs/>
          <w:color w:val="auto"/>
          <w:sz w:val="28"/>
          <w:szCs w:val="28"/>
          <w:lang w:val="en-US" w:eastAsia="zh-CN"/>
        </w:rPr>
        <w:t>3</w:t>
      </w:r>
      <w:r>
        <w:rPr>
          <w:rFonts w:ascii="Times New Roman" w:hAnsi="Times New Roman" w:eastAsia="仿宋_GB2312"/>
          <w:bCs/>
          <w:color w:val="auto"/>
          <w:sz w:val="28"/>
          <w:szCs w:val="28"/>
        </w:rPr>
        <w:t>、水资源管理体制有待完善</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一是由于水资源分割管理，难以做到对多水源的统一规划、科学调度、合理配置和有效保护，降低了水的利用效率；二是由于城乡节水工作的分割管理，难以建立以水权、水市场理论为支撑的节水机制，难以推进节水型社会建设。</w:t>
      </w:r>
    </w:p>
    <w:p>
      <w:pPr>
        <w:pStyle w:val="33"/>
        <w:spacing w:before="156" w:beforeLines="50" w:after="156" w:afterLines="50" w:line="520" w:lineRule="exact"/>
        <w:jc w:val="center"/>
        <w:rPr>
          <w:rFonts w:hint="eastAsia" w:ascii="Times New Roman" w:hAnsi="Times New Roman"/>
          <w:color w:val="auto"/>
          <w:kern w:val="2"/>
          <w:szCs w:val="32"/>
          <w:lang w:val="en-US" w:eastAsia="zh-CN"/>
        </w:rPr>
      </w:pPr>
      <w:bookmarkStart w:id="60" w:name="_Toc31069"/>
      <w:r>
        <w:rPr>
          <w:rFonts w:hint="eastAsia" w:ascii="Times New Roman" w:hAnsi="Times New Roman"/>
          <w:color w:val="auto"/>
          <w:kern w:val="2"/>
          <w:szCs w:val="32"/>
          <w:lang w:val="en-US" w:eastAsia="zh-CN"/>
        </w:rPr>
        <w:t>第三节 湿地资源保护与利用</w:t>
      </w:r>
      <w:bookmarkEnd w:id="60"/>
    </w:p>
    <w:p>
      <w:pPr>
        <w:snapToGrid w:val="0"/>
        <w:spacing w:line="480" w:lineRule="exact"/>
        <w:ind w:firstLine="562"/>
        <w:rPr>
          <w:rFonts w:hint="default"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一、湿地类型与面积</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hint="eastAsia" w:ascii="Times New Roman" w:hAnsi="Times New Roman" w:eastAsia="仿宋_GB2312"/>
          <w:bCs/>
          <w:color w:val="auto"/>
          <w:sz w:val="28"/>
          <w:szCs w:val="28"/>
          <w:lang w:eastAsia="zh-CN"/>
        </w:rPr>
        <w:t>平富乡</w:t>
      </w:r>
      <w:r>
        <w:rPr>
          <w:rFonts w:ascii="Times New Roman" w:hAnsi="Times New Roman" w:eastAsia="仿宋_GB2312"/>
          <w:bCs/>
          <w:color w:val="auto"/>
          <w:sz w:val="28"/>
          <w:szCs w:val="28"/>
        </w:rPr>
        <w:t>地处</w:t>
      </w:r>
      <w:r>
        <w:rPr>
          <w:rFonts w:hint="eastAsia" w:ascii="Times New Roman" w:hAnsi="Times New Roman" w:eastAsia="仿宋_GB2312"/>
          <w:bCs/>
          <w:color w:val="auto"/>
          <w:sz w:val="28"/>
          <w:szCs w:val="28"/>
          <w:lang w:eastAsia="zh-CN"/>
        </w:rPr>
        <w:t>上犹县</w:t>
      </w:r>
      <w:r>
        <w:rPr>
          <w:rFonts w:hint="eastAsia" w:ascii="Times New Roman" w:hAnsi="Times New Roman" w:eastAsia="仿宋_GB2312"/>
          <w:bCs/>
          <w:color w:val="auto"/>
          <w:sz w:val="28"/>
          <w:szCs w:val="28"/>
          <w:lang w:val="en-US" w:eastAsia="zh-CN"/>
        </w:rPr>
        <w:t>西</w:t>
      </w:r>
      <w:r>
        <w:rPr>
          <w:rFonts w:ascii="Times New Roman" w:hAnsi="Times New Roman" w:eastAsia="仿宋_GB2312"/>
          <w:bCs/>
          <w:color w:val="auto"/>
          <w:sz w:val="28"/>
          <w:szCs w:val="28"/>
        </w:rPr>
        <w:t>部，属于</w:t>
      </w:r>
      <w:r>
        <w:rPr>
          <w:rFonts w:hint="eastAsia" w:ascii="Times New Roman" w:hAnsi="Times New Roman" w:eastAsia="仿宋_GB2312"/>
          <w:bCs/>
          <w:color w:val="auto"/>
          <w:sz w:val="28"/>
          <w:szCs w:val="28"/>
          <w:lang w:val="en-US" w:eastAsia="zh-CN"/>
        </w:rPr>
        <w:t>上犹</w:t>
      </w:r>
      <w:r>
        <w:rPr>
          <w:rFonts w:ascii="Times New Roman" w:hAnsi="Times New Roman" w:eastAsia="仿宋_GB2312"/>
          <w:bCs/>
          <w:color w:val="auto"/>
          <w:sz w:val="28"/>
          <w:szCs w:val="28"/>
        </w:rPr>
        <w:t>江流域。境内河道</w:t>
      </w:r>
      <w:r>
        <w:rPr>
          <w:rFonts w:hint="eastAsia" w:ascii="Times New Roman" w:hAnsi="Times New Roman" w:eastAsia="仿宋_GB2312"/>
          <w:bCs/>
          <w:color w:val="auto"/>
          <w:sz w:val="28"/>
          <w:szCs w:val="28"/>
          <w:lang w:eastAsia="zh-CN"/>
        </w:rPr>
        <w:t>、</w:t>
      </w:r>
      <w:r>
        <w:rPr>
          <w:rFonts w:ascii="Times New Roman" w:hAnsi="Times New Roman" w:eastAsia="仿宋_GB2312"/>
          <w:bCs/>
          <w:color w:val="auto"/>
          <w:sz w:val="28"/>
          <w:szCs w:val="28"/>
        </w:rPr>
        <w:t>坑塘</w:t>
      </w:r>
      <w:r>
        <w:rPr>
          <w:rFonts w:hint="eastAsia" w:ascii="Times New Roman" w:hAnsi="Times New Roman" w:eastAsia="仿宋_GB2312"/>
          <w:bCs/>
          <w:color w:val="auto"/>
          <w:sz w:val="28"/>
          <w:szCs w:val="28"/>
          <w:lang w:val="en-US" w:eastAsia="zh-CN"/>
        </w:rPr>
        <w:t>较</w:t>
      </w:r>
      <w:r>
        <w:rPr>
          <w:rFonts w:ascii="Times New Roman" w:hAnsi="Times New Roman" w:eastAsia="仿宋_GB2312"/>
          <w:bCs/>
          <w:color w:val="auto"/>
          <w:sz w:val="28"/>
          <w:szCs w:val="28"/>
        </w:rPr>
        <w:t>多。根据最新湿地分类方法，湿地包含“河流水面</w:t>
      </w:r>
      <w:r>
        <w:rPr>
          <w:rFonts w:hint="eastAsia" w:ascii="Times New Roman" w:hAnsi="Times New Roman" w:eastAsia="仿宋_GB2312"/>
          <w:bCs/>
          <w:color w:val="auto"/>
          <w:sz w:val="28"/>
          <w:szCs w:val="28"/>
          <w:lang w:eastAsia="zh-CN"/>
        </w:rPr>
        <w:t>”“</w:t>
      </w:r>
      <w:r>
        <w:rPr>
          <w:rFonts w:ascii="Times New Roman" w:hAnsi="Times New Roman" w:eastAsia="仿宋_GB2312"/>
          <w:bCs/>
          <w:color w:val="auto"/>
          <w:sz w:val="28"/>
          <w:szCs w:val="28"/>
        </w:rPr>
        <w:t>坑塘水面”（不含养殖水面）、“沟渠”等</w:t>
      </w:r>
      <w:r>
        <w:rPr>
          <w:rFonts w:hint="eastAsia" w:ascii="Times New Roman" w:hAnsi="Times New Roman" w:eastAsia="仿宋_GB2312"/>
          <w:bCs/>
          <w:color w:val="auto"/>
          <w:sz w:val="28"/>
          <w:szCs w:val="28"/>
          <w:lang w:val="en-US" w:eastAsia="zh-CN"/>
        </w:rPr>
        <w:t>3</w:t>
      </w:r>
      <w:r>
        <w:rPr>
          <w:rFonts w:ascii="Times New Roman" w:hAnsi="Times New Roman" w:eastAsia="仿宋_GB2312"/>
          <w:bCs/>
          <w:color w:val="auto"/>
          <w:sz w:val="28"/>
          <w:szCs w:val="28"/>
        </w:rPr>
        <w:t>个二级地类，统计得到</w:t>
      </w:r>
      <w:r>
        <w:rPr>
          <w:rFonts w:hint="eastAsia" w:ascii="Times New Roman" w:hAnsi="Times New Roman" w:eastAsia="仿宋_GB2312"/>
          <w:bCs/>
          <w:color w:val="auto"/>
          <w:sz w:val="28"/>
          <w:szCs w:val="28"/>
          <w:lang w:val="en-US" w:eastAsia="zh-CN"/>
        </w:rPr>
        <w:t>乡</w:t>
      </w:r>
      <w:r>
        <w:rPr>
          <w:rFonts w:ascii="Times New Roman" w:hAnsi="Times New Roman" w:eastAsia="仿宋_GB2312"/>
          <w:bCs/>
          <w:color w:val="auto"/>
          <w:sz w:val="28"/>
          <w:szCs w:val="28"/>
        </w:rPr>
        <w:t>域湿地面积为</w:t>
      </w:r>
      <w:r>
        <w:rPr>
          <w:rFonts w:hint="eastAsia" w:ascii="Times New Roman" w:hAnsi="Times New Roman" w:eastAsia="仿宋_GB2312"/>
          <w:bCs/>
          <w:color w:val="auto"/>
          <w:sz w:val="28"/>
          <w:szCs w:val="28"/>
          <w:lang w:val="en-US" w:eastAsia="zh-CN"/>
        </w:rPr>
        <w:t>112.62</w:t>
      </w:r>
      <w:r>
        <w:rPr>
          <w:rFonts w:ascii="Times New Roman" w:hAnsi="Times New Roman" w:eastAsia="仿宋_GB2312"/>
          <w:bCs/>
          <w:color w:val="auto"/>
          <w:sz w:val="28"/>
          <w:szCs w:val="28"/>
        </w:rPr>
        <w:t>公顷。</w:t>
      </w:r>
    </w:p>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Times New Roman"/>
          <w:b/>
          <w:color w:val="auto"/>
          <w:kern w:val="2"/>
          <w:sz w:val="21"/>
          <w:szCs w:val="22"/>
          <w:lang w:val="en-US" w:eastAsia="zh-CN" w:bidi="ar-SA"/>
        </w:rPr>
      </w:pPr>
      <w:r>
        <w:rPr>
          <w:rFonts w:hint="eastAsia" w:ascii="Times New Roman" w:hAnsi="Times New Roman" w:eastAsia="仿宋_GB2312" w:cs="Times New Roman"/>
          <w:b/>
          <w:color w:val="auto"/>
          <w:kern w:val="2"/>
          <w:sz w:val="21"/>
          <w:szCs w:val="22"/>
          <w:lang w:val="en-US" w:eastAsia="zh-CN" w:bidi="ar-SA"/>
        </w:rPr>
        <w:t>表9-9 湿地类型及面积表</w:t>
      </w:r>
    </w:p>
    <w:p>
      <w:pPr>
        <w:pStyle w:val="26"/>
        <w:pageBreakBefore w:val="0"/>
        <w:kinsoku/>
        <w:wordWrap/>
        <w:overflowPunct/>
        <w:topLinePunct w:val="0"/>
        <w:bidi w:val="0"/>
        <w:spacing w:line="480" w:lineRule="exact"/>
        <w:ind w:firstLine="482"/>
        <w:jc w:val="right"/>
        <w:rPr>
          <w:rFonts w:hint="default" w:ascii="Times New Roman" w:hAnsi="Times New Roman" w:eastAsia="仿宋_GB2312" w:cs="Times New Roman"/>
          <w:b/>
          <w:color w:val="auto"/>
          <w:sz w:val="24"/>
          <w:szCs w:val="24"/>
        </w:rPr>
      </w:pPr>
      <w:r>
        <w:rPr>
          <w:rFonts w:hint="eastAsia" w:ascii="Times New Roman" w:hAnsi="Times New Roman" w:eastAsia="仿宋_GB2312" w:cs="Times New Roman"/>
          <w:b/>
          <w:color w:val="auto"/>
          <w:kern w:val="2"/>
          <w:sz w:val="21"/>
          <w:szCs w:val="22"/>
          <w:lang w:val="en-US" w:eastAsia="zh-CN" w:bidi="ar-SA"/>
        </w:rPr>
        <w:t>单位：公顷</w:t>
      </w:r>
    </w:p>
    <w:tbl>
      <w:tblPr>
        <w:tblStyle w:val="19"/>
        <w:tblW w:w="4998" w:type="pct"/>
        <w:tblInd w:w="0" w:type="dxa"/>
        <w:tblLayout w:type="autofit"/>
        <w:tblCellMar>
          <w:top w:w="0" w:type="dxa"/>
          <w:left w:w="108" w:type="dxa"/>
          <w:bottom w:w="0" w:type="dxa"/>
          <w:right w:w="108" w:type="dxa"/>
        </w:tblCellMar>
      </w:tblPr>
      <w:tblGrid>
        <w:gridCol w:w="2899"/>
        <w:gridCol w:w="2742"/>
        <w:gridCol w:w="2878"/>
      </w:tblGrid>
      <w:tr>
        <w:tblPrEx>
          <w:tblCellMar>
            <w:top w:w="0" w:type="dxa"/>
            <w:left w:w="108" w:type="dxa"/>
            <w:bottom w:w="0" w:type="dxa"/>
            <w:right w:w="108" w:type="dxa"/>
          </w:tblCellMar>
        </w:tblPrEx>
        <w:trPr>
          <w:trHeight w:val="426" w:hRule="atLeast"/>
          <w:tblHeader/>
        </w:trPr>
        <w:tc>
          <w:tcPr>
            <w:tcW w:w="1701"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auto"/>
                <w:kern w:val="0"/>
                <w:sz w:val="21"/>
                <w:szCs w:val="24"/>
                <w:lang w:val="en-US" w:eastAsia="zh-CN" w:bidi="ar"/>
              </w:rPr>
            </w:pPr>
            <w:r>
              <w:rPr>
                <w:rFonts w:hint="eastAsia" w:ascii="Times New Roman" w:hAnsi="Times New Roman" w:eastAsia="仿宋_GB2312" w:cs="Times New Roman"/>
                <w:b/>
                <w:bCs w:val="0"/>
                <w:color w:val="auto"/>
                <w:kern w:val="0"/>
                <w:sz w:val="21"/>
                <w:szCs w:val="24"/>
                <w:lang w:val="en-US" w:eastAsia="zh-CN" w:bidi="ar"/>
              </w:rPr>
              <w:t>地类名称</w:t>
            </w:r>
          </w:p>
        </w:tc>
        <w:tc>
          <w:tcPr>
            <w:tcW w:w="1609"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auto"/>
                <w:kern w:val="0"/>
                <w:sz w:val="21"/>
                <w:szCs w:val="24"/>
                <w:lang w:val="en-US" w:eastAsia="zh-CN" w:bidi="ar"/>
              </w:rPr>
            </w:pPr>
            <w:r>
              <w:rPr>
                <w:rFonts w:hint="eastAsia" w:ascii="Times New Roman" w:hAnsi="Times New Roman" w:eastAsia="仿宋_GB2312" w:cs="Times New Roman"/>
                <w:b/>
                <w:bCs w:val="0"/>
                <w:color w:val="auto"/>
                <w:kern w:val="0"/>
                <w:sz w:val="21"/>
                <w:szCs w:val="24"/>
                <w:lang w:val="en-US" w:eastAsia="zh-CN" w:bidi="ar"/>
              </w:rPr>
              <w:t>面积</w:t>
            </w:r>
          </w:p>
        </w:tc>
        <w:tc>
          <w:tcPr>
            <w:tcW w:w="1689"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auto"/>
                <w:kern w:val="0"/>
                <w:sz w:val="21"/>
                <w:szCs w:val="24"/>
                <w:lang w:val="en-US" w:eastAsia="zh-CN" w:bidi="ar"/>
              </w:rPr>
            </w:pPr>
            <w:r>
              <w:rPr>
                <w:rFonts w:hint="eastAsia" w:ascii="Times New Roman" w:hAnsi="Times New Roman" w:eastAsia="仿宋_GB2312" w:cs="Times New Roman"/>
                <w:b/>
                <w:bCs w:val="0"/>
                <w:color w:val="auto"/>
                <w:kern w:val="0"/>
                <w:sz w:val="21"/>
                <w:szCs w:val="24"/>
                <w:lang w:val="en-US" w:eastAsia="zh-CN" w:bidi="ar"/>
              </w:rPr>
              <w:t>占比</w:t>
            </w:r>
          </w:p>
        </w:tc>
      </w:tr>
      <w:tr>
        <w:tblPrEx>
          <w:tblCellMar>
            <w:top w:w="0" w:type="dxa"/>
            <w:left w:w="108" w:type="dxa"/>
            <w:bottom w:w="0" w:type="dxa"/>
            <w:right w:w="108" w:type="dxa"/>
          </w:tblCellMar>
        </w:tblPrEx>
        <w:trPr>
          <w:trHeight w:val="426" w:hRule="atLeast"/>
        </w:trPr>
        <w:tc>
          <w:tcPr>
            <w:tcW w:w="1701"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沟渠</w:t>
            </w:r>
          </w:p>
        </w:tc>
        <w:tc>
          <w:tcPr>
            <w:tcW w:w="1609"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default"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21.38</w:t>
            </w:r>
          </w:p>
        </w:tc>
        <w:tc>
          <w:tcPr>
            <w:tcW w:w="2878"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18.99%</w:t>
            </w:r>
          </w:p>
        </w:tc>
      </w:tr>
      <w:tr>
        <w:tblPrEx>
          <w:tblCellMar>
            <w:top w:w="0" w:type="dxa"/>
            <w:left w:w="108" w:type="dxa"/>
            <w:bottom w:w="0" w:type="dxa"/>
            <w:right w:w="108" w:type="dxa"/>
          </w:tblCellMar>
        </w:tblPrEx>
        <w:trPr>
          <w:trHeight w:val="426" w:hRule="atLeast"/>
        </w:trPr>
        <w:tc>
          <w:tcPr>
            <w:tcW w:w="1701"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河流水面</w:t>
            </w:r>
          </w:p>
        </w:tc>
        <w:tc>
          <w:tcPr>
            <w:tcW w:w="1609"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default"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70.90</w:t>
            </w:r>
          </w:p>
        </w:tc>
        <w:tc>
          <w:tcPr>
            <w:tcW w:w="2878"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62.96%</w:t>
            </w:r>
          </w:p>
        </w:tc>
      </w:tr>
      <w:tr>
        <w:tblPrEx>
          <w:tblCellMar>
            <w:top w:w="0" w:type="dxa"/>
            <w:left w:w="108" w:type="dxa"/>
            <w:bottom w:w="0" w:type="dxa"/>
            <w:right w:w="108" w:type="dxa"/>
          </w:tblCellMar>
        </w:tblPrEx>
        <w:trPr>
          <w:trHeight w:val="426" w:hRule="atLeast"/>
        </w:trPr>
        <w:tc>
          <w:tcPr>
            <w:tcW w:w="1701"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坑塘水面</w:t>
            </w:r>
          </w:p>
        </w:tc>
        <w:tc>
          <w:tcPr>
            <w:tcW w:w="1609"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default"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20.33</w:t>
            </w:r>
          </w:p>
        </w:tc>
        <w:tc>
          <w:tcPr>
            <w:tcW w:w="2878"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18.05%</w:t>
            </w:r>
          </w:p>
        </w:tc>
      </w:tr>
      <w:tr>
        <w:tblPrEx>
          <w:tblCellMar>
            <w:top w:w="0" w:type="dxa"/>
            <w:left w:w="108" w:type="dxa"/>
            <w:bottom w:w="0" w:type="dxa"/>
            <w:right w:w="108" w:type="dxa"/>
          </w:tblCellMar>
        </w:tblPrEx>
        <w:trPr>
          <w:trHeight w:val="433" w:hRule="atLeast"/>
        </w:trPr>
        <w:tc>
          <w:tcPr>
            <w:tcW w:w="1701"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合计</w:t>
            </w:r>
          </w:p>
        </w:tc>
        <w:tc>
          <w:tcPr>
            <w:tcW w:w="1609"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default"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112.62</w:t>
            </w:r>
          </w:p>
        </w:tc>
        <w:tc>
          <w:tcPr>
            <w:tcW w:w="2878"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100.00%</w:t>
            </w:r>
          </w:p>
        </w:tc>
      </w:tr>
    </w:tbl>
    <w:p>
      <w:pPr>
        <w:snapToGrid w:val="0"/>
        <w:spacing w:line="480" w:lineRule="exact"/>
        <w:ind w:firstLine="562"/>
        <w:rPr>
          <w:rFonts w:hint="default"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二、湿地分布</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lang w:val="en-US" w:eastAsia="zh-CN"/>
        </w:rPr>
      </w:pPr>
      <w:r>
        <w:rPr>
          <w:rFonts w:ascii="Times New Roman" w:hAnsi="Times New Roman" w:eastAsia="仿宋_GB2312"/>
          <w:bCs/>
          <w:color w:val="auto"/>
          <w:sz w:val="28"/>
          <w:szCs w:val="28"/>
        </w:rPr>
        <w:t xml:space="preserve"> </w:t>
      </w:r>
      <w:r>
        <w:rPr>
          <w:rFonts w:hint="eastAsia" w:ascii="Times New Roman" w:hAnsi="Times New Roman" w:eastAsia="仿宋_GB2312"/>
          <w:bCs/>
          <w:color w:val="auto"/>
          <w:sz w:val="28"/>
          <w:szCs w:val="28"/>
          <w:lang w:val="en-US" w:eastAsia="zh-CN"/>
        </w:rPr>
        <w:t>湿地面积按坐落单位分，上寨村湿地面积28.18公顷，占湿地总面积的</w:t>
      </w:r>
      <w:r>
        <w:rPr>
          <w:rFonts w:hint="default" w:ascii="Times New Roman" w:hAnsi="Times New Roman" w:eastAsia="仿宋_GB2312"/>
          <w:bCs/>
          <w:color w:val="auto"/>
          <w:sz w:val="28"/>
          <w:szCs w:val="28"/>
          <w:lang w:val="en-US" w:eastAsia="zh-CN"/>
        </w:rPr>
        <w:t>25.02%</w:t>
      </w:r>
      <w:r>
        <w:rPr>
          <w:rFonts w:hint="eastAsia" w:ascii="Times New Roman" w:hAnsi="Times New Roman" w:eastAsia="仿宋_GB2312"/>
          <w:bCs/>
          <w:color w:val="auto"/>
          <w:sz w:val="28"/>
          <w:szCs w:val="28"/>
          <w:lang w:val="en-US" w:eastAsia="zh-CN"/>
        </w:rPr>
        <w:t>；向前村湿地面积</w:t>
      </w:r>
      <w:r>
        <w:rPr>
          <w:rFonts w:hint="default" w:ascii="Times New Roman" w:hAnsi="Times New Roman" w:eastAsia="仿宋_GB2312"/>
          <w:bCs/>
          <w:color w:val="auto"/>
          <w:sz w:val="28"/>
          <w:szCs w:val="28"/>
          <w:lang w:val="en-US" w:eastAsia="zh-CN"/>
        </w:rPr>
        <w:t xml:space="preserve">28.03 </w:t>
      </w:r>
      <w:r>
        <w:rPr>
          <w:rFonts w:hint="eastAsia" w:ascii="Times New Roman" w:hAnsi="Times New Roman" w:eastAsia="仿宋_GB2312"/>
          <w:bCs/>
          <w:color w:val="auto"/>
          <w:sz w:val="28"/>
          <w:szCs w:val="28"/>
          <w:lang w:val="en-US" w:eastAsia="zh-CN"/>
        </w:rPr>
        <w:t>公顷，占湿地总面积的</w:t>
      </w:r>
      <w:r>
        <w:rPr>
          <w:rFonts w:hint="default" w:ascii="Times New Roman" w:hAnsi="Times New Roman" w:eastAsia="仿宋_GB2312"/>
          <w:bCs/>
          <w:color w:val="auto"/>
          <w:sz w:val="28"/>
          <w:szCs w:val="28"/>
          <w:lang w:val="en-US" w:eastAsia="zh-CN"/>
        </w:rPr>
        <w:t>24.89%</w:t>
      </w:r>
      <w:r>
        <w:rPr>
          <w:rFonts w:hint="eastAsia" w:ascii="Times New Roman" w:hAnsi="Times New Roman" w:eastAsia="仿宋_GB2312"/>
          <w:bCs/>
          <w:color w:val="auto"/>
          <w:sz w:val="28"/>
          <w:szCs w:val="28"/>
          <w:lang w:val="en-US" w:eastAsia="zh-CN"/>
        </w:rPr>
        <w:t>；平富村湿地面积</w:t>
      </w:r>
      <w:r>
        <w:rPr>
          <w:rFonts w:hint="default" w:ascii="Times New Roman" w:hAnsi="Times New Roman" w:eastAsia="仿宋_GB2312"/>
          <w:bCs/>
          <w:color w:val="auto"/>
          <w:sz w:val="28"/>
          <w:szCs w:val="28"/>
          <w:lang w:val="en-US" w:eastAsia="zh-CN"/>
        </w:rPr>
        <w:t>17.16</w:t>
      </w:r>
      <w:r>
        <w:rPr>
          <w:rFonts w:hint="eastAsia" w:ascii="Times New Roman" w:hAnsi="Times New Roman" w:eastAsia="仿宋_GB2312"/>
          <w:bCs/>
          <w:color w:val="auto"/>
          <w:sz w:val="28"/>
          <w:szCs w:val="28"/>
          <w:lang w:val="en-US" w:eastAsia="zh-CN"/>
        </w:rPr>
        <w:t>公顷，占湿地总面积的</w:t>
      </w:r>
      <w:r>
        <w:rPr>
          <w:rFonts w:hint="default" w:ascii="Times New Roman" w:hAnsi="Times New Roman" w:eastAsia="仿宋_GB2312"/>
          <w:bCs/>
          <w:color w:val="auto"/>
          <w:sz w:val="28"/>
          <w:szCs w:val="28"/>
          <w:lang w:val="en-US" w:eastAsia="zh-CN"/>
        </w:rPr>
        <w:t>15.23%</w:t>
      </w:r>
      <w:r>
        <w:rPr>
          <w:rFonts w:hint="eastAsia" w:ascii="Times New Roman" w:hAnsi="Times New Roman" w:eastAsia="仿宋_GB2312"/>
          <w:bCs/>
          <w:color w:val="auto"/>
          <w:sz w:val="28"/>
          <w:szCs w:val="28"/>
          <w:lang w:val="en-US" w:eastAsia="zh-CN"/>
        </w:rPr>
        <w:t>，是湿地面积最多的几个村，具体情况详见表9-10。</w:t>
      </w:r>
    </w:p>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Times New Roman"/>
          <w:b/>
          <w:color w:val="auto"/>
          <w:kern w:val="2"/>
          <w:sz w:val="21"/>
          <w:szCs w:val="22"/>
          <w:lang w:val="en-US" w:eastAsia="zh-CN" w:bidi="ar-SA"/>
        </w:rPr>
      </w:pPr>
      <w:r>
        <w:rPr>
          <w:rFonts w:hint="eastAsia" w:ascii="Times New Roman" w:hAnsi="Times New Roman" w:eastAsia="仿宋_GB2312" w:cs="Times New Roman"/>
          <w:b/>
          <w:color w:val="auto"/>
          <w:kern w:val="2"/>
          <w:sz w:val="21"/>
          <w:szCs w:val="22"/>
          <w:lang w:val="en-US" w:eastAsia="zh-CN" w:bidi="ar-SA"/>
        </w:rPr>
        <w:t>表9-10 湿地分布情况表</w:t>
      </w:r>
    </w:p>
    <w:tbl>
      <w:tblPr>
        <w:tblStyle w:val="19"/>
        <w:tblW w:w="4998" w:type="pct"/>
        <w:tblInd w:w="0" w:type="dxa"/>
        <w:tblLayout w:type="autofit"/>
        <w:tblCellMar>
          <w:top w:w="0" w:type="dxa"/>
          <w:left w:w="108" w:type="dxa"/>
          <w:bottom w:w="0" w:type="dxa"/>
          <w:right w:w="108" w:type="dxa"/>
        </w:tblCellMar>
      </w:tblPr>
      <w:tblGrid>
        <w:gridCol w:w="4754"/>
        <w:gridCol w:w="1837"/>
        <w:gridCol w:w="1928"/>
      </w:tblGrid>
      <w:tr>
        <w:tblPrEx>
          <w:tblCellMar>
            <w:top w:w="0" w:type="dxa"/>
            <w:left w:w="108" w:type="dxa"/>
            <w:bottom w:w="0" w:type="dxa"/>
            <w:right w:w="108" w:type="dxa"/>
          </w:tblCellMar>
        </w:tblPrEx>
        <w:trPr>
          <w:trHeight w:val="285" w:hRule="atLeast"/>
          <w:tblHeader/>
        </w:trPr>
        <w:tc>
          <w:tcPr>
            <w:tcW w:w="2790"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auto"/>
                <w:kern w:val="0"/>
                <w:sz w:val="21"/>
                <w:szCs w:val="24"/>
                <w:lang w:val="en-US" w:eastAsia="zh-CN" w:bidi="ar"/>
              </w:rPr>
            </w:pPr>
            <w:r>
              <w:rPr>
                <w:rFonts w:hint="eastAsia" w:ascii="Times New Roman" w:hAnsi="Times New Roman" w:eastAsia="仿宋_GB2312" w:cs="Times New Roman"/>
                <w:b/>
                <w:bCs w:val="0"/>
                <w:color w:val="auto"/>
                <w:kern w:val="0"/>
                <w:sz w:val="21"/>
                <w:szCs w:val="24"/>
                <w:lang w:val="en-US" w:eastAsia="zh-CN" w:bidi="ar"/>
              </w:rPr>
              <w:t>行政区名称</w:t>
            </w:r>
          </w:p>
        </w:tc>
        <w:tc>
          <w:tcPr>
            <w:tcW w:w="1078"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auto"/>
                <w:kern w:val="0"/>
                <w:sz w:val="21"/>
                <w:szCs w:val="24"/>
                <w:lang w:val="en-US" w:eastAsia="zh-CN" w:bidi="ar"/>
              </w:rPr>
            </w:pPr>
            <w:r>
              <w:rPr>
                <w:rFonts w:hint="eastAsia" w:ascii="Times New Roman" w:hAnsi="Times New Roman" w:eastAsia="仿宋_GB2312" w:cs="Times New Roman"/>
                <w:b/>
                <w:bCs w:val="0"/>
                <w:color w:val="auto"/>
                <w:kern w:val="0"/>
                <w:sz w:val="21"/>
                <w:szCs w:val="24"/>
                <w:lang w:val="en-US" w:eastAsia="zh-CN" w:bidi="ar"/>
              </w:rPr>
              <w:t>面积</w:t>
            </w:r>
          </w:p>
        </w:tc>
        <w:tc>
          <w:tcPr>
            <w:tcW w:w="1131" w:type="pct"/>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auto"/>
                <w:kern w:val="0"/>
                <w:sz w:val="21"/>
                <w:szCs w:val="24"/>
                <w:lang w:val="en-US" w:eastAsia="zh-CN" w:bidi="ar"/>
              </w:rPr>
            </w:pPr>
            <w:r>
              <w:rPr>
                <w:rFonts w:hint="eastAsia" w:ascii="Times New Roman" w:hAnsi="Times New Roman" w:eastAsia="仿宋_GB2312" w:cs="Times New Roman"/>
                <w:b/>
                <w:bCs w:val="0"/>
                <w:color w:val="auto"/>
                <w:kern w:val="0"/>
                <w:sz w:val="21"/>
                <w:szCs w:val="24"/>
                <w:lang w:val="en-US" w:eastAsia="zh-CN" w:bidi="ar"/>
              </w:rPr>
              <w:t>占比</w:t>
            </w:r>
          </w:p>
        </w:tc>
      </w:tr>
      <w:tr>
        <w:tblPrEx>
          <w:tblCellMar>
            <w:top w:w="0" w:type="dxa"/>
            <w:left w:w="108" w:type="dxa"/>
            <w:bottom w:w="0" w:type="dxa"/>
            <w:right w:w="108" w:type="dxa"/>
          </w:tblCellMar>
        </w:tblPrEx>
        <w:trPr>
          <w:trHeight w:val="285" w:hRule="atLeast"/>
        </w:trPr>
        <w:tc>
          <w:tcPr>
            <w:tcW w:w="2790" w:type="pct"/>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eastAsia" w:ascii="仿宋_GB2312" w:hAnsi="Arial" w:eastAsia="仿宋_GB2312" w:cs="仿宋_GB2312"/>
                <w:i w:val="0"/>
                <w:iCs w:val="0"/>
                <w:color w:val="000000"/>
                <w:kern w:val="0"/>
                <w:sz w:val="21"/>
                <w:szCs w:val="21"/>
                <w:u w:val="none"/>
                <w:lang w:val="en-US" w:eastAsia="zh-CN" w:bidi="ar"/>
              </w:rPr>
              <w:t>大潭村</w:t>
            </w:r>
          </w:p>
        </w:tc>
        <w:tc>
          <w:tcPr>
            <w:tcW w:w="1837"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ind w:firstLine="420" w:firstLineChars="200"/>
              <w:jc w:val="center"/>
              <w:textAlignment w:val="bottom"/>
              <w:rPr>
                <w:rFonts w:hint="eastAsia" w:ascii="仿宋_GB2312" w:hAnsi="Arial" w:eastAsia="仿宋_GB2312" w:cs="仿宋_GB2312"/>
                <w:i w:val="0"/>
                <w:iCs w:val="0"/>
                <w:color w:val="000000"/>
                <w:kern w:val="0"/>
                <w:sz w:val="21"/>
                <w:szCs w:val="21"/>
                <w:u w:val="none"/>
                <w:lang w:val="en-US" w:eastAsia="zh-CN" w:bidi="ar"/>
              </w:rPr>
            </w:pPr>
            <w:r>
              <w:rPr>
                <w:rFonts w:hint="default" w:ascii="仿宋_GB2312" w:hAnsi="Arial" w:eastAsia="仿宋_GB2312" w:cs="仿宋_GB2312"/>
                <w:i w:val="0"/>
                <w:iCs w:val="0"/>
                <w:color w:val="000000"/>
                <w:kern w:val="0"/>
                <w:sz w:val="21"/>
                <w:szCs w:val="21"/>
                <w:u w:val="none"/>
                <w:lang w:val="en-US" w:eastAsia="zh-CN" w:bidi="ar"/>
              </w:rPr>
              <w:t xml:space="preserve">5.64 </w:t>
            </w:r>
          </w:p>
        </w:tc>
        <w:tc>
          <w:tcPr>
            <w:tcW w:w="1928"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ind w:firstLine="420" w:firstLineChars="200"/>
              <w:jc w:val="center"/>
              <w:textAlignment w:val="bottom"/>
              <w:rPr>
                <w:rFonts w:hint="eastAsia" w:ascii="仿宋_GB2312" w:hAnsi="Arial" w:eastAsia="仿宋_GB2312" w:cs="仿宋_GB2312"/>
                <w:i w:val="0"/>
                <w:iCs w:val="0"/>
                <w:color w:val="000000"/>
                <w:kern w:val="0"/>
                <w:sz w:val="21"/>
                <w:szCs w:val="21"/>
                <w:u w:val="none"/>
                <w:lang w:val="en-US" w:eastAsia="zh-CN" w:bidi="ar"/>
              </w:rPr>
            </w:pPr>
            <w:r>
              <w:rPr>
                <w:rFonts w:hint="default" w:ascii="仿宋_GB2312" w:hAnsi="Arial" w:eastAsia="仿宋_GB2312" w:cs="仿宋_GB2312"/>
                <w:i w:val="0"/>
                <w:iCs w:val="0"/>
                <w:color w:val="000000"/>
                <w:kern w:val="0"/>
                <w:sz w:val="21"/>
                <w:szCs w:val="21"/>
                <w:u w:val="none"/>
                <w:lang w:val="en-US" w:eastAsia="zh-CN" w:bidi="ar"/>
              </w:rPr>
              <w:t>5.01%</w:t>
            </w:r>
          </w:p>
        </w:tc>
      </w:tr>
      <w:tr>
        <w:tblPrEx>
          <w:tblCellMar>
            <w:top w:w="0" w:type="dxa"/>
            <w:left w:w="108" w:type="dxa"/>
            <w:bottom w:w="0" w:type="dxa"/>
            <w:right w:w="108" w:type="dxa"/>
          </w:tblCellMar>
        </w:tblPrEx>
        <w:trPr>
          <w:trHeight w:val="285" w:hRule="atLeast"/>
        </w:trPr>
        <w:tc>
          <w:tcPr>
            <w:tcW w:w="2790" w:type="pct"/>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eastAsia" w:ascii="仿宋_GB2312" w:hAnsi="Arial" w:eastAsia="仿宋_GB2312" w:cs="仿宋_GB2312"/>
                <w:i w:val="0"/>
                <w:iCs w:val="0"/>
                <w:color w:val="000000"/>
                <w:kern w:val="0"/>
                <w:sz w:val="21"/>
                <w:szCs w:val="21"/>
                <w:u w:val="none"/>
                <w:lang w:val="en-US" w:eastAsia="zh-CN" w:bidi="ar"/>
              </w:rPr>
              <w:t>横坑村</w:t>
            </w:r>
          </w:p>
        </w:tc>
        <w:tc>
          <w:tcPr>
            <w:tcW w:w="1837"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ind w:firstLine="420" w:firstLineChars="200"/>
              <w:jc w:val="center"/>
              <w:textAlignment w:val="bottom"/>
              <w:rPr>
                <w:rFonts w:hint="eastAsia" w:ascii="仿宋_GB2312" w:hAnsi="Arial" w:eastAsia="仿宋_GB2312" w:cs="仿宋_GB2312"/>
                <w:i w:val="0"/>
                <w:iCs w:val="0"/>
                <w:color w:val="000000"/>
                <w:kern w:val="0"/>
                <w:sz w:val="21"/>
                <w:szCs w:val="21"/>
                <w:u w:val="none"/>
                <w:lang w:val="en-US" w:eastAsia="zh-CN" w:bidi="ar"/>
              </w:rPr>
            </w:pPr>
            <w:r>
              <w:rPr>
                <w:rFonts w:hint="default" w:ascii="仿宋_GB2312" w:hAnsi="Arial" w:eastAsia="仿宋_GB2312" w:cs="仿宋_GB2312"/>
                <w:i w:val="0"/>
                <w:iCs w:val="0"/>
                <w:color w:val="000000"/>
                <w:kern w:val="0"/>
                <w:sz w:val="21"/>
                <w:szCs w:val="21"/>
                <w:u w:val="none"/>
                <w:lang w:val="en-US" w:eastAsia="zh-CN" w:bidi="ar"/>
              </w:rPr>
              <w:t xml:space="preserve">3.28 </w:t>
            </w:r>
          </w:p>
        </w:tc>
        <w:tc>
          <w:tcPr>
            <w:tcW w:w="1928"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ind w:firstLine="420" w:firstLineChars="200"/>
              <w:jc w:val="center"/>
              <w:textAlignment w:val="bottom"/>
              <w:rPr>
                <w:rFonts w:hint="eastAsia" w:ascii="仿宋_GB2312" w:hAnsi="Arial" w:eastAsia="仿宋_GB2312" w:cs="仿宋_GB2312"/>
                <w:i w:val="0"/>
                <w:iCs w:val="0"/>
                <w:color w:val="000000"/>
                <w:kern w:val="0"/>
                <w:sz w:val="21"/>
                <w:szCs w:val="21"/>
                <w:u w:val="none"/>
                <w:lang w:val="en-US" w:eastAsia="zh-CN" w:bidi="ar"/>
              </w:rPr>
            </w:pPr>
            <w:r>
              <w:rPr>
                <w:rFonts w:hint="default" w:ascii="仿宋_GB2312" w:hAnsi="Arial" w:eastAsia="仿宋_GB2312" w:cs="仿宋_GB2312"/>
                <w:i w:val="0"/>
                <w:iCs w:val="0"/>
                <w:color w:val="000000"/>
                <w:kern w:val="0"/>
                <w:sz w:val="21"/>
                <w:szCs w:val="21"/>
                <w:u w:val="none"/>
                <w:lang w:val="en-US" w:eastAsia="zh-CN" w:bidi="ar"/>
              </w:rPr>
              <w:t>2.91%</w:t>
            </w:r>
          </w:p>
        </w:tc>
      </w:tr>
      <w:tr>
        <w:tblPrEx>
          <w:tblCellMar>
            <w:top w:w="0" w:type="dxa"/>
            <w:left w:w="108" w:type="dxa"/>
            <w:bottom w:w="0" w:type="dxa"/>
            <w:right w:w="108" w:type="dxa"/>
          </w:tblCellMar>
        </w:tblPrEx>
        <w:trPr>
          <w:trHeight w:val="285" w:hRule="atLeast"/>
        </w:trPr>
        <w:tc>
          <w:tcPr>
            <w:tcW w:w="2790" w:type="pct"/>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eastAsia" w:ascii="仿宋_GB2312" w:hAnsi="Arial" w:eastAsia="仿宋_GB2312" w:cs="仿宋_GB2312"/>
                <w:i w:val="0"/>
                <w:iCs w:val="0"/>
                <w:color w:val="000000"/>
                <w:kern w:val="0"/>
                <w:sz w:val="21"/>
                <w:szCs w:val="21"/>
                <w:u w:val="none"/>
                <w:lang w:val="en-US" w:eastAsia="zh-CN" w:bidi="ar"/>
              </w:rPr>
              <w:t>平富村</w:t>
            </w:r>
          </w:p>
        </w:tc>
        <w:tc>
          <w:tcPr>
            <w:tcW w:w="1837"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ind w:firstLine="420" w:firstLineChars="200"/>
              <w:jc w:val="center"/>
              <w:textAlignment w:val="bottom"/>
              <w:rPr>
                <w:rFonts w:hint="eastAsia" w:ascii="仿宋_GB2312" w:hAnsi="Arial" w:eastAsia="仿宋_GB2312" w:cs="仿宋_GB2312"/>
                <w:i w:val="0"/>
                <w:iCs w:val="0"/>
                <w:color w:val="000000"/>
                <w:kern w:val="0"/>
                <w:sz w:val="21"/>
                <w:szCs w:val="21"/>
                <w:u w:val="none"/>
                <w:lang w:val="en-US" w:eastAsia="zh-CN" w:bidi="ar"/>
              </w:rPr>
            </w:pPr>
            <w:r>
              <w:rPr>
                <w:rFonts w:hint="default" w:ascii="仿宋_GB2312" w:hAnsi="Arial" w:eastAsia="仿宋_GB2312" w:cs="仿宋_GB2312"/>
                <w:i w:val="0"/>
                <w:iCs w:val="0"/>
                <w:color w:val="000000"/>
                <w:kern w:val="0"/>
                <w:sz w:val="21"/>
                <w:szCs w:val="21"/>
                <w:u w:val="none"/>
                <w:lang w:val="en-US" w:eastAsia="zh-CN" w:bidi="ar"/>
              </w:rPr>
              <w:t xml:space="preserve">17.16 </w:t>
            </w:r>
          </w:p>
        </w:tc>
        <w:tc>
          <w:tcPr>
            <w:tcW w:w="1928"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ind w:firstLine="420" w:firstLineChars="200"/>
              <w:jc w:val="center"/>
              <w:textAlignment w:val="bottom"/>
              <w:rPr>
                <w:rFonts w:hint="eastAsia" w:ascii="仿宋_GB2312" w:hAnsi="Arial" w:eastAsia="仿宋_GB2312" w:cs="仿宋_GB2312"/>
                <w:i w:val="0"/>
                <w:iCs w:val="0"/>
                <w:color w:val="000000"/>
                <w:kern w:val="0"/>
                <w:sz w:val="21"/>
                <w:szCs w:val="21"/>
                <w:u w:val="none"/>
                <w:lang w:val="en-US" w:eastAsia="zh-CN" w:bidi="ar"/>
              </w:rPr>
            </w:pPr>
            <w:r>
              <w:rPr>
                <w:rFonts w:hint="default" w:ascii="仿宋_GB2312" w:hAnsi="Arial" w:eastAsia="仿宋_GB2312" w:cs="仿宋_GB2312"/>
                <w:i w:val="0"/>
                <w:iCs w:val="0"/>
                <w:color w:val="000000"/>
                <w:kern w:val="0"/>
                <w:sz w:val="21"/>
                <w:szCs w:val="21"/>
                <w:u w:val="none"/>
                <w:lang w:val="en-US" w:eastAsia="zh-CN" w:bidi="ar"/>
              </w:rPr>
              <w:t>15.23%</w:t>
            </w:r>
          </w:p>
        </w:tc>
      </w:tr>
      <w:tr>
        <w:tblPrEx>
          <w:tblCellMar>
            <w:top w:w="0" w:type="dxa"/>
            <w:left w:w="108" w:type="dxa"/>
            <w:bottom w:w="0" w:type="dxa"/>
            <w:right w:w="108" w:type="dxa"/>
          </w:tblCellMar>
        </w:tblPrEx>
        <w:trPr>
          <w:trHeight w:val="285" w:hRule="atLeast"/>
        </w:trPr>
        <w:tc>
          <w:tcPr>
            <w:tcW w:w="2790" w:type="pct"/>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eastAsia" w:ascii="仿宋_GB2312" w:hAnsi="Arial" w:eastAsia="仿宋_GB2312" w:cs="仿宋_GB2312"/>
                <w:i w:val="0"/>
                <w:iCs w:val="0"/>
                <w:color w:val="000000"/>
                <w:kern w:val="0"/>
                <w:sz w:val="21"/>
                <w:szCs w:val="21"/>
                <w:u w:val="none"/>
                <w:lang w:val="en-US" w:eastAsia="zh-CN" w:bidi="ar"/>
              </w:rPr>
              <w:t>上寨村</w:t>
            </w:r>
          </w:p>
        </w:tc>
        <w:tc>
          <w:tcPr>
            <w:tcW w:w="1837"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ind w:firstLine="420" w:firstLineChars="200"/>
              <w:jc w:val="center"/>
              <w:textAlignment w:val="bottom"/>
              <w:rPr>
                <w:rFonts w:hint="eastAsia" w:ascii="仿宋_GB2312" w:hAnsi="Arial" w:eastAsia="仿宋_GB2312" w:cs="仿宋_GB2312"/>
                <w:i w:val="0"/>
                <w:iCs w:val="0"/>
                <w:color w:val="000000"/>
                <w:kern w:val="0"/>
                <w:sz w:val="21"/>
                <w:szCs w:val="21"/>
                <w:u w:val="none"/>
                <w:lang w:val="en-US" w:eastAsia="zh-CN" w:bidi="ar"/>
              </w:rPr>
            </w:pPr>
            <w:r>
              <w:rPr>
                <w:rFonts w:hint="default" w:ascii="仿宋_GB2312" w:hAnsi="Arial" w:eastAsia="仿宋_GB2312" w:cs="仿宋_GB2312"/>
                <w:i w:val="0"/>
                <w:iCs w:val="0"/>
                <w:color w:val="000000"/>
                <w:kern w:val="0"/>
                <w:sz w:val="21"/>
                <w:szCs w:val="21"/>
                <w:u w:val="none"/>
                <w:lang w:val="en-US" w:eastAsia="zh-CN" w:bidi="ar"/>
              </w:rPr>
              <w:t xml:space="preserve">28.18 </w:t>
            </w:r>
          </w:p>
        </w:tc>
        <w:tc>
          <w:tcPr>
            <w:tcW w:w="1928"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ind w:firstLine="420" w:firstLineChars="200"/>
              <w:jc w:val="center"/>
              <w:textAlignment w:val="bottom"/>
              <w:rPr>
                <w:rFonts w:hint="eastAsia" w:ascii="仿宋_GB2312" w:hAnsi="Arial" w:eastAsia="仿宋_GB2312" w:cs="仿宋_GB2312"/>
                <w:i w:val="0"/>
                <w:iCs w:val="0"/>
                <w:color w:val="000000"/>
                <w:kern w:val="0"/>
                <w:sz w:val="21"/>
                <w:szCs w:val="21"/>
                <w:u w:val="none"/>
                <w:lang w:val="en-US" w:eastAsia="zh-CN" w:bidi="ar"/>
              </w:rPr>
            </w:pPr>
            <w:r>
              <w:rPr>
                <w:rFonts w:hint="default" w:ascii="仿宋_GB2312" w:hAnsi="Arial" w:eastAsia="仿宋_GB2312" w:cs="仿宋_GB2312"/>
                <w:i w:val="0"/>
                <w:iCs w:val="0"/>
                <w:color w:val="000000"/>
                <w:kern w:val="0"/>
                <w:sz w:val="21"/>
                <w:szCs w:val="21"/>
                <w:u w:val="none"/>
                <w:lang w:val="en-US" w:eastAsia="zh-CN" w:bidi="ar"/>
              </w:rPr>
              <w:t>25.02%</w:t>
            </w:r>
          </w:p>
        </w:tc>
      </w:tr>
      <w:tr>
        <w:tblPrEx>
          <w:tblCellMar>
            <w:top w:w="0" w:type="dxa"/>
            <w:left w:w="108" w:type="dxa"/>
            <w:bottom w:w="0" w:type="dxa"/>
            <w:right w:w="108" w:type="dxa"/>
          </w:tblCellMar>
        </w:tblPrEx>
        <w:trPr>
          <w:trHeight w:val="285" w:hRule="atLeast"/>
        </w:trPr>
        <w:tc>
          <w:tcPr>
            <w:tcW w:w="2790" w:type="pct"/>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eastAsia" w:ascii="仿宋_GB2312" w:hAnsi="Arial" w:eastAsia="仿宋_GB2312" w:cs="仿宋_GB2312"/>
                <w:i w:val="0"/>
                <w:iCs w:val="0"/>
                <w:color w:val="000000"/>
                <w:kern w:val="0"/>
                <w:sz w:val="21"/>
                <w:szCs w:val="21"/>
                <w:u w:val="none"/>
                <w:lang w:val="en-US" w:eastAsia="zh-CN" w:bidi="ar"/>
              </w:rPr>
              <w:t>向前村</w:t>
            </w:r>
          </w:p>
        </w:tc>
        <w:tc>
          <w:tcPr>
            <w:tcW w:w="1837"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ind w:firstLine="420" w:firstLineChars="200"/>
              <w:jc w:val="center"/>
              <w:textAlignment w:val="bottom"/>
              <w:rPr>
                <w:rFonts w:hint="eastAsia" w:ascii="仿宋_GB2312" w:hAnsi="Arial" w:eastAsia="仿宋_GB2312" w:cs="仿宋_GB2312"/>
                <w:i w:val="0"/>
                <w:iCs w:val="0"/>
                <w:color w:val="000000"/>
                <w:kern w:val="0"/>
                <w:sz w:val="21"/>
                <w:szCs w:val="21"/>
                <w:u w:val="none"/>
                <w:lang w:val="en-US" w:eastAsia="zh-CN" w:bidi="ar"/>
              </w:rPr>
            </w:pPr>
            <w:r>
              <w:rPr>
                <w:rFonts w:hint="default" w:ascii="仿宋_GB2312" w:hAnsi="Arial" w:eastAsia="仿宋_GB2312" w:cs="仿宋_GB2312"/>
                <w:i w:val="0"/>
                <w:iCs w:val="0"/>
                <w:color w:val="000000"/>
                <w:kern w:val="0"/>
                <w:sz w:val="21"/>
                <w:szCs w:val="21"/>
                <w:u w:val="none"/>
                <w:lang w:val="en-US" w:eastAsia="zh-CN" w:bidi="ar"/>
              </w:rPr>
              <w:t xml:space="preserve">28.03 </w:t>
            </w:r>
          </w:p>
        </w:tc>
        <w:tc>
          <w:tcPr>
            <w:tcW w:w="1928"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ind w:firstLine="420" w:firstLineChars="200"/>
              <w:jc w:val="center"/>
              <w:textAlignment w:val="bottom"/>
              <w:rPr>
                <w:rFonts w:hint="eastAsia" w:ascii="仿宋_GB2312" w:hAnsi="Arial" w:eastAsia="仿宋_GB2312" w:cs="仿宋_GB2312"/>
                <w:i w:val="0"/>
                <w:iCs w:val="0"/>
                <w:color w:val="000000"/>
                <w:kern w:val="0"/>
                <w:sz w:val="21"/>
                <w:szCs w:val="21"/>
                <w:u w:val="none"/>
                <w:lang w:val="en-US" w:eastAsia="zh-CN" w:bidi="ar"/>
              </w:rPr>
            </w:pPr>
            <w:r>
              <w:rPr>
                <w:rFonts w:hint="default" w:ascii="仿宋_GB2312" w:hAnsi="Arial" w:eastAsia="仿宋_GB2312" w:cs="仿宋_GB2312"/>
                <w:i w:val="0"/>
                <w:iCs w:val="0"/>
                <w:color w:val="000000"/>
                <w:kern w:val="0"/>
                <w:sz w:val="21"/>
                <w:szCs w:val="21"/>
                <w:u w:val="none"/>
                <w:lang w:val="en-US" w:eastAsia="zh-CN" w:bidi="ar"/>
              </w:rPr>
              <w:t>24.89%</w:t>
            </w:r>
          </w:p>
        </w:tc>
      </w:tr>
      <w:tr>
        <w:tblPrEx>
          <w:tblCellMar>
            <w:top w:w="0" w:type="dxa"/>
            <w:left w:w="108" w:type="dxa"/>
            <w:bottom w:w="0" w:type="dxa"/>
            <w:right w:w="108" w:type="dxa"/>
          </w:tblCellMar>
        </w:tblPrEx>
        <w:trPr>
          <w:trHeight w:val="285" w:hRule="atLeast"/>
        </w:trPr>
        <w:tc>
          <w:tcPr>
            <w:tcW w:w="2790" w:type="pct"/>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eastAsia" w:ascii="仿宋_GB2312" w:hAnsi="Arial" w:eastAsia="仿宋_GB2312" w:cs="仿宋_GB2312"/>
                <w:i w:val="0"/>
                <w:iCs w:val="0"/>
                <w:color w:val="000000"/>
                <w:kern w:val="0"/>
                <w:sz w:val="21"/>
                <w:szCs w:val="21"/>
                <w:u w:val="none"/>
                <w:lang w:val="en-US" w:eastAsia="zh-CN" w:bidi="ar"/>
              </w:rPr>
              <w:t>信地村</w:t>
            </w:r>
          </w:p>
        </w:tc>
        <w:tc>
          <w:tcPr>
            <w:tcW w:w="1837"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ind w:firstLine="420" w:firstLineChars="200"/>
              <w:jc w:val="center"/>
              <w:textAlignment w:val="bottom"/>
              <w:rPr>
                <w:rFonts w:hint="eastAsia" w:ascii="仿宋_GB2312" w:hAnsi="Arial" w:eastAsia="仿宋_GB2312" w:cs="仿宋_GB2312"/>
                <w:i w:val="0"/>
                <w:iCs w:val="0"/>
                <w:color w:val="000000"/>
                <w:kern w:val="0"/>
                <w:sz w:val="21"/>
                <w:szCs w:val="21"/>
                <w:u w:val="none"/>
                <w:lang w:val="en-US" w:eastAsia="zh-CN" w:bidi="ar"/>
              </w:rPr>
            </w:pPr>
            <w:r>
              <w:rPr>
                <w:rFonts w:hint="default" w:ascii="仿宋_GB2312" w:hAnsi="Arial" w:eastAsia="仿宋_GB2312" w:cs="仿宋_GB2312"/>
                <w:i w:val="0"/>
                <w:iCs w:val="0"/>
                <w:color w:val="000000"/>
                <w:kern w:val="0"/>
                <w:sz w:val="21"/>
                <w:szCs w:val="21"/>
                <w:u w:val="none"/>
                <w:lang w:val="en-US" w:eastAsia="zh-CN" w:bidi="ar"/>
              </w:rPr>
              <w:t xml:space="preserve">12.88 </w:t>
            </w:r>
          </w:p>
        </w:tc>
        <w:tc>
          <w:tcPr>
            <w:tcW w:w="1928"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ind w:firstLine="420" w:firstLineChars="200"/>
              <w:jc w:val="center"/>
              <w:textAlignment w:val="bottom"/>
              <w:rPr>
                <w:rFonts w:hint="eastAsia" w:ascii="仿宋_GB2312" w:hAnsi="Arial" w:eastAsia="仿宋_GB2312" w:cs="仿宋_GB2312"/>
                <w:i w:val="0"/>
                <w:iCs w:val="0"/>
                <w:color w:val="000000"/>
                <w:kern w:val="0"/>
                <w:sz w:val="21"/>
                <w:szCs w:val="21"/>
                <w:u w:val="none"/>
                <w:lang w:val="en-US" w:eastAsia="zh-CN" w:bidi="ar"/>
              </w:rPr>
            </w:pPr>
            <w:r>
              <w:rPr>
                <w:rFonts w:hint="default" w:ascii="仿宋_GB2312" w:hAnsi="Arial" w:eastAsia="仿宋_GB2312" w:cs="仿宋_GB2312"/>
                <w:i w:val="0"/>
                <w:iCs w:val="0"/>
                <w:color w:val="000000"/>
                <w:kern w:val="0"/>
                <w:sz w:val="21"/>
                <w:szCs w:val="21"/>
                <w:u w:val="none"/>
                <w:lang w:val="en-US" w:eastAsia="zh-CN" w:bidi="ar"/>
              </w:rPr>
              <w:t>11.43%</w:t>
            </w:r>
          </w:p>
        </w:tc>
      </w:tr>
      <w:tr>
        <w:tblPrEx>
          <w:tblCellMar>
            <w:top w:w="0" w:type="dxa"/>
            <w:left w:w="108" w:type="dxa"/>
            <w:bottom w:w="0" w:type="dxa"/>
            <w:right w:w="108" w:type="dxa"/>
          </w:tblCellMar>
        </w:tblPrEx>
        <w:trPr>
          <w:trHeight w:val="285" w:hRule="atLeast"/>
        </w:trPr>
        <w:tc>
          <w:tcPr>
            <w:tcW w:w="2790" w:type="pct"/>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eastAsia" w:ascii="仿宋_GB2312" w:hAnsi="Arial" w:eastAsia="仿宋_GB2312" w:cs="仿宋_GB2312"/>
                <w:i w:val="0"/>
                <w:iCs w:val="0"/>
                <w:color w:val="000000"/>
                <w:kern w:val="0"/>
                <w:sz w:val="21"/>
                <w:szCs w:val="21"/>
                <w:u w:val="none"/>
                <w:lang w:val="en-US" w:eastAsia="zh-CN" w:bidi="ar"/>
              </w:rPr>
              <w:t>庄坑村</w:t>
            </w:r>
          </w:p>
        </w:tc>
        <w:tc>
          <w:tcPr>
            <w:tcW w:w="1837"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ind w:firstLine="420" w:firstLineChars="200"/>
              <w:jc w:val="center"/>
              <w:textAlignment w:val="bottom"/>
              <w:rPr>
                <w:rFonts w:hint="eastAsia" w:ascii="仿宋_GB2312" w:hAnsi="Arial" w:eastAsia="仿宋_GB2312" w:cs="仿宋_GB2312"/>
                <w:i w:val="0"/>
                <w:iCs w:val="0"/>
                <w:color w:val="000000"/>
                <w:kern w:val="0"/>
                <w:sz w:val="21"/>
                <w:szCs w:val="21"/>
                <w:u w:val="none"/>
                <w:lang w:val="en-US" w:eastAsia="zh-CN" w:bidi="ar"/>
              </w:rPr>
            </w:pPr>
            <w:r>
              <w:rPr>
                <w:rFonts w:hint="default" w:ascii="仿宋_GB2312" w:hAnsi="Arial" w:eastAsia="仿宋_GB2312" w:cs="仿宋_GB2312"/>
                <w:i w:val="0"/>
                <w:iCs w:val="0"/>
                <w:color w:val="000000"/>
                <w:kern w:val="0"/>
                <w:sz w:val="21"/>
                <w:szCs w:val="21"/>
                <w:u w:val="none"/>
                <w:lang w:val="en-US" w:eastAsia="zh-CN" w:bidi="ar"/>
              </w:rPr>
              <w:t xml:space="preserve">5.27 </w:t>
            </w:r>
          </w:p>
        </w:tc>
        <w:tc>
          <w:tcPr>
            <w:tcW w:w="1928"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ind w:firstLine="420" w:firstLineChars="200"/>
              <w:jc w:val="center"/>
              <w:textAlignment w:val="bottom"/>
              <w:rPr>
                <w:rFonts w:hint="eastAsia" w:ascii="仿宋_GB2312" w:hAnsi="Arial" w:eastAsia="仿宋_GB2312" w:cs="仿宋_GB2312"/>
                <w:i w:val="0"/>
                <w:iCs w:val="0"/>
                <w:color w:val="000000"/>
                <w:kern w:val="0"/>
                <w:sz w:val="21"/>
                <w:szCs w:val="21"/>
                <w:u w:val="none"/>
                <w:lang w:val="en-US" w:eastAsia="zh-CN" w:bidi="ar"/>
              </w:rPr>
            </w:pPr>
            <w:r>
              <w:rPr>
                <w:rFonts w:hint="default" w:ascii="仿宋_GB2312" w:hAnsi="Arial" w:eastAsia="仿宋_GB2312" w:cs="仿宋_GB2312"/>
                <w:i w:val="0"/>
                <w:iCs w:val="0"/>
                <w:color w:val="000000"/>
                <w:kern w:val="0"/>
                <w:sz w:val="21"/>
                <w:szCs w:val="21"/>
                <w:u w:val="none"/>
                <w:lang w:val="en-US" w:eastAsia="zh-CN" w:bidi="ar"/>
              </w:rPr>
              <w:t>4.68%</w:t>
            </w:r>
          </w:p>
        </w:tc>
      </w:tr>
      <w:tr>
        <w:tblPrEx>
          <w:tblCellMar>
            <w:top w:w="0" w:type="dxa"/>
            <w:left w:w="108" w:type="dxa"/>
            <w:bottom w:w="0" w:type="dxa"/>
            <w:right w:w="108" w:type="dxa"/>
          </w:tblCellMar>
        </w:tblPrEx>
        <w:trPr>
          <w:trHeight w:val="285" w:hRule="atLeast"/>
        </w:trPr>
        <w:tc>
          <w:tcPr>
            <w:tcW w:w="2790" w:type="pct"/>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Times New Roman"/>
                <w:bCs/>
                <w:color w:val="auto"/>
                <w:kern w:val="0"/>
                <w:sz w:val="21"/>
                <w:szCs w:val="24"/>
                <w:lang w:val="en-US" w:eastAsia="zh-CN" w:bidi="ar"/>
              </w:rPr>
            </w:pPr>
            <w:r>
              <w:rPr>
                <w:rFonts w:hint="eastAsia" w:ascii="仿宋_GB2312" w:hAnsi="Arial" w:eastAsia="仿宋_GB2312" w:cs="仿宋_GB2312"/>
                <w:i w:val="0"/>
                <w:iCs w:val="0"/>
                <w:color w:val="000000"/>
                <w:kern w:val="0"/>
                <w:sz w:val="21"/>
                <w:szCs w:val="21"/>
                <w:u w:val="none"/>
                <w:lang w:val="en-US" w:eastAsia="zh-CN" w:bidi="ar"/>
              </w:rPr>
              <w:t>庄前村</w:t>
            </w:r>
          </w:p>
        </w:tc>
        <w:tc>
          <w:tcPr>
            <w:tcW w:w="1837"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ind w:firstLine="420" w:firstLineChars="200"/>
              <w:jc w:val="center"/>
              <w:textAlignment w:val="bottom"/>
              <w:rPr>
                <w:rFonts w:hint="eastAsia" w:ascii="仿宋_GB2312" w:hAnsi="Arial" w:eastAsia="仿宋_GB2312" w:cs="仿宋_GB2312"/>
                <w:i w:val="0"/>
                <w:iCs w:val="0"/>
                <w:color w:val="000000"/>
                <w:kern w:val="0"/>
                <w:sz w:val="21"/>
                <w:szCs w:val="21"/>
                <w:u w:val="none"/>
                <w:lang w:val="en-US" w:eastAsia="zh-CN" w:bidi="ar"/>
              </w:rPr>
            </w:pPr>
            <w:r>
              <w:rPr>
                <w:rFonts w:hint="default" w:ascii="仿宋_GB2312" w:hAnsi="Arial" w:eastAsia="仿宋_GB2312" w:cs="仿宋_GB2312"/>
                <w:i w:val="0"/>
                <w:iCs w:val="0"/>
                <w:color w:val="000000"/>
                <w:kern w:val="0"/>
                <w:sz w:val="21"/>
                <w:szCs w:val="21"/>
                <w:u w:val="none"/>
                <w:lang w:val="en-US" w:eastAsia="zh-CN" w:bidi="ar"/>
              </w:rPr>
              <w:t xml:space="preserve">12.20 </w:t>
            </w:r>
          </w:p>
        </w:tc>
        <w:tc>
          <w:tcPr>
            <w:tcW w:w="1928"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ind w:firstLine="420" w:firstLineChars="200"/>
              <w:jc w:val="center"/>
              <w:textAlignment w:val="bottom"/>
              <w:rPr>
                <w:rFonts w:hint="eastAsia" w:ascii="仿宋_GB2312" w:hAnsi="Arial" w:eastAsia="仿宋_GB2312" w:cs="仿宋_GB2312"/>
                <w:i w:val="0"/>
                <w:iCs w:val="0"/>
                <w:color w:val="000000"/>
                <w:kern w:val="0"/>
                <w:sz w:val="21"/>
                <w:szCs w:val="21"/>
                <w:u w:val="none"/>
                <w:lang w:val="en-US" w:eastAsia="zh-CN" w:bidi="ar"/>
              </w:rPr>
            </w:pPr>
            <w:r>
              <w:rPr>
                <w:rFonts w:hint="default" w:ascii="仿宋_GB2312" w:hAnsi="Arial" w:eastAsia="仿宋_GB2312" w:cs="仿宋_GB2312"/>
                <w:i w:val="0"/>
                <w:iCs w:val="0"/>
                <w:color w:val="000000"/>
                <w:kern w:val="0"/>
                <w:sz w:val="21"/>
                <w:szCs w:val="21"/>
                <w:u w:val="none"/>
                <w:lang w:val="en-US" w:eastAsia="zh-CN" w:bidi="ar"/>
              </w:rPr>
              <w:t>10.83%</w:t>
            </w:r>
          </w:p>
        </w:tc>
      </w:tr>
      <w:tr>
        <w:tblPrEx>
          <w:tblCellMar>
            <w:top w:w="0" w:type="dxa"/>
            <w:left w:w="108" w:type="dxa"/>
            <w:bottom w:w="0" w:type="dxa"/>
            <w:right w:w="108" w:type="dxa"/>
          </w:tblCellMar>
        </w:tblPrEx>
        <w:trPr>
          <w:trHeight w:val="285" w:hRule="atLeast"/>
        </w:trPr>
        <w:tc>
          <w:tcPr>
            <w:tcW w:w="2790" w:type="pct"/>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ind w:firstLine="420" w:firstLineChars="200"/>
              <w:jc w:val="center"/>
              <w:textAlignment w:val="bottom"/>
              <w:rPr>
                <w:rFonts w:hint="eastAsia" w:ascii="仿宋_GB2312" w:hAnsi="Arial" w:eastAsia="仿宋_GB2312" w:cs="仿宋_GB2312"/>
                <w:i w:val="0"/>
                <w:iCs w:val="0"/>
                <w:color w:val="000000"/>
                <w:kern w:val="0"/>
                <w:sz w:val="21"/>
                <w:szCs w:val="21"/>
                <w:u w:val="none"/>
                <w:lang w:val="en-US" w:eastAsia="zh-CN" w:bidi="ar"/>
              </w:rPr>
            </w:pPr>
            <w:r>
              <w:rPr>
                <w:rFonts w:hint="eastAsia" w:ascii="仿宋_GB2312" w:hAnsi="Arial" w:eastAsia="仿宋_GB2312" w:cs="仿宋_GB2312"/>
                <w:i w:val="0"/>
                <w:iCs w:val="0"/>
                <w:color w:val="000000"/>
                <w:kern w:val="0"/>
                <w:sz w:val="21"/>
                <w:szCs w:val="21"/>
                <w:u w:val="none"/>
                <w:lang w:val="en-US" w:eastAsia="zh-CN" w:bidi="ar"/>
              </w:rPr>
              <w:t>总计</w:t>
            </w:r>
          </w:p>
        </w:tc>
        <w:tc>
          <w:tcPr>
            <w:tcW w:w="1837"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ind w:firstLine="420" w:firstLineChars="200"/>
              <w:jc w:val="center"/>
              <w:textAlignment w:val="bottom"/>
              <w:rPr>
                <w:rFonts w:hint="eastAsia" w:ascii="仿宋_GB2312" w:hAnsi="Arial" w:eastAsia="仿宋_GB2312" w:cs="仿宋_GB2312"/>
                <w:i w:val="0"/>
                <w:iCs w:val="0"/>
                <w:color w:val="000000"/>
                <w:kern w:val="0"/>
                <w:sz w:val="21"/>
                <w:szCs w:val="21"/>
                <w:u w:val="none"/>
                <w:lang w:val="en-US" w:eastAsia="zh-CN" w:bidi="ar"/>
              </w:rPr>
            </w:pPr>
            <w:r>
              <w:rPr>
                <w:rFonts w:hint="default" w:ascii="仿宋_GB2312" w:hAnsi="Arial" w:eastAsia="仿宋_GB2312" w:cs="仿宋_GB2312"/>
                <w:i w:val="0"/>
                <w:iCs w:val="0"/>
                <w:color w:val="000000"/>
                <w:kern w:val="0"/>
                <w:sz w:val="21"/>
                <w:szCs w:val="21"/>
                <w:u w:val="none"/>
                <w:lang w:val="en-US" w:eastAsia="zh-CN" w:bidi="ar"/>
              </w:rPr>
              <w:t xml:space="preserve">112.62 </w:t>
            </w:r>
          </w:p>
        </w:tc>
        <w:tc>
          <w:tcPr>
            <w:tcW w:w="1928" w:type="dxa"/>
            <w:tcBorders>
              <w:top w:val="single" w:color="000000" w:sz="4" w:space="0"/>
              <w:left w:val="single" w:color="000000" w:sz="4" w:space="0"/>
              <w:bottom w:val="single" w:color="000000" w:sz="4" w:space="0"/>
              <w:right w:val="single" w:color="000000" w:sz="4" w:space="0"/>
            </w:tcBorders>
            <w:noWrap/>
            <w:vAlign w:val="bottom"/>
          </w:tcPr>
          <w:p>
            <w:pPr>
              <w:keepNext w:val="0"/>
              <w:keepLines w:val="0"/>
              <w:widowControl/>
              <w:suppressLineNumbers w:val="0"/>
              <w:ind w:firstLine="420" w:firstLineChars="200"/>
              <w:jc w:val="center"/>
              <w:textAlignment w:val="bottom"/>
              <w:rPr>
                <w:rFonts w:hint="eastAsia" w:ascii="仿宋_GB2312" w:hAnsi="Arial" w:eastAsia="仿宋_GB2312" w:cs="仿宋_GB2312"/>
                <w:i w:val="0"/>
                <w:iCs w:val="0"/>
                <w:color w:val="000000"/>
                <w:kern w:val="0"/>
                <w:sz w:val="21"/>
                <w:szCs w:val="21"/>
                <w:u w:val="none"/>
                <w:lang w:val="en-US" w:eastAsia="zh-CN" w:bidi="ar"/>
              </w:rPr>
            </w:pPr>
            <w:r>
              <w:rPr>
                <w:rFonts w:hint="default" w:ascii="仿宋_GB2312" w:hAnsi="Arial" w:eastAsia="仿宋_GB2312" w:cs="仿宋_GB2312"/>
                <w:i w:val="0"/>
                <w:iCs w:val="0"/>
                <w:color w:val="000000"/>
                <w:kern w:val="0"/>
                <w:sz w:val="21"/>
                <w:szCs w:val="21"/>
                <w:u w:val="none"/>
                <w:lang w:val="en-US" w:eastAsia="zh-CN" w:bidi="ar"/>
              </w:rPr>
              <w:t>100.00%</w:t>
            </w:r>
          </w:p>
        </w:tc>
      </w:tr>
    </w:tbl>
    <w:p>
      <w:pPr>
        <w:snapToGrid w:val="0"/>
        <w:spacing w:line="480" w:lineRule="exact"/>
        <w:ind w:firstLine="562"/>
        <w:rPr>
          <w:rFonts w:hint="default"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三、湿地保护规划</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lang w:val="en-US" w:eastAsia="zh-CN"/>
        </w:rPr>
      </w:pPr>
      <w:r>
        <w:rPr>
          <w:rFonts w:hint="eastAsia" w:ascii="Times New Roman" w:hAnsi="Times New Roman" w:eastAsia="仿宋_GB2312"/>
          <w:bCs/>
          <w:color w:val="auto"/>
          <w:sz w:val="28"/>
          <w:szCs w:val="28"/>
          <w:lang w:val="en-US" w:eastAsia="zh-CN"/>
        </w:rPr>
        <w:t>根据《全国湿地保护规划（2022—2030年）》。到2030年，湿地保护高质量发展新格局初步建立，湿地生态系统功能和生物多样性明显改善，湿地生态系统综合服务功能增强、固碳能力得到提高，湿地保护法治化水平持续提升。规划加大平富乡湿地保护力度，完善湿地保护体系，提升湿地保护功能。</w:t>
      </w:r>
    </w:p>
    <w:p>
      <w:pPr>
        <w:pStyle w:val="33"/>
        <w:spacing w:before="156" w:beforeLines="50" w:after="156" w:afterLines="50" w:line="520" w:lineRule="exact"/>
        <w:rPr>
          <w:rFonts w:hint="eastAsia" w:ascii="Times New Roman" w:hAnsi="Times New Roman"/>
          <w:color w:val="auto"/>
          <w:kern w:val="2"/>
          <w:szCs w:val="32"/>
          <w:lang w:val="en-US" w:eastAsia="zh-CN"/>
        </w:rPr>
      </w:pPr>
      <w:bookmarkStart w:id="61" w:name="_Toc5422"/>
      <w:r>
        <w:rPr>
          <w:rFonts w:hint="eastAsia" w:ascii="Times New Roman" w:hAnsi="Times New Roman"/>
          <w:color w:val="auto"/>
          <w:kern w:val="2"/>
          <w:szCs w:val="32"/>
          <w:lang w:val="en-US" w:eastAsia="zh-CN"/>
        </w:rPr>
        <w:t>第四节 森林资源保护与利用</w:t>
      </w:r>
      <w:bookmarkEnd w:id="61"/>
    </w:p>
    <w:p>
      <w:pPr>
        <w:snapToGrid w:val="0"/>
        <w:spacing w:line="480" w:lineRule="exact"/>
        <w:ind w:firstLine="562"/>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一、森林资源概况</w:t>
      </w:r>
    </w:p>
    <w:p>
      <w:pPr>
        <w:pStyle w:val="36"/>
        <w:ind w:left="0" w:leftChars="0" w:firstLine="560" w:firstLineChars="200"/>
        <w:jc w:val="left"/>
        <w:rPr>
          <w:rFonts w:hint="default" w:ascii="Times New Roman" w:hAnsi="Times New Roman" w:eastAsia="仿宋_GB2312"/>
          <w:b w:val="0"/>
          <w:bCs/>
          <w:color w:val="auto"/>
          <w:szCs w:val="32"/>
          <w:lang w:val="en-US" w:eastAsia="zh-CN"/>
        </w:rPr>
      </w:pPr>
      <w:r>
        <w:rPr>
          <w:rFonts w:hint="eastAsia" w:ascii="Times New Roman" w:hAnsi="Times New Roman" w:eastAsia="仿宋_GB2312"/>
          <w:b w:val="0"/>
          <w:bCs/>
          <w:color w:val="auto"/>
          <w:szCs w:val="32"/>
          <w:lang w:val="en-US" w:eastAsia="zh-CN"/>
        </w:rPr>
        <w:t>1、森林资源利用现状</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hint="eastAsia" w:ascii="Times New Roman" w:hAnsi="Times New Roman" w:eastAsia="仿宋_GB2312"/>
          <w:bCs/>
          <w:color w:val="auto"/>
          <w:sz w:val="28"/>
          <w:szCs w:val="28"/>
          <w:lang w:val="en-US" w:eastAsia="zh-CN"/>
        </w:rPr>
        <w:t>平富乡</w:t>
      </w:r>
      <w:r>
        <w:rPr>
          <w:rFonts w:ascii="Times New Roman" w:hAnsi="Times New Roman" w:eastAsia="仿宋_GB2312"/>
          <w:bCs/>
          <w:color w:val="auto"/>
          <w:sz w:val="28"/>
          <w:szCs w:val="28"/>
        </w:rPr>
        <w:t>境内山清水秀，森林资源丰富。</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根据2020年国土变更调查成果，</w:t>
      </w:r>
      <w:r>
        <w:rPr>
          <w:rFonts w:hint="eastAsia" w:ascii="Times New Roman" w:hAnsi="Times New Roman" w:eastAsia="仿宋_GB2312"/>
          <w:bCs/>
          <w:color w:val="auto"/>
          <w:sz w:val="28"/>
          <w:szCs w:val="28"/>
          <w:lang w:eastAsia="zh-CN"/>
        </w:rPr>
        <w:t>平富乡</w:t>
      </w:r>
      <w:r>
        <w:rPr>
          <w:rFonts w:ascii="Times New Roman" w:hAnsi="Times New Roman" w:eastAsia="仿宋_GB2312"/>
          <w:bCs/>
          <w:color w:val="auto"/>
          <w:sz w:val="28"/>
          <w:szCs w:val="28"/>
        </w:rPr>
        <w:t>林地总面积为</w:t>
      </w:r>
      <w:r>
        <w:rPr>
          <w:rFonts w:hint="eastAsia" w:ascii="Times New Roman" w:hAnsi="Times New Roman" w:eastAsia="仿宋_GB2312"/>
          <w:bCs/>
          <w:color w:val="auto"/>
          <w:sz w:val="28"/>
          <w:szCs w:val="28"/>
          <w:lang w:val="en-US" w:eastAsia="zh-CN"/>
        </w:rPr>
        <w:t>7753.24</w:t>
      </w:r>
      <w:r>
        <w:rPr>
          <w:rFonts w:ascii="Times New Roman" w:hAnsi="Times New Roman" w:eastAsia="仿宋_GB2312"/>
          <w:bCs/>
          <w:color w:val="auto"/>
          <w:sz w:val="28"/>
          <w:szCs w:val="28"/>
        </w:rPr>
        <w:t>公顷，其中乔木林地</w:t>
      </w:r>
      <w:r>
        <w:rPr>
          <w:rFonts w:hint="eastAsia" w:ascii="Times New Roman" w:hAnsi="Times New Roman" w:eastAsia="仿宋_GB2312"/>
          <w:bCs/>
          <w:color w:val="auto"/>
          <w:sz w:val="28"/>
          <w:szCs w:val="28"/>
          <w:lang w:val="en-US" w:eastAsia="zh-CN"/>
        </w:rPr>
        <w:t>5927.20</w:t>
      </w:r>
      <w:r>
        <w:rPr>
          <w:rFonts w:ascii="Times New Roman" w:hAnsi="Times New Roman" w:eastAsia="仿宋_GB2312"/>
          <w:bCs/>
          <w:color w:val="auto"/>
          <w:sz w:val="28"/>
          <w:szCs w:val="28"/>
        </w:rPr>
        <w:t>公顷，竹林地</w:t>
      </w:r>
      <w:r>
        <w:rPr>
          <w:rFonts w:hint="eastAsia" w:ascii="Times New Roman" w:hAnsi="Times New Roman" w:eastAsia="仿宋_GB2312"/>
          <w:bCs/>
          <w:color w:val="auto"/>
          <w:sz w:val="28"/>
          <w:szCs w:val="28"/>
          <w:lang w:val="en-US" w:eastAsia="zh-CN"/>
        </w:rPr>
        <w:t>1121.76</w:t>
      </w:r>
      <w:r>
        <w:rPr>
          <w:rFonts w:ascii="Times New Roman" w:hAnsi="Times New Roman" w:eastAsia="仿宋_GB2312"/>
          <w:bCs/>
          <w:color w:val="auto"/>
          <w:sz w:val="28"/>
          <w:szCs w:val="28"/>
        </w:rPr>
        <w:t xml:space="preserve"> 公顷，灌木林地</w:t>
      </w:r>
      <w:r>
        <w:rPr>
          <w:rFonts w:hint="eastAsia" w:ascii="Times New Roman" w:hAnsi="Times New Roman" w:eastAsia="仿宋_GB2312"/>
          <w:bCs/>
          <w:color w:val="auto"/>
          <w:sz w:val="28"/>
          <w:szCs w:val="28"/>
          <w:lang w:val="en-US" w:eastAsia="zh-CN"/>
        </w:rPr>
        <w:t>9.91</w:t>
      </w:r>
      <w:r>
        <w:rPr>
          <w:rFonts w:ascii="Times New Roman" w:hAnsi="Times New Roman" w:eastAsia="仿宋_GB2312"/>
          <w:bCs/>
          <w:color w:val="auto"/>
          <w:sz w:val="28"/>
          <w:szCs w:val="28"/>
        </w:rPr>
        <w:t>公顷，其他林地</w:t>
      </w:r>
      <w:r>
        <w:rPr>
          <w:rFonts w:hint="eastAsia" w:ascii="Times New Roman" w:hAnsi="Times New Roman" w:eastAsia="仿宋_GB2312"/>
          <w:bCs/>
          <w:color w:val="auto"/>
          <w:sz w:val="28"/>
          <w:szCs w:val="28"/>
          <w:lang w:val="en-US" w:eastAsia="zh-CN"/>
        </w:rPr>
        <w:t>694.37</w:t>
      </w:r>
      <w:r>
        <w:rPr>
          <w:rFonts w:ascii="Times New Roman" w:hAnsi="Times New Roman" w:eastAsia="仿宋_GB2312"/>
          <w:bCs/>
          <w:color w:val="auto"/>
          <w:sz w:val="28"/>
          <w:szCs w:val="28"/>
        </w:rPr>
        <w:t>公顷。由于调查方式及分类标准等因素的不同，经过空间分析发现，林业二调中有部分林地在国土变更调查中为非林地地类。但考虑到数据的全面性和精度要求，本专题数据均采用林业二调数据。</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根据</w:t>
      </w:r>
      <w:r>
        <w:rPr>
          <w:rFonts w:hint="eastAsia" w:ascii="Times New Roman" w:hAnsi="Times New Roman" w:eastAsia="仿宋_GB2312"/>
          <w:bCs/>
          <w:color w:val="auto"/>
          <w:sz w:val="28"/>
          <w:szCs w:val="28"/>
          <w:lang w:eastAsia="zh-CN"/>
        </w:rPr>
        <w:t>平富乡</w:t>
      </w:r>
      <w:r>
        <w:rPr>
          <w:rFonts w:ascii="Times New Roman" w:hAnsi="Times New Roman" w:eastAsia="仿宋_GB2312"/>
          <w:bCs/>
          <w:color w:val="auto"/>
          <w:sz w:val="28"/>
          <w:szCs w:val="28"/>
        </w:rPr>
        <w:t>2020年林业二调成果，林业用地面积为</w:t>
      </w:r>
      <w:r>
        <w:rPr>
          <w:rFonts w:hint="eastAsia" w:ascii="Times New Roman" w:hAnsi="Times New Roman" w:eastAsia="仿宋_GB2312"/>
          <w:bCs/>
          <w:color w:val="auto"/>
          <w:sz w:val="28"/>
          <w:szCs w:val="28"/>
          <w:lang w:val="en-US" w:eastAsia="zh-CN"/>
        </w:rPr>
        <w:t>7739.98</w:t>
      </w:r>
      <w:r>
        <w:rPr>
          <w:rFonts w:ascii="Times New Roman" w:hAnsi="Times New Roman" w:eastAsia="仿宋_GB2312"/>
          <w:bCs/>
          <w:color w:val="auto"/>
          <w:sz w:val="28"/>
          <w:szCs w:val="28"/>
        </w:rPr>
        <w:t>公顷，占国土面积</w:t>
      </w:r>
      <w:r>
        <w:rPr>
          <w:rFonts w:hint="eastAsia" w:ascii="Times New Roman" w:hAnsi="Times New Roman" w:eastAsia="仿宋_GB2312"/>
          <w:bCs/>
          <w:color w:val="auto"/>
          <w:sz w:val="28"/>
          <w:szCs w:val="28"/>
          <w:lang w:val="en-US" w:eastAsia="zh-CN"/>
        </w:rPr>
        <w:t>88.36</w:t>
      </w:r>
      <w:r>
        <w:rPr>
          <w:rFonts w:ascii="Times New Roman" w:hAnsi="Times New Roman" w:eastAsia="仿宋_GB2312"/>
          <w:bCs/>
          <w:color w:val="auto"/>
          <w:sz w:val="28"/>
          <w:szCs w:val="28"/>
        </w:rPr>
        <w:t>%。全县林业用地中：</w:t>
      </w:r>
      <w:r>
        <w:rPr>
          <w:rFonts w:hint="eastAsia" w:ascii="Times New Roman" w:hAnsi="Times New Roman" w:eastAsia="仿宋_GB2312"/>
          <w:bCs/>
          <w:color w:val="auto"/>
          <w:sz w:val="28"/>
          <w:szCs w:val="28"/>
          <w:lang w:val="en-US" w:eastAsia="zh-CN"/>
        </w:rPr>
        <w:t>乔木</w:t>
      </w:r>
      <w:r>
        <w:rPr>
          <w:rFonts w:ascii="Times New Roman" w:hAnsi="Times New Roman" w:eastAsia="仿宋_GB2312"/>
          <w:bCs/>
          <w:color w:val="auto"/>
          <w:sz w:val="28"/>
          <w:szCs w:val="28"/>
        </w:rPr>
        <w:t>林地</w:t>
      </w:r>
      <w:r>
        <w:rPr>
          <w:rFonts w:hint="eastAsia" w:ascii="Times New Roman" w:hAnsi="Times New Roman" w:eastAsia="仿宋_GB2312"/>
          <w:bCs/>
          <w:color w:val="auto"/>
          <w:sz w:val="28"/>
          <w:szCs w:val="28"/>
          <w:lang w:val="en-US" w:eastAsia="zh-CN"/>
        </w:rPr>
        <w:t>6046.29</w:t>
      </w:r>
      <w:r>
        <w:rPr>
          <w:rFonts w:ascii="Times New Roman" w:hAnsi="Times New Roman" w:eastAsia="仿宋_GB2312"/>
          <w:bCs/>
          <w:color w:val="auto"/>
          <w:sz w:val="28"/>
          <w:szCs w:val="28"/>
        </w:rPr>
        <w:t>公顷，</w:t>
      </w:r>
      <w:r>
        <w:rPr>
          <w:rFonts w:hint="eastAsia" w:ascii="Times New Roman" w:hAnsi="Times New Roman" w:eastAsia="仿宋_GB2312"/>
          <w:bCs/>
          <w:color w:val="auto"/>
          <w:sz w:val="28"/>
          <w:szCs w:val="28"/>
          <w:lang w:val="en-US" w:eastAsia="zh-CN"/>
        </w:rPr>
        <w:t>竹</w:t>
      </w:r>
      <w:r>
        <w:rPr>
          <w:rFonts w:ascii="Times New Roman" w:hAnsi="Times New Roman" w:eastAsia="仿宋_GB2312"/>
          <w:bCs/>
          <w:color w:val="auto"/>
          <w:sz w:val="28"/>
          <w:szCs w:val="28"/>
        </w:rPr>
        <w:t>林</w:t>
      </w:r>
      <w:r>
        <w:rPr>
          <w:rFonts w:hint="eastAsia" w:ascii="Times New Roman" w:hAnsi="Times New Roman" w:eastAsia="仿宋_GB2312"/>
          <w:bCs/>
          <w:color w:val="auto"/>
          <w:sz w:val="28"/>
          <w:szCs w:val="28"/>
          <w:lang w:val="en-US" w:eastAsia="zh-CN"/>
        </w:rPr>
        <w:t>地1201.67</w:t>
      </w:r>
      <w:r>
        <w:rPr>
          <w:rFonts w:ascii="Times New Roman" w:hAnsi="Times New Roman" w:eastAsia="仿宋_GB2312"/>
          <w:bCs/>
          <w:color w:val="auto"/>
          <w:sz w:val="28"/>
          <w:szCs w:val="28"/>
        </w:rPr>
        <w:t>公顷，灌木林</w:t>
      </w:r>
      <w:r>
        <w:rPr>
          <w:rFonts w:hint="eastAsia" w:ascii="Times New Roman" w:hAnsi="Times New Roman" w:eastAsia="仿宋_GB2312"/>
          <w:bCs/>
          <w:color w:val="auto"/>
          <w:sz w:val="28"/>
          <w:szCs w:val="28"/>
          <w:lang w:val="en-US" w:eastAsia="zh-CN"/>
        </w:rPr>
        <w:t>地237.02</w:t>
      </w:r>
      <w:r>
        <w:rPr>
          <w:rFonts w:ascii="Times New Roman" w:hAnsi="Times New Roman" w:eastAsia="仿宋_GB2312"/>
          <w:bCs/>
          <w:color w:val="auto"/>
          <w:sz w:val="28"/>
          <w:szCs w:val="28"/>
        </w:rPr>
        <w:t>公顷，疏林地</w:t>
      </w:r>
      <w:r>
        <w:rPr>
          <w:rFonts w:hint="eastAsia" w:ascii="Times New Roman" w:hAnsi="Times New Roman" w:eastAsia="仿宋_GB2312"/>
          <w:bCs/>
          <w:color w:val="auto"/>
          <w:sz w:val="28"/>
          <w:szCs w:val="28"/>
          <w:lang w:val="en-US" w:eastAsia="zh-CN"/>
        </w:rPr>
        <w:t>55.91</w:t>
      </w:r>
      <w:r>
        <w:rPr>
          <w:rFonts w:ascii="Times New Roman" w:hAnsi="Times New Roman" w:eastAsia="仿宋_GB2312"/>
          <w:bCs/>
          <w:color w:val="auto"/>
          <w:sz w:val="28"/>
          <w:szCs w:val="28"/>
        </w:rPr>
        <w:t>公顷，未成林</w:t>
      </w:r>
      <w:r>
        <w:rPr>
          <w:rFonts w:hint="eastAsia" w:ascii="Times New Roman" w:hAnsi="Times New Roman" w:eastAsia="仿宋_GB2312"/>
          <w:bCs/>
          <w:color w:val="auto"/>
          <w:sz w:val="28"/>
          <w:szCs w:val="28"/>
          <w:lang w:val="en-US" w:eastAsia="zh-CN"/>
        </w:rPr>
        <w:t>造林</w:t>
      </w:r>
      <w:r>
        <w:rPr>
          <w:rFonts w:ascii="Times New Roman" w:hAnsi="Times New Roman" w:eastAsia="仿宋_GB2312"/>
          <w:bCs/>
          <w:color w:val="auto"/>
          <w:sz w:val="28"/>
          <w:szCs w:val="28"/>
        </w:rPr>
        <w:t>地</w:t>
      </w:r>
      <w:r>
        <w:rPr>
          <w:rFonts w:hint="eastAsia" w:ascii="Times New Roman" w:hAnsi="Times New Roman" w:eastAsia="仿宋_GB2312"/>
          <w:bCs/>
          <w:color w:val="auto"/>
          <w:sz w:val="28"/>
          <w:szCs w:val="28"/>
          <w:lang w:val="en-US" w:eastAsia="zh-CN"/>
        </w:rPr>
        <w:t>137.70</w:t>
      </w:r>
      <w:r>
        <w:rPr>
          <w:rFonts w:ascii="Times New Roman" w:hAnsi="Times New Roman" w:eastAsia="仿宋_GB2312"/>
          <w:bCs/>
          <w:color w:val="auto"/>
          <w:sz w:val="28"/>
          <w:szCs w:val="28"/>
        </w:rPr>
        <w:t>公顷，苗圃地</w:t>
      </w:r>
      <w:r>
        <w:rPr>
          <w:rFonts w:hint="eastAsia" w:ascii="Times New Roman" w:hAnsi="Times New Roman" w:eastAsia="仿宋_GB2312"/>
          <w:bCs/>
          <w:color w:val="auto"/>
          <w:sz w:val="28"/>
          <w:szCs w:val="28"/>
          <w:lang w:val="en-US" w:eastAsia="zh-CN"/>
        </w:rPr>
        <w:t>4.45</w:t>
      </w:r>
      <w:r>
        <w:rPr>
          <w:rFonts w:ascii="Times New Roman" w:hAnsi="Times New Roman" w:eastAsia="仿宋_GB2312"/>
          <w:bCs/>
          <w:color w:val="auto"/>
          <w:sz w:val="28"/>
          <w:szCs w:val="28"/>
        </w:rPr>
        <w:t>公顷，</w:t>
      </w:r>
      <w:r>
        <w:rPr>
          <w:rFonts w:hint="eastAsia" w:ascii="Times New Roman" w:hAnsi="Times New Roman" w:eastAsia="仿宋_GB2312"/>
          <w:bCs/>
          <w:color w:val="auto"/>
          <w:sz w:val="28"/>
          <w:szCs w:val="28"/>
          <w:lang w:val="en-US" w:eastAsia="zh-CN"/>
        </w:rPr>
        <w:t>迹</w:t>
      </w:r>
      <w:r>
        <w:rPr>
          <w:rFonts w:ascii="Times New Roman" w:hAnsi="Times New Roman" w:eastAsia="仿宋_GB2312"/>
          <w:bCs/>
          <w:color w:val="auto"/>
          <w:sz w:val="28"/>
          <w:szCs w:val="28"/>
        </w:rPr>
        <w:t>地</w:t>
      </w:r>
      <w:r>
        <w:rPr>
          <w:rFonts w:hint="eastAsia" w:ascii="Times New Roman" w:hAnsi="Times New Roman" w:eastAsia="仿宋_GB2312"/>
          <w:bCs/>
          <w:color w:val="auto"/>
          <w:sz w:val="28"/>
          <w:szCs w:val="28"/>
          <w:lang w:val="en-US" w:eastAsia="zh-CN"/>
        </w:rPr>
        <w:t>56.91</w:t>
      </w:r>
      <w:r>
        <w:rPr>
          <w:rFonts w:ascii="Times New Roman" w:hAnsi="Times New Roman" w:eastAsia="仿宋_GB2312"/>
          <w:bCs/>
          <w:color w:val="auto"/>
          <w:sz w:val="28"/>
          <w:szCs w:val="28"/>
        </w:rPr>
        <w:t>公顷。按起源分类，</w:t>
      </w:r>
      <w:r>
        <w:rPr>
          <w:rFonts w:hint="eastAsia" w:ascii="Times New Roman" w:hAnsi="Times New Roman" w:eastAsia="仿宋_GB2312"/>
          <w:bCs/>
          <w:color w:val="auto"/>
          <w:sz w:val="28"/>
          <w:szCs w:val="28"/>
          <w:lang w:eastAsia="zh-CN"/>
        </w:rPr>
        <w:t>平富乡</w:t>
      </w:r>
      <w:r>
        <w:rPr>
          <w:rFonts w:ascii="Times New Roman" w:hAnsi="Times New Roman" w:eastAsia="仿宋_GB2312"/>
          <w:bCs/>
          <w:color w:val="auto"/>
          <w:sz w:val="28"/>
          <w:szCs w:val="28"/>
        </w:rPr>
        <w:t>天然林地面积共有</w:t>
      </w:r>
      <w:r>
        <w:rPr>
          <w:rFonts w:hint="eastAsia" w:ascii="Times New Roman" w:hAnsi="Times New Roman" w:eastAsia="仿宋_GB2312"/>
          <w:bCs/>
          <w:color w:val="auto"/>
          <w:sz w:val="28"/>
          <w:szCs w:val="28"/>
          <w:lang w:val="en-US" w:eastAsia="zh-CN"/>
        </w:rPr>
        <w:t>5134.99</w:t>
      </w:r>
      <w:r>
        <w:rPr>
          <w:rFonts w:ascii="Times New Roman" w:hAnsi="Times New Roman" w:eastAsia="仿宋_GB2312"/>
          <w:bCs/>
          <w:color w:val="auto"/>
          <w:sz w:val="28"/>
          <w:szCs w:val="28"/>
        </w:rPr>
        <w:t>公顷，人工林地面积</w:t>
      </w:r>
      <w:r>
        <w:rPr>
          <w:rFonts w:hint="eastAsia" w:ascii="Times New Roman" w:hAnsi="Times New Roman" w:eastAsia="仿宋_GB2312"/>
          <w:bCs/>
          <w:color w:val="auto"/>
          <w:sz w:val="28"/>
          <w:szCs w:val="28"/>
          <w:lang w:val="en-US" w:eastAsia="zh-CN"/>
        </w:rPr>
        <w:t>2604.98</w:t>
      </w:r>
      <w:r>
        <w:rPr>
          <w:rFonts w:ascii="Times New Roman" w:hAnsi="Times New Roman" w:eastAsia="仿宋_GB2312"/>
          <w:bCs/>
          <w:color w:val="auto"/>
          <w:sz w:val="28"/>
          <w:szCs w:val="28"/>
        </w:rPr>
        <w:t>公顷；按分类经营划分，生态公益林地面积</w:t>
      </w:r>
      <w:r>
        <w:rPr>
          <w:rFonts w:hint="eastAsia" w:ascii="Times New Roman" w:hAnsi="Times New Roman" w:eastAsia="仿宋_GB2312"/>
          <w:bCs/>
          <w:color w:val="auto"/>
          <w:sz w:val="28"/>
          <w:szCs w:val="28"/>
          <w:lang w:val="en-US" w:eastAsia="zh-CN"/>
        </w:rPr>
        <w:t>2536.07</w:t>
      </w:r>
      <w:r>
        <w:rPr>
          <w:rFonts w:ascii="Times New Roman" w:hAnsi="Times New Roman" w:eastAsia="仿宋_GB2312"/>
          <w:bCs/>
          <w:color w:val="auto"/>
          <w:sz w:val="28"/>
          <w:szCs w:val="28"/>
        </w:rPr>
        <w:t>公顷，占林地总面积的</w:t>
      </w:r>
      <w:r>
        <w:rPr>
          <w:rFonts w:hint="eastAsia" w:ascii="Times New Roman" w:hAnsi="Times New Roman" w:eastAsia="仿宋_GB2312"/>
          <w:bCs/>
          <w:color w:val="auto"/>
          <w:sz w:val="28"/>
          <w:szCs w:val="28"/>
          <w:lang w:val="en-US" w:eastAsia="zh-CN"/>
        </w:rPr>
        <w:t>32.77</w:t>
      </w:r>
      <w:r>
        <w:rPr>
          <w:rFonts w:ascii="Times New Roman" w:hAnsi="Times New Roman" w:eastAsia="仿宋_GB2312"/>
          <w:bCs/>
          <w:color w:val="auto"/>
          <w:sz w:val="28"/>
          <w:szCs w:val="28"/>
        </w:rPr>
        <w:t>%；商品林地面积</w:t>
      </w:r>
      <w:r>
        <w:rPr>
          <w:rFonts w:hint="eastAsia" w:ascii="Times New Roman" w:hAnsi="Times New Roman" w:eastAsia="仿宋_GB2312"/>
          <w:bCs/>
          <w:color w:val="auto"/>
          <w:sz w:val="28"/>
          <w:szCs w:val="28"/>
          <w:lang w:val="en-US" w:eastAsia="zh-CN"/>
        </w:rPr>
        <w:t>5203.90</w:t>
      </w:r>
      <w:r>
        <w:rPr>
          <w:rFonts w:ascii="Times New Roman" w:hAnsi="Times New Roman" w:eastAsia="仿宋_GB2312"/>
          <w:bCs/>
          <w:color w:val="auto"/>
          <w:sz w:val="28"/>
          <w:szCs w:val="28"/>
        </w:rPr>
        <w:t>公顷，占林地总面积</w:t>
      </w:r>
      <w:r>
        <w:rPr>
          <w:rFonts w:hint="eastAsia" w:ascii="Times New Roman" w:hAnsi="Times New Roman" w:eastAsia="仿宋_GB2312"/>
          <w:bCs/>
          <w:color w:val="auto"/>
          <w:sz w:val="28"/>
          <w:szCs w:val="28"/>
          <w:lang w:val="en-US" w:eastAsia="zh-CN"/>
        </w:rPr>
        <w:t>67.23</w:t>
      </w:r>
      <w:r>
        <w:rPr>
          <w:rFonts w:ascii="Times New Roman" w:hAnsi="Times New Roman" w:eastAsia="仿宋_GB2312"/>
          <w:bCs/>
          <w:color w:val="auto"/>
          <w:sz w:val="28"/>
          <w:szCs w:val="28"/>
        </w:rPr>
        <w:t>%。生态公益林中：国家级公益林18.51公顷，占生态公益林地的3.60%；省级公益林496.02公顷，占96.40%，</w:t>
      </w:r>
      <w:r>
        <w:rPr>
          <w:rFonts w:hint="eastAsia" w:ascii="Times New Roman" w:hAnsi="Times New Roman" w:eastAsia="仿宋_GB2312"/>
          <w:bCs/>
          <w:color w:val="auto"/>
          <w:sz w:val="28"/>
          <w:szCs w:val="28"/>
          <w:lang w:eastAsia="zh-CN"/>
        </w:rPr>
        <w:t>平富乡</w:t>
      </w:r>
      <w:r>
        <w:rPr>
          <w:rFonts w:ascii="Times New Roman" w:hAnsi="Times New Roman" w:eastAsia="仿宋_GB2312"/>
          <w:bCs/>
          <w:color w:val="auto"/>
          <w:sz w:val="28"/>
          <w:szCs w:val="28"/>
        </w:rPr>
        <w:t>林地分类分布情况如表9-1</w:t>
      </w:r>
      <w:r>
        <w:rPr>
          <w:rFonts w:hint="eastAsia" w:ascii="Times New Roman" w:hAnsi="Times New Roman" w:eastAsia="仿宋_GB2312"/>
          <w:bCs/>
          <w:color w:val="auto"/>
          <w:sz w:val="28"/>
          <w:szCs w:val="28"/>
          <w:lang w:val="en-US" w:eastAsia="zh-CN"/>
        </w:rPr>
        <w:t>1</w:t>
      </w:r>
      <w:r>
        <w:rPr>
          <w:rFonts w:ascii="Times New Roman" w:hAnsi="Times New Roman" w:eastAsia="仿宋_GB2312"/>
          <w:bCs/>
          <w:color w:val="auto"/>
          <w:sz w:val="28"/>
          <w:szCs w:val="28"/>
        </w:rPr>
        <w:t>：</w:t>
      </w:r>
    </w:p>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Times New Roman"/>
          <w:b/>
          <w:color w:val="auto"/>
          <w:kern w:val="2"/>
          <w:sz w:val="21"/>
          <w:szCs w:val="22"/>
          <w:lang w:val="en-US" w:eastAsia="zh-CN" w:bidi="ar-SA"/>
        </w:rPr>
      </w:pPr>
      <w:r>
        <w:rPr>
          <w:rFonts w:hint="eastAsia" w:ascii="Times New Roman" w:hAnsi="Times New Roman" w:eastAsia="仿宋_GB2312" w:cs="Times New Roman"/>
          <w:b/>
          <w:color w:val="auto"/>
          <w:kern w:val="2"/>
          <w:sz w:val="21"/>
          <w:szCs w:val="22"/>
          <w:lang w:val="en-US" w:eastAsia="zh-CN" w:bidi="ar-SA"/>
        </w:rPr>
        <w:t>表9-11 平富乡林地面积统计表</w:t>
      </w:r>
    </w:p>
    <w:p>
      <w:pPr>
        <w:keepNext/>
        <w:pageBreakBefore w:val="0"/>
        <w:kinsoku/>
        <w:wordWrap/>
        <w:overflowPunct/>
        <w:topLinePunct w:val="0"/>
        <w:bidi w:val="0"/>
        <w:snapToGrid w:val="0"/>
        <w:spacing w:line="480" w:lineRule="exact"/>
        <w:ind w:firstLine="0" w:firstLineChars="0"/>
        <w:jc w:val="right"/>
        <w:rPr>
          <w:rFonts w:hint="default" w:ascii="Times New Roman" w:hAnsi="Times New Roman" w:eastAsia="仿宋_GB2312" w:cs="Times New Roman"/>
          <w:b/>
          <w:color w:val="auto"/>
          <w:kern w:val="2"/>
          <w:sz w:val="21"/>
          <w:szCs w:val="22"/>
          <w:lang w:val="en-US" w:eastAsia="zh-CN" w:bidi="ar-SA"/>
        </w:rPr>
      </w:pPr>
      <w:r>
        <w:rPr>
          <w:rFonts w:hint="eastAsia" w:ascii="Times New Roman" w:hAnsi="Times New Roman" w:eastAsia="仿宋_GB2312" w:cs="Times New Roman"/>
          <w:b/>
          <w:color w:val="auto"/>
          <w:kern w:val="2"/>
          <w:sz w:val="21"/>
          <w:szCs w:val="22"/>
          <w:lang w:val="en-US" w:eastAsia="zh-CN" w:bidi="ar-SA"/>
        </w:rPr>
        <w:t>单位：公顷</w:t>
      </w:r>
    </w:p>
    <w:tbl>
      <w:tblPr>
        <w:tblStyle w:val="19"/>
        <w:tblW w:w="4845" w:type="pct"/>
        <w:tblInd w:w="0" w:type="dxa"/>
        <w:tblLayout w:type="autofit"/>
        <w:tblCellMar>
          <w:top w:w="0" w:type="dxa"/>
          <w:left w:w="108" w:type="dxa"/>
          <w:bottom w:w="0" w:type="dxa"/>
          <w:right w:w="108" w:type="dxa"/>
        </w:tblCellMar>
      </w:tblPr>
      <w:tblGrid>
        <w:gridCol w:w="3489"/>
        <w:gridCol w:w="2326"/>
        <w:gridCol w:w="2443"/>
      </w:tblGrid>
      <w:tr>
        <w:tblPrEx>
          <w:tblCellMar>
            <w:top w:w="0" w:type="dxa"/>
            <w:left w:w="108" w:type="dxa"/>
            <w:bottom w:w="0" w:type="dxa"/>
            <w:right w:w="108" w:type="dxa"/>
          </w:tblCellMar>
        </w:tblPrEx>
        <w:trPr>
          <w:trHeight w:val="290" w:hRule="atLeast"/>
          <w:tblHeader/>
        </w:trPr>
        <w:tc>
          <w:tcPr>
            <w:tcW w:w="2112"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auto"/>
                <w:kern w:val="0"/>
                <w:sz w:val="21"/>
                <w:szCs w:val="24"/>
                <w:lang w:val="en-US" w:eastAsia="zh-CN" w:bidi="ar"/>
              </w:rPr>
            </w:pPr>
            <w:r>
              <w:rPr>
                <w:rFonts w:hint="eastAsia" w:ascii="Times New Roman" w:hAnsi="Times New Roman" w:eastAsia="仿宋_GB2312" w:cs="Times New Roman"/>
                <w:b/>
                <w:bCs w:val="0"/>
                <w:color w:val="auto"/>
                <w:kern w:val="0"/>
                <w:sz w:val="21"/>
                <w:szCs w:val="24"/>
                <w:lang w:val="en-US" w:eastAsia="zh-CN" w:bidi="ar"/>
              </w:rPr>
              <w:t>地类</w:t>
            </w:r>
          </w:p>
        </w:tc>
        <w:tc>
          <w:tcPr>
            <w:tcW w:w="1408"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auto"/>
                <w:kern w:val="0"/>
                <w:sz w:val="21"/>
                <w:szCs w:val="24"/>
                <w:lang w:val="en-US" w:eastAsia="zh-CN" w:bidi="ar"/>
              </w:rPr>
            </w:pPr>
            <w:r>
              <w:rPr>
                <w:rFonts w:hint="eastAsia" w:ascii="Times New Roman" w:hAnsi="Times New Roman" w:eastAsia="仿宋_GB2312" w:cs="Times New Roman"/>
                <w:b/>
                <w:bCs w:val="0"/>
                <w:color w:val="auto"/>
                <w:kern w:val="0"/>
                <w:sz w:val="21"/>
                <w:szCs w:val="24"/>
                <w:lang w:val="en-US" w:eastAsia="zh-CN" w:bidi="ar"/>
              </w:rPr>
              <w:t>面积</w:t>
            </w:r>
          </w:p>
        </w:tc>
        <w:tc>
          <w:tcPr>
            <w:tcW w:w="1478"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auto"/>
                <w:kern w:val="0"/>
                <w:sz w:val="21"/>
                <w:szCs w:val="24"/>
                <w:lang w:val="en-US" w:eastAsia="zh-CN" w:bidi="ar"/>
              </w:rPr>
            </w:pPr>
            <w:r>
              <w:rPr>
                <w:rFonts w:hint="eastAsia" w:ascii="Times New Roman" w:hAnsi="Times New Roman" w:eastAsia="仿宋_GB2312" w:cs="Times New Roman"/>
                <w:b/>
                <w:bCs w:val="0"/>
                <w:color w:val="auto"/>
                <w:kern w:val="0"/>
                <w:sz w:val="21"/>
                <w:szCs w:val="24"/>
                <w:lang w:val="en-US" w:eastAsia="zh-CN" w:bidi="ar"/>
              </w:rPr>
              <w:t>占比</w:t>
            </w:r>
          </w:p>
        </w:tc>
      </w:tr>
      <w:tr>
        <w:tblPrEx>
          <w:tblCellMar>
            <w:top w:w="0" w:type="dxa"/>
            <w:left w:w="108" w:type="dxa"/>
            <w:bottom w:w="0" w:type="dxa"/>
            <w:right w:w="108" w:type="dxa"/>
          </w:tblCellMar>
        </w:tblPrEx>
        <w:trPr>
          <w:trHeight w:val="290" w:hRule="atLeast"/>
        </w:trPr>
        <w:tc>
          <w:tcPr>
            <w:tcW w:w="2112"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乔木林地</w:t>
            </w:r>
          </w:p>
        </w:tc>
        <w:tc>
          <w:tcPr>
            <w:tcW w:w="1408"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6046.29</w:t>
            </w:r>
          </w:p>
        </w:tc>
        <w:tc>
          <w:tcPr>
            <w:tcW w:w="1478" w:type="pct"/>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78.12%</w:t>
            </w:r>
          </w:p>
        </w:tc>
      </w:tr>
      <w:tr>
        <w:tblPrEx>
          <w:tblCellMar>
            <w:top w:w="0" w:type="dxa"/>
            <w:left w:w="108" w:type="dxa"/>
            <w:bottom w:w="0" w:type="dxa"/>
            <w:right w:w="108" w:type="dxa"/>
          </w:tblCellMar>
        </w:tblPrEx>
        <w:trPr>
          <w:trHeight w:val="290" w:hRule="atLeast"/>
        </w:trPr>
        <w:tc>
          <w:tcPr>
            <w:tcW w:w="2112"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竹林地</w:t>
            </w:r>
          </w:p>
        </w:tc>
        <w:tc>
          <w:tcPr>
            <w:tcW w:w="1408"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1201.67</w:t>
            </w:r>
          </w:p>
        </w:tc>
        <w:tc>
          <w:tcPr>
            <w:tcW w:w="1478" w:type="pct"/>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15.53%</w:t>
            </w:r>
          </w:p>
        </w:tc>
      </w:tr>
      <w:tr>
        <w:tblPrEx>
          <w:tblCellMar>
            <w:top w:w="0" w:type="dxa"/>
            <w:left w:w="108" w:type="dxa"/>
            <w:bottom w:w="0" w:type="dxa"/>
            <w:right w:w="108" w:type="dxa"/>
          </w:tblCellMar>
        </w:tblPrEx>
        <w:trPr>
          <w:trHeight w:val="290" w:hRule="atLeast"/>
        </w:trPr>
        <w:tc>
          <w:tcPr>
            <w:tcW w:w="2112"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疏林地</w:t>
            </w:r>
          </w:p>
        </w:tc>
        <w:tc>
          <w:tcPr>
            <w:tcW w:w="1408"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55.91</w:t>
            </w:r>
          </w:p>
        </w:tc>
        <w:tc>
          <w:tcPr>
            <w:tcW w:w="1478" w:type="pct"/>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0.72%</w:t>
            </w:r>
          </w:p>
        </w:tc>
      </w:tr>
      <w:tr>
        <w:tblPrEx>
          <w:tblCellMar>
            <w:top w:w="0" w:type="dxa"/>
            <w:left w:w="108" w:type="dxa"/>
            <w:bottom w:w="0" w:type="dxa"/>
            <w:right w:w="108" w:type="dxa"/>
          </w:tblCellMar>
        </w:tblPrEx>
        <w:trPr>
          <w:trHeight w:val="290" w:hRule="atLeast"/>
        </w:trPr>
        <w:tc>
          <w:tcPr>
            <w:tcW w:w="2112"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灌木林地</w:t>
            </w:r>
          </w:p>
        </w:tc>
        <w:tc>
          <w:tcPr>
            <w:tcW w:w="1408"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237.02</w:t>
            </w:r>
          </w:p>
        </w:tc>
        <w:tc>
          <w:tcPr>
            <w:tcW w:w="1478" w:type="pct"/>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3.06%</w:t>
            </w:r>
          </w:p>
        </w:tc>
      </w:tr>
      <w:tr>
        <w:tblPrEx>
          <w:tblCellMar>
            <w:top w:w="0" w:type="dxa"/>
            <w:left w:w="108" w:type="dxa"/>
            <w:bottom w:w="0" w:type="dxa"/>
            <w:right w:w="108" w:type="dxa"/>
          </w:tblCellMar>
        </w:tblPrEx>
        <w:trPr>
          <w:trHeight w:val="290" w:hRule="atLeast"/>
        </w:trPr>
        <w:tc>
          <w:tcPr>
            <w:tcW w:w="2112"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未成林造林地</w:t>
            </w:r>
          </w:p>
        </w:tc>
        <w:tc>
          <w:tcPr>
            <w:tcW w:w="1408"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137.70</w:t>
            </w:r>
          </w:p>
        </w:tc>
        <w:tc>
          <w:tcPr>
            <w:tcW w:w="1478" w:type="pct"/>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1.78%</w:t>
            </w:r>
          </w:p>
        </w:tc>
      </w:tr>
      <w:tr>
        <w:tblPrEx>
          <w:tblCellMar>
            <w:top w:w="0" w:type="dxa"/>
            <w:left w:w="108" w:type="dxa"/>
            <w:bottom w:w="0" w:type="dxa"/>
            <w:right w:w="108" w:type="dxa"/>
          </w:tblCellMar>
        </w:tblPrEx>
        <w:trPr>
          <w:trHeight w:val="290" w:hRule="atLeast"/>
        </w:trPr>
        <w:tc>
          <w:tcPr>
            <w:tcW w:w="2112"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迹地</w:t>
            </w:r>
          </w:p>
        </w:tc>
        <w:tc>
          <w:tcPr>
            <w:tcW w:w="1408"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56.91</w:t>
            </w:r>
          </w:p>
        </w:tc>
        <w:tc>
          <w:tcPr>
            <w:tcW w:w="1478" w:type="pct"/>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0.74%</w:t>
            </w:r>
          </w:p>
        </w:tc>
      </w:tr>
      <w:tr>
        <w:tblPrEx>
          <w:tblCellMar>
            <w:top w:w="0" w:type="dxa"/>
            <w:left w:w="108" w:type="dxa"/>
            <w:bottom w:w="0" w:type="dxa"/>
            <w:right w:w="108" w:type="dxa"/>
          </w:tblCellMar>
        </w:tblPrEx>
        <w:trPr>
          <w:trHeight w:val="290" w:hRule="atLeast"/>
        </w:trPr>
        <w:tc>
          <w:tcPr>
            <w:tcW w:w="2112"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苗圃地</w:t>
            </w:r>
          </w:p>
        </w:tc>
        <w:tc>
          <w:tcPr>
            <w:tcW w:w="1408"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4.45</w:t>
            </w:r>
          </w:p>
        </w:tc>
        <w:tc>
          <w:tcPr>
            <w:tcW w:w="1478" w:type="pct"/>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0.06%</w:t>
            </w:r>
          </w:p>
        </w:tc>
      </w:tr>
      <w:tr>
        <w:tblPrEx>
          <w:tblCellMar>
            <w:top w:w="0" w:type="dxa"/>
            <w:left w:w="108" w:type="dxa"/>
            <w:bottom w:w="0" w:type="dxa"/>
            <w:right w:w="108" w:type="dxa"/>
          </w:tblCellMar>
        </w:tblPrEx>
        <w:trPr>
          <w:trHeight w:val="295" w:hRule="atLeast"/>
        </w:trPr>
        <w:tc>
          <w:tcPr>
            <w:tcW w:w="2112"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合计</w:t>
            </w:r>
          </w:p>
        </w:tc>
        <w:tc>
          <w:tcPr>
            <w:tcW w:w="1408"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7739.98</w:t>
            </w:r>
          </w:p>
        </w:tc>
        <w:tc>
          <w:tcPr>
            <w:tcW w:w="1478" w:type="pct"/>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100.00%</w:t>
            </w:r>
          </w:p>
        </w:tc>
      </w:tr>
    </w:tbl>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hint="eastAsia" w:ascii="Times New Roman" w:hAnsi="Times New Roman" w:eastAsia="仿宋_GB2312"/>
          <w:bCs/>
          <w:color w:val="auto"/>
          <w:sz w:val="28"/>
          <w:szCs w:val="28"/>
          <w:lang w:val="en-US" w:eastAsia="zh-CN"/>
        </w:rPr>
        <w:t>2</w:t>
      </w:r>
      <w:r>
        <w:rPr>
          <w:rFonts w:ascii="Times New Roman" w:hAnsi="Times New Roman" w:eastAsia="仿宋_GB2312"/>
          <w:bCs/>
          <w:color w:val="auto"/>
          <w:sz w:val="28"/>
          <w:szCs w:val="28"/>
        </w:rPr>
        <w:t>、森林资源蓄积状况</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hint="eastAsia" w:ascii="Times New Roman" w:hAnsi="Times New Roman" w:eastAsia="仿宋_GB2312"/>
          <w:bCs/>
          <w:color w:val="auto"/>
          <w:sz w:val="28"/>
          <w:szCs w:val="28"/>
          <w:lang w:val="en-US" w:eastAsia="zh-CN"/>
        </w:rPr>
        <w:t>平富全乡</w:t>
      </w:r>
      <w:r>
        <w:rPr>
          <w:rFonts w:ascii="Times New Roman" w:hAnsi="Times New Roman" w:eastAsia="仿宋_GB2312"/>
          <w:bCs/>
          <w:color w:val="auto"/>
          <w:sz w:val="28"/>
          <w:szCs w:val="28"/>
        </w:rPr>
        <w:t>林地总面积</w:t>
      </w:r>
      <w:r>
        <w:rPr>
          <w:rFonts w:hint="eastAsia" w:ascii="Times New Roman" w:hAnsi="Times New Roman" w:eastAsia="仿宋_GB2312"/>
          <w:bCs/>
          <w:color w:val="auto"/>
          <w:sz w:val="28"/>
          <w:szCs w:val="28"/>
          <w:lang w:val="en-US" w:eastAsia="zh-CN"/>
        </w:rPr>
        <w:t>7739.98</w:t>
      </w:r>
      <w:r>
        <w:rPr>
          <w:rFonts w:ascii="Times New Roman" w:hAnsi="Times New Roman" w:eastAsia="仿宋_GB2312"/>
          <w:bCs/>
          <w:color w:val="auto"/>
          <w:sz w:val="28"/>
          <w:szCs w:val="28"/>
        </w:rPr>
        <w:t>公顷，活立木蓄积量为</w:t>
      </w:r>
      <w:r>
        <w:rPr>
          <w:rFonts w:hint="eastAsia" w:ascii="Times New Roman" w:hAnsi="Times New Roman" w:eastAsia="仿宋_GB2312"/>
          <w:bCs/>
          <w:color w:val="auto"/>
          <w:sz w:val="28"/>
          <w:szCs w:val="28"/>
          <w:lang w:val="en-US" w:eastAsia="zh-CN"/>
        </w:rPr>
        <w:t>35425.5</w:t>
      </w:r>
      <w:r>
        <w:rPr>
          <w:rFonts w:ascii="Times New Roman" w:hAnsi="Times New Roman" w:eastAsia="仿宋_GB2312"/>
          <w:bCs/>
          <w:color w:val="auto"/>
          <w:sz w:val="28"/>
          <w:szCs w:val="28"/>
        </w:rPr>
        <w:t>立方米。按起源划分，天然林地面积</w:t>
      </w:r>
      <w:r>
        <w:rPr>
          <w:rFonts w:hint="eastAsia" w:ascii="Times New Roman" w:hAnsi="Times New Roman" w:eastAsia="仿宋_GB2312"/>
          <w:bCs/>
          <w:color w:val="auto"/>
          <w:sz w:val="28"/>
          <w:szCs w:val="28"/>
          <w:lang w:val="en-US" w:eastAsia="zh-CN"/>
        </w:rPr>
        <w:t>5134.99</w:t>
      </w:r>
      <w:r>
        <w:rPr>
          <w:rFonts w:ascii="Times New Roman" w:hAnsi="Times New Roman" w:eastAsia="仿宋_GB2312"/>
          <w:bCs/>
          <w:color w:val="auto"/>
          <w:sz w:val="28"/>
          <w:szCs w:val="28"/>
        </w:rPr>
        <w:t>公顷，活立木蓄积</w:t>
      </w:r>
      <w:r>
        <w:rPr>
          <w:rFonts w:hint="eastAsia" w:ascii="Times New Roman" w:hAnsi="Times New Roman" w:eastAsia="仿宋_GB2312"/>
          <w:bCs/>
          <w:color w:val="auto"/>
          <w:sz w:val="28"/>
          <w:szCs w:val="28"/>
          <w:lang w:val="en-US" w:eastAsia="zh-CN"/>
        </w:rPr>
        <w:t>22498.5</w:t>
      </w:r>
      <w:r>
        <w:rPr>
          <w:rFonts w:ascii="Times New Roman" w:hAnsi="Times New Roman" w:eastAsia="仿宋_GB2312"/>
          <w:bCs/>
          <w:color w:val="auto"/>
          <w:sz w:val="28"/>
          <w:szCs w:val="28"/>
        </w:rPr>
        <w:t>立方米，人工林地面积</w:t>
      </w:r>
      <w:r>
        <w:rPr>
          <w:rFonts w:hint="eastAsia" w:ascii="Times New Roman" w:hAnsi="Times New Roman" w:eastAsia="仿宋_GB2312"/>
          <w:bCs/>
          <w:color w:val="auto"/>
          <w:sz w:val="28"/>
          <w:szCs w:val="28"/>
          <w:lang w:val="en-US" w:eastAsia="zh-CN"/>
        </w:rPr>
        <w:t>2604.98</w:t>
      </w:r>
      <w:r>
        <w:rPr>
          <w:rFonts w:ascii="Times New Roman" w:hAnsi="Times New Roman" w:eastAsia="仿宋_GB2312"/>
          <w:bCs/>
          <w:color w:val="auto"/>
          <w:sz w:val="28"/>
          <w:szCs w:val="28"/>
        </w:rPr>
        <w:t>公顷，活立木蓄积</w:t>
      </w:r>
      <w:r>
        <w:rPr>
          <w:rFonts w:hint="eastAsia" w:ascii="Times New Roman" w:hAnsi="Times New Roman" w:eastAsia="仿宋_GB2312"/>
          <w:bCs/>
          <w:color w:val="auto"/>
          <w:sz w:val="28"/>
          <w:szCs w:val="28"/>
          <w:lang w:val="en-US" w:eastAsia="zh-CN"/>
        </w:rPr>
        <w:t>12927.0</w:t>
      </w:r>
      <w:r>
        <w:rPr>
          <w:rFonts w:ascii="Times New Roman" w:hAnsi="Times New Roman" w:eastAsia="仿宋_GB2312"/>
          <w:bCs/>
          <w:color w:val="auto"/>
          <w:sz w:val="28"/>
          <w:szCs w:val="28"/>
        </w:rPr>
        <w:t>立方米。</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按龄组划分，幼龄乔木林面积</w:t>
      </w:r>
      <w:r>
        <w:rPr>
          <w:rFonts w:hint="eastAsia" w:ascii="Times New Roman" w:hAnsi="Times New Roman" w:eastAsia="仿宋_GB2312"/>
          <w:bCs/>
          <w:color w:val="auto"/>
          <w:sz w:val="28"/>
          <w:szCs w:val="28"/>
          <w:lang w:val="en-US" w:eastAsia="zh-CN"/>
        </w:rPr>
        <w:t>1472.37</w:t>
      </w:r>
      <w:r>
        <w:rPr>
          <w:rFonts w:ascii="Times New Roman" w:hAnsi="Times New Roman" w:eastAsia="仿宋_GB2312"/>
          <w:bCs/>
          <w:color w:val="auto"/>
          <w:sz w:val="28"/>
          <w:szCs w:val="28"/>
        </w:rPr>
        <w:t>公顷，蓄积量</w:t>
      </w:r>
      <w:r>
        <w:rPr>
          <w:rFonts w:hint="eastAsia" w:ascii="Times New Roman" w:hAnsi="Times New Roman" w:eastAsia="仿宋_GB2312"/>
          <w:bCs/>
          <w:color w:val="auto"/>
          <w:sz w:val="28"/>
          <w:szCs w:val="28"/>
        </w:rPr>
        <w:t>6715.5</w:t>
      </w:r>
      <w:r>
        <w:rPr>
          <w:rFonts w:ascii="Times New Roman" w:hAnsi="Times New Roman" w:eastAsia="仿宋_GB2312"/>
          <w:bCs/>
          <w:color w:val="auto"/>
          <w:sz w:val="28"/>
          <w:szCs w:val="28"/>
        </w:rPr>
        <w:t>立方米，中龄乔木林面积</w:t>
      </w:r>
      <w:r>
        <w:rPr>
          <w:rFonts w:hint="eastAsia" w:ascii="Times New Roman" w:hAnsi="Times New Roman" w:eastAsia="仿宋_GB2312"/>
          <w:bCs/>
          <w:color w:val="auto"/>
          <w:sz w:val="28"/>
          <w:szCs w:val="28"/>
        </w:rPr>
        <w:t>4133.19</w:t>
      </w:r>
      <w:r>
        <w:rPr>
          <w:rFonts w:ascii="Times New Roman" w:hAnsi="Times New Roman" w:eastAsia="仿宋_GB2312"/>
          <w:bCs/>
          <w:color w:val="auto"/>
          <w:sz w:val="28"/>
          <w:szCs w:val="28"/>
        </w:rPr>
        <w:t>公顷，蓄积量</w:t>
      </w:r>
      <w:r>
        <w:rPr>
          <w:rFonts w:hint="eastAsia" w:ascii="Times New Roman" w:hAnsi="Times New Roman" w:eastAsia="仿宋_GB2312"/>
          <w:bCs/>
          <w:color w:val="auto"/>
          <w:sz w:val="28"/>
          <w:szCs w:val="28"/>
        </w:rPr>
        <w:t>17956.5</w:t>
      </w:r>
      <w:r>
        <w:rPr>
          <w:rFonts w:ascii="Times New Roman" w:hAnsi="Times New Roman" w:eastAsia="仿宋_GB2312"/>
          <w:bCs/>
          <w:color w:val="auto"/>
          <w:sz w:val="28"/>
          <w:szCs w:val="28"/>
        </w:rPr>
        <w:t>立方米，近熟乔木林面积</w:t>
      </w:r>
      <w:r>
        <w:rPr>
          <w:rFonts w:hint="eastAsia" w:ascii="Times New Roman" w:hAnsi="Times New Roman" w:eastAsia="仿宋_GB2312"/>
          <w:bCs/>
          <w:color w:val="auto"/>
          <w:sz w:val="28"/>
          <w:szCs w:val="28"/>
        </w:rPr>
        <w:t>809.39</w:t>
      </w:r>
      <w:r>
        <w:rPr>
          <w:rFonts w:ascii="Times New Roman" w:hAnsi="Times New Roman" w:eastAsia="仿宋_GB2312"/>
          <w:bCs/>
          <w:color w:val="auto"/>
          <w:sz w:val="28"/>
          <w:szCs w:val="28"/>
        </w:rPr>
        <w:t>公顷，蓄积量</w:t>
      </w:r>
      <w:r>
        <w:rPr>
          <w:rFonts w:hint="eastAsia" w:ascii="Times New Roman" w:hAnsi="Times New Roman" w:eastAsia="仿宋_GB2312"/>
          <w:bCs/>
          <w:color w:val="auto"/>
          <w:sz w:val="28"/>
          <w:szCs w:val="28"/>
        </w:rPr>
        <w:t>6498</w:t>
      </w:r>
      <w:r>
        <w:rPr>
          <w:rFonts w:ascii="Times New Roman" w:hAnsi="Times New Roman" w:eastAsia="仿宋_GB2312"/>
          <w:bCs/>
          <w:color w:val="auto"/>
          <w:sz w:val="28"/>
          <w:szCs w:val="28"/>
        </w:rPr>
        <w:t>立方米，成熟乔木林面积</w:t>
      </w:r>
      <w:r>
        <w:rPr>
          <w:rFonts w:hint="eastAsia" w:ascii="Times New Roman" w:hAnsi="Times New Roman" w:eastAsia="仿宋_GB2312"/>
          <w:bCs/>
          <w:color w:val="auto"/>
          <w:sz w:val="28"/>
          <w:szCs w:val="28"/>
        </w:rPr>
        <w:t>779.29</w:t>
      </w:r>
      <w:r>
        <w:rPr>
          <w:rFonts w:ascii="Times New Roman" w:hAnsi="Times New Roman" w:eastAsia="仿宋_GB2312"/>
          <w:bCs/>
          <w:color w:val="auto"/>
          <w:sz w:val="28"/>
          <w:szCs w:val="28"/>
        </w:rPr>
        <w:t>公顷，蓄积量</w:t>
      </w:r>
      <w:r>
        <w:rPr>
          <w:rFonts w:hint="eastAsia" w:ascii="Times New Roman" w:hAnsi="Times New Roman" w:eastAsia="仿宋_GB2312"/>
          <w:bCs/>
          <w:color w:val="auto"/>
          <w:sz w:val="28"/>
          <w:szCs w:val="28"/>
        </w:rPr>
        <w:t>3726</w:t>
      </w:r>
      <w:r>
        <w:rPr>
          <w:rFonts w:ascii="Times New Roman" w:hAnsi="Times New Roman" w:eastAsia="仿宋_GB2312"/>
          <w:bCs/>
          <w:color w:val="auto"/>
          <w:sz w:val="28"/>
          <w:szCs w:val="28"/>
        </w:rPr>
        <w:t>立方米，过熟乔木林面积</w:t>
      </w:r>
      <w:r>
        <w:rPr>
          <w:rFonts w:hint="eastAsia" w:ascii="Times New Roman" w:hAnsi="Times New Roman" w:eastAsia="仿宋_GB2312"/>
          <w:bCs/>
          <w:color w:val="auto"/>
          <w:sz w:val="28"/>
          <w:szCs w:val="28"/>
        </w:rPr>
        <w:t>109.6</w:t>
      </w:r>
      <w:r>
        <w:rPr>
          <w:rFonts w:hint="eastAsia" w:ascii="Times New Roman" w:hAnsi="Times New Roman" w:eastAsia="仿宋_GB2312"/>
          <w:bCs/>
          <w:color w:val="auto"/>
          <w:sz w:val="28"/>
          <w:szCs w:val="28"/>
          <w:lang w:val="en-US" w:eastAsia="zh-CN"/>
        </w:rPr>
        <w:t>4</w:t>
      </w:r>
      <w:r>
        <w:rPr>
          <w:rFonts w:ascii="Times New Roman" w:hAnsi="Times New Roman" w:eastAsia="仿宋_GB2312"/>
          <w:bCs/>
          <w:color w:val="auto"/>
          <w:sz w:val="28"/>
          <w:szCs w:val="28"/>
        </w:rPr>
        <w:t xml:space="preserve"> 公顷，蓄积量</w:t>
      </w:r>
      <w:r>
        <w:rPr>
          <w:rFonts w:hint="eastAsia" w:ascii="Times New Roman" w:hAnsi="Times New Roman" w:eastAsia="仿宋_GB2312"/>
          <w:bCs/>
          <w:color w:val="auto"/>
          <w:sz w:val="28"/>
          <w:szCs w:val="28"/>
        </w:rPr>
        <w:t>529.5</w:t>
      </w:r>
      <w:r>
        <w:rPr>
          <w:rFonts w:ascii="Times New Roman" w:hAnsi="Times New Roman" w:eastAsia="仿宋_GB2312"/>
          <w:bCs/>
          <w:color w:val="auto"/>
          <w:sz w:val="28"/>
          <w:szCs w:val="28"/>
        </w:rPr>
        <w:t>立方米</w:t>
      </w:r>
      <w:r>
        <w:rPr>
          <w:rFonts w:hint="eastAsia" w:ascii="Times New Roman" w:hAnsi="Times New Roman" w:eastAsia="仿宋_GB2312"/>
          <w:bCs/>
          <w:color w:val="auto"/>
          <w:sz w:val="28"/>
          <w:szCs w:val="28"/>
          <w:lang w:eastAsia="zh-CN"/>
        </w:rPr>
        <w:t>。平富乡</w:t>
      </w:r>
      <w:r>
        <w:rPr>
          <w:rFonts w:ascii="Times New Roman" w:hAnsi="Times New Roman" w:eastAsia="仿宋_GB2312"/>
          <w:bCs/>
          <w:color w:val="auto"/>
          <w:sz w:val="28"/>
          <w:szCs w:val="28"/>
        </w:rPr>
        <w:t>林地蓄积量统计如表9-1</w:t>
      </w:r>
      <w:r>
        <w:rPr>
          <w:rFonts w:hint="eastAsia" w:ascii="Times New Roman" w:hAnsi="Times New Roman" w:eastAsia="仿宋_GB2312"/>
          <w:bCs/>
          <w:color w:val="auto"/>
          <w:sz w:val="28"/>
          <w:szCs w:val="28"/>
          <w:lang w:val="en-US" w:eastAsia="zh-CN"/>
        </w:rPr>
        <w:t>2</w:t>
      </w:r>
      <w:r>
        <w:rPr>
          <w:rFonts w:ascii="Times New Roman" w:hAnsi="Times New Roman" w:eastAsia="仿宋_GB2312"/>
          <w:bCs/>
          <w:color w:val="auto"/>
          <w:sz w:val="28"/>
          <w:szCs w:val="28"/>
        </w:rPr>
        <w:t>所示：</w:t>
      </w:r>
    </w:p>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Times New Roman"/>
          <w:b/>
          <w:color w:val="auto"/>
          <w:kern w:val="2"/>
          <w:sz w:val="21"/>
          <w:szCs w:val="22"/>
          <w:lang w:val="en-US" w:eastAsia="zh-CN" w:bidi="ar-SA"/>
        </w:rPr>
      </w:pPr>
      <w:r>
        <w:rPr>
          <w:rFonts w:hint="eastAsia" w:ascii="Times New Roman" w:hAnsi="Times New Roman" w:eastAsia="仿宋_GB2312" w:cs="Times New Roman"/>
          <w:b/>
          <w:color w:val="auto"/>
          <w:kern w:val="2"/>
          <w:sz w:val="21"/>
          <w:szCs w:val="22"/>
          <w:lang w:val="en-US" w:eastAsia="zh-CN" w:bidi="ar-SA"/>
        </w:rPr>
        <w:t>表9-12 各乡镇林地蓄积量统计表</w:t>
      </w:r>
    </w:p>
    <w:p>
      <w:pPr>
        <w:pStyle w:val="26"/>
        <w:pageBreakBefore w:val="0"/>
        <w:kinsoku/>
        <w:wordWrap/>
        <w:overflowPunct/>
        <w:topLinePunct w:val="0"/>
        <w:bidi w:val="0"/>
        <w:spacing w:line="480" w:lineRule="exact"/>
        <w:ind w:firstLine="482"/>
        <w:jc w:val="right"/>
        <w:rPr>
          <w:rFonts w:hint="default" w:ascii="Times New Roman" w:hAnsi="Times New Roman" w:eastAsia="仿宋_GB2312" w:cs="Times New Roman"/>
          <w:b/>
          <w:color w:val="auto"/>
          <w:sz w:val="24"/>
          <w:szCs w:val="24"/>
        </w:rPr>
      </w:pPr>
      <w:r>
        <w:rPr>
          <w:rFonts w:hint="eastAsia" w:ascii="Times New Roman" w:hAnsi="Times New Roman" w:eastAsia="仿宋_GB2312" w:cs="Times New Roman"/>
          <w:b/>
          <w:color w:val="auto"/>
          <w:kern w:val="2"/>
          <w:sz w:val="21"/>
          <w:szCs w:val="22"/>
          <w:lang w:val="en-US" w:eastAsia="zh-CN" w:bidi="ar-SA"/>
        </w:rPr>
        <w:t>单位：立方米</w:t>
      </w:r>
    </w:p>
    <w:tbl>
      <w:tblPr>
        <w:tblStyle w:val="19"/>
        <w:tblW w:w="4998" w:type="pct"/>
        <w:tblInd w:w="0" w:type="dxa"/>
        <w:tblLayout w:type="autofit"/>
        <w:tblCellMar>
          <w:top w:w="0" w:type="dxa"/>
          <w:left w:w="108" w:type="dxa"/>
          <w:bottom w:w="0" w:type="dxa"/>
          <w:right w:w="108" w:type="dxa"/>
        </w:tblCellMar>
      </w:tblPr>
      <w:tblGrid>
        <w:gridCol w:w="2216"/>
        <w:gridCol w:w="1478"/>
        <w:gridCol w:w="1551"/>
        <w:gridCol w:w="1722"/>
        <w:gridCol w:w="1552"/>
      </w:tblGrid>
      <w:tr>
        <w:tblPrEx>
          <w:tblCellMar>
            <w:top w:w="0" w:type="dxa"/>
            <w:left w:w="108" w:type="dxa"/>
            <w:bottom w:w="0" w:type="dxa"/>
            <w:right w:w="108" w:type="dxa"/>
          </w:tblCellMar>
        </w:tblPrEx>
        <w:trPr>
          <w:trHeight w:val="255" w:hRule="atLeast"/>
          <w:tblHeader/>
        </w:trPr>
        <w:tc>
          <w:tcPr>
            <w:tcW w:w="1300"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auto"/>
                <w:kern w:val="0"/>
                <w:sz w:val="21"/>
                <w:szCs w:val="24"/>
                <w:lang w:val="en-US" w:eastAsia="zh-CN" w:bidi="ar"/>
              </w:rPr>
            </w:pPr>
            <w:r>
              <w:rPr>
                <w:rFonts w:hint="eastAsia" w:ascii="Times New Roman" w:hAnsi="Times New Roman" w:eastAsia="仿宋_GB2312" w:cs="Times New Roman"/>
                <w:b/>
                <w:bCs w:val="0"/>
                <w:color w:val="auto"/>
                <w:kern w:val="0"/>
                <w:sz w:val="21"/>
                <w:szCs w:val="24"/>
                <w:lang w:val="en-US" w:eastAsia="zh-CN" w:bidi="ar"/>
              </w:rPr>
              <w:t>地类</w:t>
            </w:r>
          </w:p>
        </w:tc>
        <w:tc>
          <w:tcPr>
            <w:tcW w:w="867"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auto"/>
                <w:kern w:val="0"/>
                <w:sz w:val="21"/>
                <w:szCs w:val="24"/>
                <w:lang w:val="en-US" w:eastAsia="zh-CN" w:bidi="ar"/>
              </w:rPr>
            </w:pPr>
            <w:r>
              <w:rPr>
                <w:rFonts w:hint="eastAsia" w:ascii="Times New Roman" w:hAnsi="Times New Roman" w:eastAsia="仿宋_GB2312" w:cs="Times New Roman"/>
                <w:b/>
                <w:bCs w:val="0"/>
                <w:color w:val="auto"/>
                <w:kern w:val="0"/>
                <w:sz w:val="21"/>
                <w:szCs w:val="24"/>
                <w:lang w:val="en-US" w:eastAsia="zh-CN" w:bidi="ar"/>
              </w:rPr>
              <w:t>面积</w:t>
            </w:r>
          </w:p>
        </w:tc>
        <w:tc>
          <w:tcPr>
            <w:tcW w:w="910"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auto"/>
                <w:kern w:val="0"/>
                <w:sz w:val="21"/>
                <w:szCs w:val="24"/>
                <w:lang w:val="en-US" w:eastAsia="zh-CN" w:bidi="ar"/>
              </w:rPr>
            </w:pPr>
            <w:r>
              <w:rPr>
                <w:rFonts w:hint="eastAsia" w:ascii="Times New Roman" w:hAnsi="Times New Roman" w:eastAsia="仿宋_GB2312" w:cs="Times New Roman"/>
                <w:b/>
                <w:bCs w:val="0"/>
                <w:color w:val="auto"/>
                <w:kern w:val="0"/>
                <w:sz w:val="21"/>
                <w:szCs w:val="24"/>
                <w:lang w:val="en-US" w:eastAsia="zh-CN" w:bidi="ar"/>
              </w:rPr>
              <w:t>占比</w:t>
            </w:r>
          </w:p>
        </w:tc>
        <w:tc>
          <w:tcPr>
            <w:tcW w:w="1010"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auto"/>
                <w:kern w:val="0"/>
                <w:sz w:val="21"/>
                <w:szCs w:val="24"/>
                <w:lang w:val="en-US" w:eastAsia="zh-CN" w:bidi="ar"/>
              </w:rPr>
            </w:pPr>
            <w:r>
              <w:rPr>
                <w:rFonts w:hint="eastAsia" w:ascii="Times New Roman" w:hAnsi="Times New Roman" w:eastAsia="仿宋_GB2312" w:cs="Times New Roman"/>
                <w:b/>
                <w:bCs w:val="0"/>
                <w:color w:val="auto"/>
                <w:kern w:val="0"/>
                <w:sz w:val="21"/>
                <w:szCs w:val="24"/>
                <w:lang w:val="en-US" w:eastAsia="zh-CN" w:bidi="ar"/>
              </w:rPr>
              <w:t>林木蓄积量</w:t>
            </w:r>
          </w:p>
        </w:tc>
        <w:tc>
          <w:tcPr>
            <w:tcW w:w="910"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auto"/>
                <w:kern w:val="0"/>
                <w:sz w:val="21"/>
                <w:szCs w:val="24"/>
                <w:lang w:val="en-US" w:eastAsia="zh-CN" w:bidi="ar"/>
              </w:rPr>
            </w:pPr>
            <w:r>
              <w:rPr>
                <w:rFonts w:hint="eastAsia" w:ascii="Times New Roman" w:hAnsi="Times New Roman" w:eastAsia="仿宋_GB2312" w:cs="Times New Roman"/>
                <w:b/>
                <w:bCs w:val="0"/>
                <w:color w:val="auto"/>
                <w:kern w:val="0"/>
                <w:sz w:val="21"/>
                <w:szCs w:val="24"/>
                <w:lang w:val="en-US" w:eastAsia="zh-CN" w:bidi="ar"/>
              </w:rPr>
              <w:t>占比</w:t>
            </w:r>
          </w:p>
        </w:tc>
      </w:tr>
      <w:tr>
        <w:tblPrEx>
          <w:tblCellMar>
            <w:top w:w="0" w:type="dxa"/>
            <w:left w:w="108" w:type="dxa"/>
            <w:bottom w:w="0" w:type="dxa"/>
            <w:right w:w="108" w:type="dxa"/>
          </w:tblCellMar>
        </w:tblPrEx>
        <w:trPr>
          <w:trHeight w:val="255" w:hRule="atLeast"/>
        </w:trPr>
        <w:tc>
          <w:tcPr>
            <w:tcW w:w="1300"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乔木林地</w:t>
            </w:r>
          </w:p>
        </w:tc>
        <w:tc>
          <w:tcPr>
            <w:tcW w:w="867"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6046.29</w:t>
            </w:r>
          </w:p>
        </w:tc>
        <w:tc>
          <w:tcPr>
            <w:tcW w:w="910" w:type="pct"/>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78.12%</w:t>
            </w:r>
          </w:p>
        </w:tc>
        <w:tc>
          <w:tcPr>
            <w:tcW w:w="1010"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default"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35215.5</w:t>
            </w:r>
          </w:p>
        </w:tc>
        <w:tc>
          <w:tcPr>
            <w:tcW w:w="910"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99.41%</w:t>
            </w:r>
          </w:p>
        </w:tc>
      </w:tr>
      <w:tr>
        <w:tblPrEx>
          <w:tblCellMar>
            <w:top w:w="0" w:type="dxa"/>
            <w:left w:w="108" w:type="dxa"/>
            <w:bottom w:w="0" w:type="dxa"/>
            <w:right w:w="108" w:type="dxa"/>
          </w:tblCellMar>
        </w:tblPrEx>
        <w:trPr>
          <w:trHeight w:val="255" w:hRule="atLeast"/>
        </w:trPr>
        <w:tc>
          <w:tcPr>
            <w:tcW w:w="1300"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竹林地</w:t>
            </w:r>
          </w:p>
        </w:tc>
        <w:tc>
          <w:tcPr>
            <w:tcW w:w="867"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1201.67</w:t>
            </w:r>
          </w:p>
        </w:tc>
        <w:tc>
          <w:tcPr>
            <w:tcW w:w="910" w:type="pct"/>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15.53%</w:t>
            </w:r>
          </w:p>
        </w:tc>
        <w:tc>
          <w:tcPr>
            <w:tcW w:w="1010"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0</w:t>
            </w:r>
          </w:p>
        </w:tc>
        <w:tc>
          <w:tcPr>
            <w:tcW w:w="910"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0.00%</w:t>
            </w:r>
          </w:p>
        </w:tc>
      </w:tr>
      <w:tr>
        <w:tblPrEx>
          <w:tblCellMar>
            <w:top w:w="0" w:type="dxa"/>
            <w:left w:w="108" w:type="dxa"/>
            <w:bottom w:w="0" w:type="dxa"/>
            <w:right w:w="108" w:type="dxa"/>
          </w:tblCellMar>
        </w:tblPrEx>
        <w:trPr>
          <w:trHeight w:val="255" w:hRule="atLeast"/>
        </w:trPr>
        <w:tc>
          <w:tcPr>
            <w:tcW w:w="1300"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疏林地</w:t>
            </w:r>
          </w:p>
        </w:tc>
        <w:tc>
          <w:tcPr>
            <w:tcW w:w="867"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55.91</w:t>
            </w:r>
          </w:p>
        </w:tc>
        <w:tc>
          <w:tcPr>
            <w:tcW w:w="910" w:type="pct"/>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0.72%</w:t>
            </w:r>
          </w:p>
        </w:tc>
        <w:tc>
          <w:tcPr>
            <w:tcW w:w="1010"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default"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210</w:t>
            </w:r>
          </w:p>
        </w:tc>
        <w:tc>
          <w:tcPr>
            <w:tcW w:w="910"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0.59%</w:t>
            </w:r>
          </w:p>
        </w:tc>
      </w:tr>
      <w:tr>
        <w:tblPrEx>
          <w:tblCellMar>
            <w:top w:w="0" w:type="dxa"/>
            <w:left w:w="108" w:type="dxa"/>
            <w:bottom w:w="0" w:type="dxa"/>
            <w:right w:w="108" w:type="dxa"/>
          </w:tblCellMar>
        </w:tblPrEx>
        <w:trPr>
          <w:trHeight w:val="255" w:hRule="atLeast"/>
        </w:trPr>
        <w:tc>
          <w:tcPr>
            <w:tcW w:w="1300"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灌木林地</w:t>
            </w:r>
          </w:p>
        </w:tc>
        <w:tc>
          <w:tcPr>
            <w:tcW w:w="867"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237.02</w:t>
            </w:r>
          </w:p>
        </w:tc>
        <w:tc>
          <w:tcPr>
            <w:tcW w:w="910" w:type="pct"/>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3.06%</w:t>
            </w:r>
          </w:p>
        </w:tc>
        <w:tc>
          <w:tcPr>
            <w:tcW w:w="1010"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0</w:t>
            </w:r>
          </w:p>
        </w:tc>
        <w:tc>
          <w:tcPr>
            <w:tcW w:w="910"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0.00%</w:t>
            </w:r>
          </w:p>
        </w:tc>
      </w:tr>
      <w:tr>
        <w:tblPrEx>
          <w:tblCellMar>
            <w:top w:w="0" w:type="dxa"/>
            <w:left w:w="108" w:type="dxa"/>
            <w:bottom w:w="0" w:type="dxa"/>
            <w:right w:w="108" w:type="dxa"/>
          </w:tblCellMar>
        </w:tblPrEx>
        <w:trPr>
          <w:trHeight w:val="255" w:hRule="atLeast"/>
        </w:trPr>
        <w:tc>
          <w:tcPr>
            <w:tcW w:w="1300"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未成林造林地</w:t>
            </w:r>
          </w:p>
        </w:tc>
        <w:tc>
          <w:tcPr>
            <w:tcW w:w="867"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137.70</w:t>
            </w:r>
          </w:p>
        </w:tc>
        <w:tc>
          <w:tcPr>
            <w:tcW w:w="910" w:type="pct"/>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1.78%</w:t>
            </w:r>
          </w:p>
        </w:tc>
        <w:tc>
          <w:tcPr>
            <w:tcW w:w="1010"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0</w:t>
            </w:r>
          </w:p>
        </w:tc>
        <w:tc>
          <w:tcPr>
            <w:tcW w:w="910"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0.00%</w:t>
            </w:r>
          </w:p>
        </w:tc>
      </w:tr>
      <w:tr>
        <w:tblPrEx>
          <w:tblCellMar>
            <w:top w:w="0" w:type="dxa"/>
            <w:left w:w="108" w:type="dxa"/>
            <w:bottom w:w="0" w:type="dxa"/>
            <w:right w:w="108" w:type="dxa"/>
          </w:tblCellMar>
        </w:tblPrEx>
        <w:trPr>
          <w:trHeight w:val="255" w:hRule="atLeast"/>
        </w:trPr>
        <w:tc>
          <w:tcPr>
            <w:tcW w:w="1300"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迹地</w:t>
            </w:r>
          </w:p>
        </w:tc>
        <w:tc>
          <w:tcPr>
            <w:tcW w:w="867"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56.91</w:t>
            </w:r>
          </w:p>
        </w:tc>
        <w:tc>
          <w:tcPr>
            <w:tcW w:w="910" w:type="pct"/>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0.74%</w:t>
            </w:r>
          </w:p>
        </w:tc>
        <w:tc>
          <w:tcPr>
            <w:tcW w:w="1010"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0</w:t>
            </w:r>
          </w:p>
        </w:tc>
        <w:tc>
          <w:tcPr>
            <w:tcW w:w="910"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0.00%</w:t>
            </w:r>
          </w:p>
        </w:tc>
      </w:tr>
      <w:tr>
        <w:tblPrEx>
          <w:tblCellMar>
            <w:top w:w="0" w:type="dxa"/>
            <w:left w:w="108" w:type="dxa"/>
            <w:bottom w:w="0" w:type="dxa"/>
            <w:right w:w="108" w:type="dxa"/>
          </w:tblCellMar>
        </w:tblPrEx>
        <w:trPr>
          <w:trHeight w:val="255" w:hRule="atLeast"/>
        </w:trPr>
        <w:tc>
          <w:tcPr>
            <w:tcW w:w="1300"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苗圃地</w:t>
            </w:r>
          </w:p>
        </w:tc>
        <w:tc>
          <w:tcPr>
            <w:tcW w:w="867"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4.45</w:t>
            </w:r>
          </w:p>
        </w:tc>
        <w:tc>
          <w:tcPr>
            <w:tcW w:w="910" w:type="pct"/>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0.06%</w:t>
            </w:r>
          </w:p>
        </w:tc>
        <w:tc>
          <w:tcPr>
            <w:tcW w:w="1010"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0</w:t>
            </w:r>
          </w:p>
        </w:tc>
        <w:tc>
          <w:tcPr>
            <w:tcW w:w="910"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0.00%</w:t>
            </w:r>
          </w:p>
        </w:tc>
      </w:tr>
      <w:tr>
        <w:tblPrEx>
          <w:tblCellMar>
            <w:top w:w="0" w:type="dxa"/>
            <w:left w:w="108" w:type="dxa"/>
            <w:bottom w:w="0" w:type="dxa"/>
            <w:right w:w="108" w:type="dxa"/>
          </w:tblCellMar>
        </w:tblPrEx>
        <w:trPr>
          <w:trHeight w:val="255" w:hRule="atLeast"/>
        </w:trPr>
        <w:tc>
          <w:tcPr>
            <w:tcW w:w="1300"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合计</w:t>
            </w:r>
          </w:p>
        </w:tc>
        <w:tc>
          <w:tcPr>
            <w:tcW w:w="867"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7739.98</w:t>
            </w:r>
          </w:p>
        </w:tc>
        <w:tc>
          <w:tcPr>
            <w:tcW w:w="910" w:type="pct"/>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100.00%</w:t>
            </w:r>
          </w:p>
        </w:tc>
        <w:tc>
          <w:tcPr>
            <w:tcW w:w="1010"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35425.5</w:t>
            </w:r>
          </w:p>
        </w:tc>
        <w:tc>
          <w:tcPr>
            <w:tcW w:w="910" w:type="pc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100.00%</w:t>
            </w:r>
          </w:p>
        </w:tc>
      </w:tr>
    </w:tbl>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hint="eastAsia" w:ascii="Times New Roman" w:hAnsi="Times New Roman" w:eastAsia="仿宋_GB2312"/>
          <w:bCs/>
          <w:color w:val="auto"/>
          <w:sz w:val="28"/>
          <w:szCs w:val="28"/>
          <w:lang w:val="en-US" w:eastAsia="zh-CN"/>
        </w:rPr>
        <w:t>3</w:t>
      </w:r>
      <w:r>
        <w:rPr>
          <w:rFonts w:ascii="Times New Roman" w:hAnsi="Times New Roman" w:eastAsia="仿宋_GB2312"/>
          <w:bCs/>
          <w:color w:val="auto"/>
          <w:sz w:val="28"/>
          <w:szCs w:val="28"/>
        </w:rPr>
        <w:t>、森林资源质量情况</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hint="eastAsia" w:ascii="Times New Roman" w:hAnsi="Times New Roman" w:eastAsia="仿宋_GB2312"/>
          <w:bCs/>
          <w:color w:val="auto"/>
          <w:sz w:val="28"/>
          <w:szCs w:val="28"/>
          <w:lang w:eastAsia="zh-CN"/>
        </w:rPr>
        <w:t>平富乡</w:t>
      </w:r>
      <w:r>
        <w:rPr>
          <w:rFonts w:ascii="Times New Roman" w:hAnsi="Times New Roman" w:eastAsia="仿宋_GB2312"/>
          <w:bCs/>
          <w:color w:val="auto"/>
          <w:sz w:val="28"/>
          <w:szCs w:val="28"/>
        </w:rPr>
        <w:t>境内森林资源较为丰富，质量较高。应大力推进多树种、多层次、多混交的造林模式，不断改善林种树种结构，整体提升森林生态系统的生态功能。同时重点推进乡村路边、水边、房边绿化美化，广植彩叶树种，打造不同季节不同森林景观。通过有目的、有计划、有步骤地改造现有森林结构，采取针叶林改阔叶林、纯林改混交林、低效林改中高效林以及景观林彩化美化和补植补造珍贵树种等措施，</w:t>
      </w:r>
      <w:r>
        <w:rPr>
          <w:rFonts w:hint="eastAsia" w:ascii="Times New Roman" w:hAnsi="Times New Roman" w:eastAsia="仿宋_GB2312"/>
          <w:bCs/>
          <w:color w:val="auto"/>
          <w:sz w:val="28"/>
          <w:szCs w:val="28"/>
          <w:lang w:eastAsia="zh-CN"/>
        </w:rPr>
        <w:t>平富乡</w:t>
      </w:r>
      <w:r>
        <w:rPr>
          <w:rFonts w:ascii="Times New Roman" w:hAnsi="Times New Roman" w:eastAsia="仿宋_GB2312"/>
          <w:bCs/>
          <w:color w:val="auto"/>
          <w:sz w:val="28"/>
          <w:szCs w:val="28"/>
        </w:rPr>
        <w:t>森林质量得到切实提升。</w:t>
      </w:r>
    </w:p>
    <w:p>
      <w:pPr>
        <w:pStyle w:val="17"/>
        <w:pageBreakBefore w:val="0"/>
        <w:kinsoku/>
        <w:wordWrap/>
        <w:overflowPunct/>
        <w:topLinePunct w:val="0"/>
        <w:bidi w:val="0"/>
        <w:spacing w:after="0" w:line="480" w:lineRule="exact"/>
        <w:ind w:firstLine="560" w:firstLineChars="200"/>
        <w:rPr>
          <w:rFonts w:ascii="Times New Roman" w:hAnsi="Times New Roman" w:eastAsia="仿宋_GB2312"/>
          <w:bCs/>
          <w:color w:val="auto"/>
          <w:sz w:val="28"/>
          <w:szCs w:val="28"/>
        </w:rPr>
      </w:pPr>
      <w:r>
        <w:rPr>
          <w:rFonts w:ascii="Times New Roman" w:hAnsi="Times New Roman" w:eastAsia="仿宋_GB2312"/>
          <w:bCs/>
          <w:color w:val="auto"/>
          <w:sz w:val="28"/>
          <w:szCs w:val="28"/>
        </w:rPr>
        <w:t>根据</w:t>
      </w:r>
      <w:r>
        <w:rPr>
          <w:rFonts w:hint="eastAsia" w:ascii="Times New Roman" w:hAnsi="Times New Roman" w:eastAsia="仿宋_GB2312"/>
          <w:bCs/>
          <w:color w:val="auto"/>
          <w:sz w:val="28"/>
          <w:szCs w:val="28"/>
          <w:lang w:eastAsia="zh-CN"/>
        </w:rPr>
        <w:t>上犹县</w:t>
      </w:r>
      <w:r>
        <w:rPr>
          <w:rFonts w:ascii="Times New Roman" w:hAnsi="Times New Roman" w:eastAsia="仿宋_GB2312"/>
          <w:bCs/>
          <w:color w:val="auto"/>
          <w:sz w:val="28"/>
          <w:szCs w:val="28"/>
        </w:rPr>
        <w:t>林业二调数据调查结果，</w:t>
      </w:r>
      <w:r>
        <w:rPr>
          <w:rFonts w:hint="eastAsia" w:ascii="Times New Roman" w:hAnsi="Times New Roman" w:eastAsia="仿宋_GB2312"/>
          <w:bCs/>
          <w:color w:val="auto"/>
          <w:sz w:val="28"/>
          <w:szCs w:val="28"/>
          <w:lang w:eastAsia="zh-CN"/>
        </w:rPr>
        <w:t>平富乡</w:t>
      </w:r>
      <w:r>
        <w:rPr>
          <w:rFonts w:ascii="Times New Roman" w:hAnsi="Times New Roman" w:eastAsia="仿宋_GB2312"/>
          <w:bCs/>
          <w:color w:val="auto"/>
          <w:sz w:val="28"/>
          <w:szCs w:val="28"/>
        </w:rPr>
        <w:t>Ⅱ级林地</w:t>
      </w:r>
      <w:r>
        <w:rPr>
          <w:rFonts w:hint="eastAsia" w:ascii="Times New Roman" w:hAnsi="Times New Roman" w:eastAsia="仿宋_GB2312"/>
          <w:bCs/>
          <w:color w:val="auto"/>
          <w:sz w:val="28"/>
          <w:szCs w:val="28"/>
          <w:lang w:val="en-US" w:eastAsia="zh-CN"/>
        </w:rPr>
        <w:t>6075.78</w:t>
      </w:r>
      <w:r>
        <w:rPr>
          <w:rFonts w:ascii="Times New Roman" w:hAnsi="Times New Roman" w:eastAsia="仿宋_GB2312"/>
          <w:bCs/>
          <w:color w:val="auto"/>
          <w:sz w:val="28"/>
          <w:szCs w:val="28"/>
        </w:rPr>
        <w:t>公顷，Ⅲ级林地</w:t>
      </w:r>
      <w:r>
        <w:rPr>
          <w:rFonts w:hint="eastAsia" w:ascii="Times New Roman" w:hAnsi="Times New Roman" w:eastAsia="仿宋_GB2312"/>
          <w:bCs/>
          <w:color w:val="auto"/>
          <w:sz w:val="28"/>
          <w:szCs w:val="28"/>
          <w:lang w:val="en-US" w:eastAsia="zh-CN"/>
        </w:rPr>
        <w:t>1576.63</w:t>
      </w:r>
      <w:r>
        <w:rPr>
          <w:rFonts w:ascii="Times New Roman" w:hAnsi="Times New Roman" w:eastAsia="仿宋_GB2312"/>
          <w:bCs/>
          <w:color w:val="auto"/>
          <w:sz w:val="28"/>
          <w:szCs w:val="28"/>
        </w:rPr>
        <w:t>公顷，Ⅳ级林地</w:t>
      </w:r>
      <w:r>
        <w:rPr>
          <w:rFonts w:hint="eastAsia" w:ascii="Times New Roman" w:hAnsi="Times New Roman" w:eastAsia="仿宋_GB2312"/>
          <w:bCs/>
          <w:color w:val="auto"/>
          <w:sz w:val="28"/>
          <w:szCs w:val="28"/>
          <w:lang w:val="en-US" w:eastAsia="zh-CN"/>
        </w:rPr>
        <w:t>86.82</w:t>
      </w:r>
      <w:r>
        <w:rPr>
          <w:rFonts w:ascii="Times New Roman" w:hAnsi="Times New Roman" w:eastAsia="仿宋_GB2312"/>
          <w:bCs/>
          <w:color w:val="auto"/>
          <w:sz w:val="28"/>
          <w:szCs w:val="28"/>
        </w:rPr>
        <w:t>公顷、Ⅴ级林地</w:t>
      </w:r>
      <w:r>
        <w:rPr>
          <w:rFonts w:hint="eastAsia" w:ascii="Times New Roman" w:hAnsi="Times New Roman" w:eastAsia="仿宋_GB2312"/>
          <w:bCs/>
          <w:color w:val="auto"/>
          <w:sz w:val="28"/>
          <w:szCs w:val="28"/>
          <w:lang w:val="en-US" w:eastAsia="zh-CN"/>
        </w:rPr>
        <w:t>0.75</w:t>
      </w:r>
      <w:r>
        <w:rPr>
          <w:rFonts w:ascii="Times New Roman" w:hAnsi="Times New Roman" w:eastAsia="仿宋_GB2312"/>
          <w:bCs/>
          <w:color w:val="auto"/>
          <w:sz w:val="28"/>
          <w:szCs w:val="28"/>
        </w:rPr>
        <w:t>公顷。</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hint="eastAsia" w:ascii="Times New Roman" w:hAnsi="Times New Roman" w:eastAsia="仿宋_GB2312"/>
          <w:bCs/>
          <w:color w:val="auto"/>
          <w:sz w:val="28"/>
          <w:szCs w:val="28"/>
          <w:lang w:val="en-US" w:eastAsia="zh-CN"/>
        </w:rPr>
        <w:t>4</w:t>
      </w:r>
      <w:r>
        <w:rPr>
          <w:rFonts w:ascii="Times New Roman" w:hAnsi="Times New Roman" w:eastAsia="仿宋_GB2312"/>
          <w:bCs/>
          <w:color w:val="auto"/>
          <w:sz w:val="28"/>
          <w:szCs w:val="28"/>
        </w:rPr>
        <w:t>、森林资源的征占用及植树造林情况</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由于社会经济发展的需要，对于森林资源的征占用难以避免，关键在于建立并完善征占用林地的审核审批程序，以期在合理范围内达成保护与利用的平衡。同时，通过植树造林，扩大山林资源，保护环境，实现森林资源的占补平衡，营造更好的生态环境。</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2016至2019年，</w:t>
      </w:r>
      <w:r>
        <w:rPr>
          <w:rFonts w:hint="eastAsia" w:ascii="Times New Roman" w:hAnsi="Times New Roman" w:eastAsia="仿宋_GB2312"/>
          <w:bCs/>
          <w:color w:val="auto"/>
          <w:sz w:val="28"/>
          <w:szCs w:val="28"/>
          <w:lang w:eastAsia="zh-CN"/>
        </w:rPr>
        <w:t>平富乡</w:t>
      </w:r>
      <w:r>
        <w:rPr>
          <w:rFonts w:ascii="Times New Roman" w:hAnsi="Times New Roman" w:eastAsia="仿宋_GB2312"/>
          <w:bCs/>
          <w:color w:val="auto"/>
          <w:sz w:val="28"/>
          <w:szCs w:val="28"/>
        </w:rPr>
        <w:t>累计征占用林地</w:t>
      </w:r>
      <w:r>
        <w:rPr>
          <w:rFonts w:hint="eastAsia" w:ascii="Times New Roman" w:hAnsi="Times New Roman" w:eastAsia="仿宋_GB2312"/>
          <w:bCs/>
          <w:color w:val="auto"/>
          <w:sz w:val="28"/>
          <w:szCs w:val="28"/>
          <w:lang w:val="en-US" w:eastAsia="zh-CN"/>
        </w:rPr>
        <w:t>215.78</w:t>
      </w:r>
      <w:r>
        <w:rPr>
          <w:rFonts w:ascii="Times New Roman" w:hAnsi="Times New Roman" w:eastAsia="仿宋_GB2312"/>
          <w:bCs/>
          <w:color w:val="auto"/>
          <w:sz w:val="28"/>
          <w:szCs w:val="28"/>
        </w:rPr>
        <w:t>公顷，人工造林面积</w:t>
      </w:r>
      <w:r>
        <w:rPr>
          <w:rFonts w:hint="eastAsia" w:ascii="Times New Roman" w:hAnsi="Times New Roman" w:eastAsia="仿宋_GB2312"/>
          <w:bCs/>
          <w:color w:val="auto"/>
          <w:sz w:val="28"/>
          <w:szCs w:val="28"/>
          <w:lang w:val="en-US" w:eastAsia="zh-CN"/>
        </w:rPr>
        <w:t>66.24</w:t>
      </w:r>
      <w:r>
        <w:rPr>
          <w:rFonts w:ascii="Times New Roman" w:hAnsi="Times New Roman" w:eastAsia="仿宋_GB2312"/>
          <w:bCs/>
          <w:color w:val="auto"/>
          <w:sz w:val="28"/>
          <w:szCs w:val="28"/>
        </w:rPr>
        <w:t>公顷，封山育林面积</w:t>
      </w:r>
      <w:r>
        <w:rPr>
          <w:rFonts w:hint="eastAsia" w:ascii="Times New Roman" w:hAnsi="Times New Roman" w:eastAsia="仿宋_GB2312"/>
          <w:bCs/>
          <w:color w:val="auto"/>
          <w:sz w:val="28"/>
          <w:szCs w:val="28"/>
          <w:lang w:val="en-US" w:eastAsia="zh-CN"/>
        </w:rPr>
        <w:t>149.54</w:t>
      </w:r>
      <w:r>
        <w:rPr>
          <w:rFonts w:ascii="Times New Roman" w:hAnsi="Times New Roman" w:eastAsia="仿宋_GB2312"/>
          <w:bCs/>
          <w:color w:val="auto"/>
          <w:sz w:val="28"/>
          <w:szCs w:val="28"/>
        </w:rPr>
        <w:t>公顷。</w:t>
      </w:r>
    </w:p>
    <w:p>
      <w:pPr>
        <w:pStyle w:val="17"/>
        <w:pageBreakBefore w:val="0"/>
        <w:kinsoku/>
        <w:wordWrap/>
        <w:overflowPunct/>
        <w:topLinePunct w:val="0"/>
        <w:bidi w:val="0"/>
        <w:spacing w:after="0" w:line="480" w:lineRule="exact"/>
        <w:ind w:left="0" w:leftChars="0" w:firstLine="560" w:firstLineChars="200"/>
        <w:rPr>
          <w:rFonts w:hint="eastAsia" w:ascii="Times New Roman" w:hAnsi="Times New Roman" w:eastAsia="仿宋_GB2312"/>
          <w:bCs/>
          <w:color w:val="auto"/>
          <w:sz w:val="28"/>
          <w:szCs w:val="28"/>
          <w:lang w:val="en-US" w:eastAsia="zh-CN"/>
        </w:rPr>
      </w:pPr>
      <w:r>
        <w:rPr>
          <w:rFonts w:hint="eastAsia" w:ascii="Times New Roman" w:hAnsi="Times New Roman" w:eastAsia="仿宋_GB2312"/>
          <w:bCs/>
          <w:color w:val="auto"/>
          <w:sz w:val="28"/>
          <w:szCs w:val="28"/>
          <w:lang w:val="en-US" w:eastAsia="zh-CN"/>
        </w:rPr>
        <w:t>5、森林资源的灾害情况</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lang w:val="en-US" w:eastAsia="zh-CN"/>
        </w:rPr>
      </w:pPr>
      <w:r>
        <w:rPr>
          <w:rFonts w:hint="eastAsia" w:ascii="Times New Roman" w:hAnsi="Times New Roman" w:eastAsia="仿宋_GB2312"/>
          <w:bCs/>
          <w:color w:val="auto"/>
          <w:sz w:val="28"/>
          <w:szCs w:val="28"/>
          <w:lang w:val="en-US" w:eastAsia="zh-CN"/>
        </w:rPr>
        <w:t>（1）病虫害及森林火灾情况</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lang w:val="en-US" w:eastAsia="zh-CN"/>
        </w:rPr>
      </w:pPr>
      <w:r>
        <w:rPr>
          <w:rFonts w:hint="eastAsia" w:ascii="Times New Roman" w:hAnsi="Times New Roman" w:eastAsia="仿宋_GB2312"/>
          <w:bCs/>
          <w:color w:val="auto"/>
          <w:sz w:val="28"/>
          <w:szCs w:val="28"/>
          <w:lang w:val="en-US" w:eastAsia="zh-CN"/>
        </w:rPr>
        <w:t>根据上犹县林业二调数据结果，平富乡历年受病虫害面积为203.35公顷，其中轻度面积0.40公顷，中度面积175.00公顷，重度面积27.95公顷。</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hint="eastAsia" w:ascii="Times New Roman" w:hAnsi="Times New Roman" w:eastAsia="仿宋_GB2312"/>
          <w:bCs/>
          <w:color w:val="auto"/>
          <w:sz w:val="28"/>
          <w:szCs w:val="28"/>
          <w:lang w:val="en-US" w:eastAsia="zh-CN"/>
        </w:rPr>
        <w:t>根据上犹县林业二调数据结果，平富乡历年受火灾林地面积109.79公顷，均为轻度风险等级。森林火灾波及面积大，蔓延范围广阔，容易造成巨大损失，必须加强管控及应急防护措施。</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lang w:val="en-US" w:eastAsia="zh-CN"/>
        </w:rPr>
      </w:pPr>
      <w:r>
        <w:rPr>
          <w:rFonts w:hint="eastAsia" w:ascii="Times New Roman" w:hAnsi="Times New Roman" w:eastAsia="仿宋_GB2312"/>
          <w:bCs/>
          <w:color w:val="auto"/>
          <w:sz w:val="28"/>
          <w:szCs w:val="28"/>
          <w:lang w:val="en-US" w:eastAsia="zh-CN"/>
        </w:rPr>
        <w:t>根据上犹县林业二调数据结果，平富乡林业其他灾害面积880.90公顷，其中轻度灾害78.42公顷，中度灾害面积82.25公顷，重度灾害面积720.23公顷。</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lang w:val="en-US" w:eastAsia="zh-CN"/>
        </w:rPr>
      </w:pPr>
      <w:r>
        <w:rPr>
          <w:rFonts w:hint="eastAsia" w:ascii="Times New Roman" w:hAnsi="Times New Roman" w:eastAsia="仿宋_GB2312"/>
          <w:bCs/>
          <w:color w:val="auto"/>
          <w:sz w:val="28"/>
          <w:szCs w:val="28"/>
          <w:lang w:val="en-US" w:eastAsia="zh-CN"/>
        </w:rPr>
        <w:t>各灾害情况如表9-13。</w:t>
      </w:r>
    </w:p>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Times New Roman"/>
          <w:b/>
          <w:color w:val="auto"/>
          <w:kern w:val="2"/>
          <w:sz w:val="21"/>
          <w:szCs w:val="22"/>
          <w:lang w:val="en-US" w:eastAsia="zh-CN" w:bidi="ar-SA"/>
        </w:rPr>
      </w:pPr>
      <w:r>
        <w:rPr>
          <w:rFonts w:hint="eastAsia" w:ascii="Times New Roman" w:hAnsi="Times New Roman" w:eastAsia="仿宋_GB2312" w:cs="Times New Roman"/>
          <w:b/>
          <w:color w:val="auto"/>
          <w:kern w:val="2"/>
          <w:sz w:val="21"/>
          <w:szCs w:val="22"/>
          <w:lang w:val="en-US" w:eastAsia="zh-CN" w:bidi="ar-SA"/>
        </w:rPr>
        <w:t>表9-13 森林灾害统计表</w:t>
      </w:r>
    </w:p>
    <w:p>
      <w:pPr>
        <w:keepNext/>
        <w:pageBreakBefore w:val="0"/>
        <w:kinsoku/>
        <w:wordWrap/>
        <w:overflowPunct/>
        <w:topLinePunct w:val="0"/>
        <w:bidi w:val="0"/>
        <w:snapToGrid w:val="0"/>
        <w:spacing w:line="480" w:lineRule="exact"/>
        <w:ind w:firstLine="0" w:firstLineChars="0"/>
        <w:jc w:val="right"/>
        <w:rPr>
          <w:rFonts w:hint="default" w:ascii="Times New Roman" w:hAnsi="Times New Roman" w:eastAsia="仿宋_GB2312" w:cs="Times New Roman"/>
          <w:b/>
          <w:color w:val="auto"/>
          <w:kern w:val="2"/>
          <w:sz w:val="21"/>
          <w:szCs w:val="22"/>
          <w:lang w:val="en-US" w:eastAsia="zh-CN" w:bidi="ar-SA"/>
        </w:rPr>
      </w:pPr>
      <w:r>
        <w:rPr>
          <w:rFonts w:hint="eastAsia" w:ascii="Times New Roman" w:hAnsi="Times New Roman" w:eastAsia="仿宋_GB2312" w:cs="Times New Roman"/>
          <w:b/>
          <w:color w:val="auto"/>
          <w:kern w:val="2"/>
          <w:sz w:val="21"/>
          <w:szCs w:val="22"/>
          <w:lang w:val="en-US" w:eastAsia="zh-CN" w:bidi="ar-SA"/>
        </w:rPr>
        <w:t>单位：公顷</w:t>
      </w:r>
    </w:p>
    <w:tbl>
      <w:tblPr>
        <w:tblStyle w:val="19"/>
        <w:tblW w:w="4833" w:type="pct"/>
        <w:tblInd w:w="0" w:type="dxa"/>
        <w:tblLayout w:type="autofit"/>
        <w:tblCellMar>
          <w:top w:w="0" w:type="dxa"/>
          <w:left w:w="108" w:type="dxa"/>
          <w:bottom w:w="0" w:type="dxa"/>
          <w:right w:w="108" w:type="dxa"/>
        </w:tblCellMar>
      </w:tblPr>
      <w:tblGrid>
        <w:gridCol w:w="3359"/>
        <w:gridCol w:w="1325"/>
        <w:gridCol w:w="1111"/>
        <w:gridCol w:w="1111"/>
        <w:gridCol w:w="1331"/>
      </w:tblGrid>
      <w:tr>
        <w:tblPrEx>
          <w:tblCellMar>
            <w:top w:w="0" w:type="dxa"/>
            <w:left w:w="108" w:type="dxa"/>
            <w:bottom w:w="0" w:type="dxa"/>
            <w:right w:w="108" w:type="dxa"/>
          </w:tblCellMar>
        </w:tblPrEx>
        <w:trPr>
          <w:trHeight w:val="389" w:hRule="atLeast"/>
          <w:tblHeader/>
        </w:trPr>
        <w:tc>
          <w:tcPr>
            <w:tcW w:w="2039" w:type="pct"/>
            <w:vMerge w:val="restart"/>
            <w:tcBorders>
              <w:top w:val="single" w:color="000000" w:sz="4" w:space="0"/>
              <w:left w:val="single" w:color="000000" w:sz="4" w:space="0"/>
              <w:bottom w:val="single" w:color="000000" w:sz="4" w:space="0"/>
              <w:right w:val="single" w:color="000000" w:sz="4" w:space="0"/>
            </w:tcBorders>
            <w:noWrap/>
            <w:vAlign w:val="center"/>
          </w:tcPr>
          <w:p>
            <w:pPr>
              <w:pageBreakBefore w:val="0"/>
              <w:kinsoku/>
              <w:wordWrap/>
              <w:overflowPunct/>
              <w:topLinePunct w:val="0"/>
              <w:bidi w:val="0"/>
              <w:spacing w:before="50" w:after="50" w:line="480" w:lineRule="exact"/>
              <w:ind w:firstLine="0" w:firstLineChars="0"/>
              <w:jc w:val="center"/>
              <w:rPr>
                <w:rFonts w:hint="default" w:ascii="Times New Roman" w:hAnsi="Times New Roman" w:eastAsia="仿宋_GB2312" w:cs="Times New Roman"/>
                <w:b/>
                <w:bCs w:val="0"/>
                <w:color w:val="auto"/>
                <w:kern w:val="0"/>
                <w:sz w:val="21"/>
                <w:szCs w:val="24"/>
                <w:lang w:val="en-US" w:eastAsia="zh-CN" w:bidi="ar"/>
              </w:rPr>
            </w:pPr>
            <w:r>
              <w:rPr>
                <w:rFonts w:hint="eastAsia" w:ascii="Times New Roman" w:hAnsi="Times New Roman" w:eastAsia="仿宋_GB2312" w:cs="Times New Roman"/>
                <w:b/>
                <w:bCs w:val="0"/>
                <w:color w:val="auto"/>
                <w:kern w:val="0"/>
                <w:sz w:val="21"/>
                <w:szCs w:val="24"/>
                <w:lang w:val="en-US" w:eastAsia="zh-CN" w:bidi="ar"/>
              </w:rPr>
              <w:t>灾害类型</w:t>
            </w:r>
          </w:p>
        </w:tc>
        <w:tc>
          <w:tcPr>
            <w:tcW w:w="2960" w:type="pct"/>
            <w:gridSpan w:val="4"/>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auto"/>
                <w:kern w:val="0"/>
                <w:sz w:val="21"/>
                <w:szCs w:val="24"/>
                <w:lang w:val="en-US" w:eastAsia="zh-CN" w:bidi="ar"/>
              </w:rPr>
            </w:pPr>
            <w:r>
              <w:rPr>
                <w:rFonts w:hint="eastAsia" w:ascii="Times New Roman" w:hAnsi="Times New Roman" w:eastAsia="仿宋_GB2312" w:cs="Times New Roman"/>
                <w:b/>
                <w:bCs w:val="0"/>
                <w:color w:val="auto"/>
                <w:kern w:val="0"/>
                <w:sz w:val="21"/>
                <w:szCs w:val="24"/>
                <w:lang w:val="en-US" w:eastAsia="zh-CN" w:bidi="ar"/>
              </w:rPr>
              <w:t>灾害等级</w:t>
            </w:r>
          </w:p>
        </w:tc>
      </w:tr>
      <w:tr>
        <w:tblPrEx>
          <w:tblCellMar>
            <w:top w:w="0" w:type="dxa"/>
            <w:left w:w="108" w:type="dxa"/>
            <w:bottom w:w="0" w:type="dxa"/>
            <w:right w:w="108" w:type="dxa"/>
          </w:tblCellMar>
        </w:tblPrEx>
        <w:trPr>
          <w:trHeight w:val="389" w:hRule="atLeast"/>
          <w:tblHeader/>
        </w:trPr>
        <w:tc>
          <w:tcPr>
            <w:tcW w:w="2039" w:type="pct"/>
            <w:vMerge w:val="continue"/>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auto"/>
                <w:kern w:val="0"/>
                <w:sz w:val="21"/>
                <w:szCs w:val="24"/>
                <w:lang w:val="en-US" w:eastAsia="zh-CN" w:bidi="ar"/>
              </w:rPr>
            </w:pPr>
          </w:p>
        </w:tc>
        <w:tc>
          <w:tcPr>
            <w:tcW w:w="804" w:type="pct"/>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auto"/>
                <w:kern w:val="0"/>
                <w:sz w:val="21"/>
                <w:szCs w:val="24"/>
                <w:lang w:val="en-US" w:eastAsia="zh-CN" w:bidi="ar"/>
              </w:rPr>
            </w:pPr>
            <w:r>
              <w:rPr>
                <w:rFonts w:hint="eastAsia" w:ascii="Times New Roman" w:hAnsi="Times New Roman" w:eastAsia="仿宋_GB2312" w:cs="Times New Roman"/>
                <w:b/>
                <w:bCs w:val="0"/>
                <w:color w:val="auto"/>
                <w:kern w:val="0"/>
                <w:sz w:val="21"/>
                <w:szCs w:val="24"/>
                <w:lang w:val="en-US" w:eastAsia="zh-CN" w:bidi="ar"/>
              </w:rPr>
              <w:t>轻</w:t>
            </w:r>
          </w:p>
        </w:tc>
        <w:tc>
          <w:tcPr>
            <w:tcW w:w="674" w:type="pct"/>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auto"/>
                <w:kern w:val="0"/>
                <w:sz w:val="21"/>
                <w:szCs w:val="24"/>
                <w:lang w:val="en-US" w:eastAsia="zh-CN" w:bidi="ar"/>
              </w:rPr>
            </w:pPr>
            <w:r>
              <w:rPr>
                <w:rFonts w:hint="eastAsia" w:ascii="Times New Roman" w:hAnsi="Times New Roman" w:eastAsia="仿宋_GB2312" w:cs="Times New Roman"/>
                <w:b/>
                <w:bCs w:val="0"/>
                <w:color w:val="auto"/>
                <w:kern w:val="0"/>
                <w:sz w:val="21"/>
                <w:szCs w:val="24"/>
                <w:lang w:val="en-US" w:eastAsia="zh-CN" w:bidi="ar"/>
              </w:rPr>
              <w:t>中</w:t>
            </w:r>
          </w:p>
        </w:tc>
        <w:tc>
          <w:tcPr>
            <w:tcW w:w="674" w:type="pct"/>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auto"/>
                <w:kern w:val="0"/>
                <w:sz w:val="21"/>
                <w:szCs w:val="24"/>
                <w:lang w:val="en-US" w:eastAsia="zh-CN" w:bidi="ar"/>
              </w:rPr>
            </w:pPr>
            <w:r>
              <w:rPr>
                <w:rFonts w:hint="eastAsia" w:ascii="Times New Roman" w:hAnsi="Times New Roman" w:eastAsia="仿宋_GB2312" w:cs="Times New Roman"/>
                <w:b/>
                <w:bCs w:val="0"/>
                <w:color w:val="auto"/>
                <w:kern w:val="0"/>
                <w:sz w:val="21"/>
                <w:szCs w:val="24"/>
                <w:lang w:val="en-US" w:eastAsia="zh-CN" w:bidi="ar"/>
              </w:rPr>
              <w:t>重</w:t>
            </w:r>
          </w:p>
        </w:tc>
        <w:tc>
          <w:tcPr>
            <w:tcW w:w="808" w:type="pct"/>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
                <w:bCs w:val="0"/>
                <w:color w:val="auto"/>
                <w:kern w:val="0"/>
                <w:sz w:val="21"/>
                <w:szCs w:val="24"/>
                <w:lang w:val="en-US" w:eastAsia="zh-CN" w:bidi="ar"/>
              </w:rPr>
            </w:pPr>
            <w:r>
              <w:rPr>
                <w:rFonts w:hint="eastAsia" w:ascii="Times New Roman" w:hAnsi="Times New Roman" w:eastAsia="仿宋_GB2312" w:cs="Times New Roman"/>
                <w:b/>
                <w:bCs w:val="0"/>
                <w:color w:val="auto"/>
                <w:kern w:val="0"/>
                <w:sz w:val="21"/>
                <w:szCs w:val="24"/>
                <w:lang w:val="en-US" w:eastAsia="zh-CN" w:bidi="ar"/>
              </w:rPr>
              <w:t>小计</w:t>
            </w:r>
          </w:p>
        </w:tc>
      </w:tr>
      <w:tr>
        <w:tblPrEx>
          <w:tblCellMar>
            <w:top w:w="0" w:type="dxa"/>
            <w:left w:w="108" w:type="dxa"/>
            <w:bottom w:w="0" w:type="dxa"/>
            <w:right w:w="108" w:type="dxa"/>
          </w:tblCellMar>
        </w:tblPrEx>
        <w:trPr>
          <w:trHeight w:val="389" w:hRule="atLeast"/>
        </w:trPr>
        <w:tc>
          <w:tcPr>
            <w:tcW w:w="2039" w:type="pct"/>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病害</w:t>
            </w:r>
          </w:p>
        </w:tc>
        <w:tc>
          <w:tcPr>
            <w:tcW w:w="804" w:type="pct"/>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default"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0.40</w:t>
            </w:r>
          </w:p>
        </w:tc>
        <w:tc>
          <w:tcPr>
            <w:tcW w:w="674" w:type="pct"/>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default"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175.00</w:t>
            </w:r>
          </w:p>
        </w:tc>
        <w:tc>
          <w:tcPr>
            <w:tcW w:w="674" w:type="pct"/>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default"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27.95</w:t>
            </w:r>
          </w:p>
        </w:tc>
        <w:tc>
          <w:tcPr>
            <w:tcW w:w="808" w:type="pct"/>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default"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203.35</w:t>
            </w:r>
          </w:p>
        </w:tc>
      </w:tr>
      <w:tr>
        <w:tblPrEx>
          <w:tblCellMar>
            <w:top w:w="0" w:type="dxa"/>
            <w:left w:w="108" w:type="dxa"/>
            <w:bottom w:w="0" w:type="dxa"/>
            <w:right w:w="108" w:type="dxa"/>
          </w:tblCellMar>
        </w:tblPrEx>
        <w:trPr>
          <w:trHeight w:val="389" w:hRule="atLeast"/>
        </w:trPr>
        <w:tc>
          <w:tcPr>
            <w:tcW w:w="2039" w:type="pct"/>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火灾</w:t>
            </w:r>
          </w:p>
        </w:tc>
        <w:tc>
          <w:tcPr>
            <w:tcW w:w="804" w:type="pct"/>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default"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100.74</w:t>
            </w:r>
          </w:p>
        </w:tc>
        <w:tc>
          <w:tcPr>
            <w:tcW w:w="674" w:type="pct"/>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0</w:t>
            </w:r>
          </w:p>
        </w:tc>
        <w:tc>
          <w:tcPr>
            <w:tcW w:w="674" w:type="pct"/>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default"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9.06</w:t>
            </w:r>
          </w:p>
        </w:tc>
        <w:tc>
          <w:tcPr>
            <w:tcW w:w="808" w:type="pct"/>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default"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109.79</w:t>
            </w:r>
          </w:p>
        </w:tc>
      </w:tr>
      <w:tr>
        <w:tblPrEx>
          <w:tblCellMar>
            <w:top w:w="0" w:type="dxa"/>
            <w:left w:w="108" w:type="dxa"/>
            <w:bottom w:w="0" w:type="dxa"/>
            <w:right w:w="108" w:type="dxa"/>
          </w:tblCellMar>
        </w:tblPrEx>
        <w:trPr>
          <w:trHeight w:val="389" w:hRule="atLeast"/>
        </w:trPr>
        <w:tc>
          <w:tcPr>
            <w:tcW w:w="2039" w:type="pct"/>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其他灾害</w:t>
            </w:r>
          </w:p>
        </w:tc>
        <w:tc>
          <w:tcPr>
            <w:tcW w:w="804" w:type="pct"/>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default"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78.42</w:t>
            </w:r>
          </w:p>
        </w:tc>
        <w:tc>
          <w:tcPr>
            <w:tcW w:w="674" w:type="pct"/>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default"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82.25</w:t>
            </w:r>
          </w:p>
        </w:tc>
        <w:tc>
          <w:tcPr>
            <w:tcW w:w="674" w:type="pct"/>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default"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720.23</w:t>
            </w:r>
          </w:p>
        </w:tc>
        <w:tc>
          <w:tcPr>
            <w:tcW w:w="808" w:type="pct"/>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default"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880.90</w:t>
            </w:r>
          </w:p>
        </w:tc>
      </w:tr>
      <w:tr>
        <w:tblPrEx>
          <w:tblCellMar>
            <w:top w:w="0" w:type="dxa"/>
            <w:left w:w="108" w:type="dxa"/>
            <w:bottom w:w="0" w:type="dxa"/>
            <w:right w:w="108" w:type="dxa"/>
          </w:tblCellMar>
        </w:tblPrEx>
        <w:trPr>
          <w:trHeight w:val="396" w:hRule="atLeast"/>
        </w:trPr>
        <w:tc>
          <w:tcPr>
            <w:tcW w:w="2039" w:type="pct"/>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eastAsia" w:ascii="Times New Roman" w:hAnsi="Times New Roman" w:eastAsia="仿宋_GB2312" w:cs="Times New Roman"/>
                <w:bCs/>
                <w:color w:val="auto"/>
                <w:kern w:val="0"/>
                <w:sz w:val="21"/>
                <w:szCs w:val="24"/>
                <w:lang w:val="en-US" w:eastAsia="zh-CN" w:bidi="ar"/>
              </w:rPr>
              <w:t>合计</w:t>
            </w:r>
          </w:p>
        </w:tc>
        <w:tc>
          <w:tcPr>
            <w:tcW w:w="804" w:type="pct"/>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179.56</w:t>
            </w:r>
          </w:p>
        </w:tc>
        <w:tc>
          <w:tcPr>
            <w:tcW w:w="674" w:type="pct"/>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257.25</w:t>
            </w:r>
          </w:p>
        </w:tc>
        <w:tc>
          <w:tcPr>
            <w:tcW w:w="674" w:type="pct"/>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757.24</w:t>
            </w:r>
          </w:p>
        </w:tc>
        <w:tc>
          <w:tcPr>
            <w:tcW w:w="808" w:type="pct"/>
            <w:tcBorders>
              <w:top w:val="single" w:color="000000" w:sz="4" w:space="0"/>
              <w:left w:val="single" w:color="000000" w:sz="4" w:space="0"/>
              <w:bottom w:val="single" w:color="000000" w:sz="4" w:space="0"/>
              <w:right w:val="single" w:color="000000" w:sz="4" w:space="0"/>
            </w:tcBorders>
            <w:noWrap/>
            <w:vAlign w:val="bottom"/>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Times New Roman"/>
                <w:bCs/>
                <w:color w:val="auto"/>
                <w:kern w:val="0"/>
                <w:sz w:val="21"/>
                <w:szCs w:val="24"/>
                <w:lang w:val="en-US" w:eastAsia="zh-CN" w:bidi="ar"/>
              </w:rPr>
            </w:pPr>
            <w:r>
              <w:rPr>
                <w:rFonts w:hint="default" w:ascii="Times New Roman" w:hAnsi="Times New Roman" w:eastAsia="仿宋_GB2312" w:cs="Times New Roman"/>
                <w:bCs/>
                <w:color w:val="auto"/>
                <w:kern w:val="0"/>
                <w:sz w:val="21"/>
                <w:szCs w:val="24"/>
                <w:lang w:val="en-US" w:eastAsia="zh-CN" w:bidi="ar"/>
              </w:rPr>
              <w:t>1194.04</w:t>
            </w:r>
          </w:p>
        </w:tc>
      </w:tr>
    </w:tbl>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lang w:val="en-US" w:eastAsia="zh-CN"/>
        </w:rPr>
      </w:pPr>
      <w:r>
        <w:rPr>
          <w:rFonts w:hint="eastAsia" w:ascii="Times New Roman" w:hAnsi="Times New Roman" w:eastAsia="仿宋_GB2312"/>
          <w:bCs/>
          <w:color w:val="auto"/>
          <w:sz w:val="28"/>
          <w:szCs w:val="28"/>
          <w:lang w:val="en-US" w:eastAsia="zh-CN"/>
        </w:rPr>
        <w:t>（2）地质灾害情况</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lang w:val="en-US" w:eastAsia="zh-CN"/>
        </w:rPr>
      </w:pPr>
      <w:r>
        <w:rPr>
          <w:rFonts w:hint="eastAsia" w:ascii="Times New Roman" w:hAnsi="Times New Roman" w:eastAsia="仿宋_GB2312"/>
          <w:bCs/>
          <w:color w:val="auto"/>
          <w:sz w:val="28"/>
          <w:szCs w:val="28"/>
          <w:lang w:val="en-US" w:eastAsia="zh-CN"/>
        </w:rPr>
        <w:t>在地质灾害方面，主要表现为水土流失，历年共有1459.99公顷林地有不同程度的水土流失，占平富乡林地总面积的18.86%。</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lang w:val="en-US" w:eastAsia="zh-CN"/>
        </w:rPr>
      </w:pPr>
      <w:r>
        <w:rPr>
          <w:rFonts w:hint="eastAsia" w:ascii="Times New Roman" w:hAnsi="Times New Roman" w:eastAsia="仿宋_GB2312"/>
          <w:bCs/>
          <w:color w:val="auto"/>
          <w:sz w:val="28"/>
          <w:szCs w:val="28"/>
          <w:lang w:val="en-US" w:eastAsia="zh-CN"/>
        </w:rPr>
        <w:t>6、森林资源的后备资源情况</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lang w:val="en-US" w:eastAsia="zh-CN"/>
        </w:rPr>
      </w:pPr>
      <w:r>
        <w:rPr>
          <w:rFonts w:hint="eastAsia" w:ascii="Times New Roman" w:hAnsi="Times New Roman" w:eastAsia="仿宋_GB2312"/>
          <w:bCs/>
          <w:color w:val="auto"/>
          <w:sz w:val="28"/>
          <w:szCs w:val="28"/>
          <w:lang w:val="en-US" w:eastAsia="zh-CN"/>
        </w:rPr>
        <w:t>平富乡灌木林地237.02公顷，未成林造林地137.7公顷，疏林地55.91公顷，苗圃地4.45公顷，迹地56.91公顷。合计共491.99公顷。</w:t>
      </w:r>
    </w:p>
    <w:p>
      <w:pPr>
        <w:snapToGrid w:val="0"/>
        <w:spacing w:line="480" w:lineRule="exact"/>
        <w:ind w:firstLine="562"/>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二、森林资源保护</w:t>
      </w:r>
    </w:p>
    <w:p>
      <w:pPr>
        <w:pStyle w:val="36"/>
        <w:ind w:left="0" w:leftChars="0" w:firstLine="560" w:firstLineChars="200"/>
        <w:jc w:val="both"/>
        <w:rPr>
          <w:rFonts w:hint="default" w:ascii="Times New Roman" w:hAnsi="Times New Roman" w:eastAsia="仿宋_GB2312"/>
          <w:b w:val="0"/>
          <w:bCs w:val="0"/>
          <w:color w:val="auto"/>
          <w:sz w:val="28"/>
          <w:szCs w:val="28"/>
        </w:rPr>
      </w:pPr>
      <w:r>
        <w:rPr>
          <w:rFonts w:hint="eastAsia" w:ascii="Times New Roman" w:hAnsi="Times New Roman" w:eastAsia="仿宋_GB2312"/>
          <w:b w:val="0"/>
          <w:bCs w:val="0"/>
          <w:color w:val="auto"/>
          <w:sz w:val="28"/>
          <w:szCs w:val="28"/>
          <w:lang w:val="en-US" w:eastAsia="zh-CN"/>
        </w:rPr>
        <w:t>1</w:t>
      </w:r>
      <w:r>
        <w:rPr>
          <w:rFonts w:ascii="Times New Roman" w:hAnsi="Times New Roman" w:eastAsia="仿宋_GB2312"/>
          <w:b w:val="0"/>
          <w:bCs w:val="0"/>
          <w:color w:val="auto"/>
          <w:sz w:val="28"/>
          <w:szCs w:val="28"/>
        </w:rPr>
        <w:t>、森林资源保护</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（1）公益林保护</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lang w:val="en-US" w:eastAsia="zh-CN"/>
        </w:rPr>
      </w:pPr>
      <w:r>
        <w:rPr>
          <w:rFonts w:hint="eastAsia" w:ascii="Times New Roman" w:hAnsi="Times New Roman" w:eastAsia="仿宋_GB2312"/>
          <w:bCs/>
          <w:color w:val="auto"/>
          <w:sz w:val="28"/>
          <w:szCs w:val="28"/>
          <w:lang w:val="en-US" w:eastAsia="zh-CN"/>
        </w:rPr>
        <w:t>国家级公益林是指生态区位极为重要或生态状况极为脆弱，对国土生态安全、生物多样性保护和经济社会可持续发展具有重要作用，以发挥森林生态和社会服务功能为主要经营目的的防护林和特种用途林。省级公益林是地方级公益林的一种，地方公益林是由各级人民政府根据国家和地方的有关规定划定，并经省林业主管部门核查认定的公益林，包括森林、林木、林地。</w:t>
      </w:r>
    </w:p>
    <w:p>
      <w:pPr>
        <w:pStyle w:val="17"/>
        <w:pageBreakBefore w:val="0"/>
        <w:kinsoku/>
        <w:wordWrap/>
        <w:overflowPunct/>
        <w:topLinePunct w:val="0"/>
        <w:bidi w:val="0"/>
        <w:spacing w:after="0" w:line="480" w:lineRule="exact"/>
        <w:ind w:left="0" w:leftChars="0" w:firstLine="560" w:firstLineChars="200"/>
        <w:rPr>
          <w:rFonts w:ascii="Times New Roman" w:hAnsi="Times New Roman" w:eastAsia="仿宋_GB2312"/>
          <w:bCs/>
          <w:color w:val="auto"/>
          <w:sz w:val="28"/>
          <w:szCs w:val="28"/>
        </w:rPr>
      </w:pPr>
      <w:r>
        <w:rPr>
          <w:rFonts w:hint="eastAsia" w:ascii="Times New Roman" w:hAnsi="Times New Roman" w:eastAsia="仿宋_GB2312"/>
          <w:bCs/>
          <w:color w:val="auto"/>
          <w:sz w:val="28"/>
          <w:szCs w:val="28"/>
          <w:lang w:val="en-US" w:eastAsia="zh-CN"/>
        </w:rPr>
        <w:t>根据上犹县林业二调数据结果，2019年上犹县共有国家级公益林1636.24公顷，省级公益林899.83公顷，主要分布在上寨村、信地村、平富村、向前村。</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lang w:val="en-US" w:eastAsia="zh-CN"/>
        </w:rPr>
      </w:pPr>
      <w:r>
        <w:rPr>
          <w:rFonts w:hint="eastAsia" w:ascii="Times New Roman" w:hAnsi="Times New Roman" w:eastAsia="仿宋_GB2312"/>
          <w:bCs/>
          <w:color w:val="auto"/>
          <w:sz w:val="28"/>
          <w:szCs w:val="28"/>
          <w:lang w:val="en-US" w:eastAsia="zh-CN"/>
        </w:rPr>
        <w:t>（2）天然林保护</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lang w:val="en-US" w:eastAsia="zh-CN"/>
        </w:rPr>
      </w:pPr>
      <w:r>
        <w:rPr>
          <w:rFonts w:hint="eastAsia" w:ascii="Times New Roman" w:hAnsi="Times New Roman" w:eastAsia="仿宋_GB2312"/>
          <w:bCs/>
          <w:color w:val="auto"/>
          <w:sz w:val="28"/>
          <w:szCs w:val="28"/>
          <w:lang w:val="en-US" w:eastAsia="zh-CN"/>
        </w:rPr>
        <w:t>平富乡天然林合计共5134.99公顷，主要分布在上寨村、信地村、平富村、向前村等。</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lang w:val="en-US" w:eastAsia="zh-CN"/>
        </w:rPr>
      </w:pPr>
      <w:r>
        <w:rPr>
          <w:rFonts w:hint="eastAsia" w:ascii="Times New Roman" w:hAnsi="Times New Roman" w:eastAsia="仿宋_GB2312"/>
          <w:bCs/>
          <w:color w:val="auto"/>
          <w:sz w:val="28"/>
          <w:szCs w:val="28"/>
          <w:lang w:val="en-US" w:eastAsia="zh-CN"/>
        </w:rPr>
        <w:t>结合上犹县林业发展现状及需求，规划至2035年平富乡公益林面积保持现状即可。</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对于天然林的保护，要加强对天然林的结构优化，具体做到严格控制占用征收天然林地，全面停止国有林场天然林商业性采伐，协议停止集体和个人天然林商业性采伐，已纳入公益林的集体和个人天然林继续享受有关补偿政策。禁止采伐重要生态功能区天然林，加强对天然次生林的科学保育、努力培育复层、混交、异龄林，构建稳定的森林生态系统，维持现有天然林资源稳定。加快天然林生态功能修复，确保天然林质量明显提高，生态功能明显提升。加强天然林管护站点和森林防火应带建设，完善天然林管护体系。对典型天然林生态系统，划入各自然保护地，实施重点保护、永久保存。采用封育等近自然培育和经营措施，推进重点公益林地形成天然林生态系统。严禁移植天然大树进城。加强天然林保护制度体系、监测评价体系建设，全面提高天然林保护能力。</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此外要实施更高级别天然林保护举措，一是采取更高级别的保护。在对全国所有天然林实行保护的基础上，依据国土空间规划划定的生态保护红线以及生态区位重要性等指标，确定天然林保护重点区域，实行分区施策。建立天然林保护行政首长负责制和目标责任考核制。加强天然林管护站点建设、管护网络建设、灾害预警体系建设、护林员队伍建设和共管机制建设。</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二是实行最严格的管制。全面停止天然林商业性采伐。对纳入保护重点区域的天然林，禁止生产经营活动。开展抚育作业的，必须编制作业设计。同时，利用有利条件培育大径材和珍贵树种，维护国家木材安全。严管天然林地占用，严格控制天然林地转为其他用途。对保护重点区域的天然林地，除国防建设、国家重大工程项目建设特殊需要外，禁止占用。</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三是实施更全面的修复。根据天然林演替和发育阶段，科学实施修复措施，遏制天然林分退化，提高天然林质量。逐步使天然次生林、退化次生林等生态系统恢复到一定水平。强化天然中幼林抚育，促进形成</w:t>
      </w:r>
      <w:r>
        <w:rPr>
          <w:rFonts w:hint="eastAsia" w:ascii="Times New Roman" w:hAnsi="Times New Roman" w:eastAsia="仿宋_GB2312"/>
          <w:bCs/>
          <w:color w:val="auto"/>
          <w:sz w:val="28"/>
          <w:szCs w:val="28"/>
          <w:lang w:eastAsia="zh-CN"/>
        </w:rPr>
        <w:t>地带性顶极</w:t>
      </w:r>
      <w:r>
        <w:rPr>
          <w:rFonts w:ascii="Times New Roman" w:hAnsi="Times New Roman" w:eastAsia="仿宋_GB2312"/>
          <w:bCs/>
          <w:color w:val="auto"/>
          <w:sz w:val="28"/>
          <w:szCs w:val="28"/>
        </w:rPr>
        <w:t>群落。加强生态廊道建设。鼓励在废弃矿山、荒山荒地上逐步恢复天然植被。</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四是落实更严密的监管。加大天然林保护年度核查力度，将天然林保护修复成效列入领导干部自然资源资产离任审计事项，作为地方党委和政府及领导干部综合评价的重要参考。建立天然林资源损害责任终身追究制度。</w:t>
      </w:r>
    </w:p>
    <w:p>
      <w:pPr>
        <w:snapToGrid w:val="0"/>
        <w:spacing w:line="480" w:lineRule="exact"/>
        <w:ind w:firstLine="562"/>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五、森林资源保护利用措施</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hint="eastAsia" w:ascii="Times New Roman" w:hAnsi="Times New Roman" w:eastAsia="仿宋_GB2312"/>
          <w:bCs/>
          <w:color w:val="auto"/>
          <w:sz w:val="28"/>
          <w:szCs w:val="28"/>
          <w:lang w:val="en-US" w:eastAsia="zh-CN"/>
        </w:rPr>
        <w:t>1</w:t>
      </w:r>
      <w:r>
        <w:rPr>
          <w:rFonts w:ascii="Times New Roman" w:hAnsi="Times New Roman" w:eastAsia="仿宋_GB2312"/>
          <w:bCs/>
          <w:color w:val="auto"/>
          <w:sz w:val="28"/>
          <w:szCs w:val="28"/>
        </w:rPr>
        <w:t>、治理森林灾害</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一是森林火灾，针对当前森林火灾的情况，要高度重视森林火灾防控工作，增强民众森林防火意识，完善森林火险预警监测体系，提高生物防火林带密度，提高森林消防专业队伍装备水平、快速反应与火灾扑救能力，减少森林火灾对森林面积造成的损失；</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二是病虫害，针对病虫害情况，要切实做好林业有害生物防控，检疫御灾、防治减灾、应急反应和防治能力建设，鼓励组建防治队伍专业化，加大对松材线虫病等林业有害生物的检疫防范和除治力度，减少病虫害对森林面积造成的损失；</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三是对于地质灾害和水土流失，</w:t>
      </w:r>
      <w:r>
        <w:rPr>
          <w:rFonts w:hint="eastAsia" w:ascii="Times New Roman" w:hAnsi="Times New Roman" w:eastAsia="仿宋_GB2312"/>
          <w:bCs/>
          <w:color w:val="auto"/>
          <w:sz w:val="28"/>
          <w:szCs w:val="28"/>
          <w:lang w:eastAsia="zh-CN"/>
        </w:rPr>
        <w:t>乡域</w:t>
      </w:r>
      <w:r>
        <w:rPr>
          <w:rFonts w:ascii="Times New Roman" w:hAnsi="Times New Roman" w:eastAsia="仿宋_GB2312"/>
          <w:bCs/>
          <w:color w:val="auto"/>
          <w:sz w:val="28"/>
          <w:szCs w:val="28"/>
        </w:rPr>
        <w:t>范围内各类型水土流失面积广，要加强预警监测、对于地质灾害频发的地区重点治理，尤其对于当前乡镇内林地水土流失覆盖范围广，林地均有不同程度水土流失的情况，要加以重视，生物措施与工程措施相结合，达成水土流失治理的目标。</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hint="eastAsia" w:ascii="Times New Roman" w:hAnsi="Times New Roman" w:eastAsia="仿宋_GB2312"/>
          <w:bCs/>
          <w:color w:val="auto"/>
          <w:sz w:val="28"/>
          <w:szCs w:val="28"/>
          <w:lang w:val="en-US" w:eastAsia="zh-CN"/>
        </w:rPr>
        <w:t>2</w:t>
      </w:r>
      <w:r>
        <w:rPr>
          <w:rFonts w:ascii="Times New Roman" w:hAnsi="Times New Roman" w:eastAsia="仿宋_GB2312"/>
          <w:bCs/>
          <w:color w:val="auto"/>
          <w:sz w:val="28"/>
          <w:szCs w:val="28"/>
        </w:rPr>
        <w:t>、科学经营森林</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一是改造低产低效林，对于郁闭度低于0.3乔木林分，采取更换树种、补植改造、择伐改造等方式，改善林分结构，提高林地生产力。对于衰退残次油茶林、茶园，选用优良无性系进行更新改造，提高林地产量；是加强未成造林地管护，按照培育方向，采取扶正补植、扩穴除草等抚育管护措施，促进郁闭成林。</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通过商品林抚育管护工程。一是采取透光伐、疏伐、生长伐、景观疏伐、卫生伐、修枝、扶正和割灌除草等抚育管护措施，改善森林质量，提高林木生长率；二是改造低产低效林，营造速生丰产和工业原料林、大径级用材林、珍贵用材林等重点商品林，提高林地生产力。</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通过公益林封育管护工程。加强封育管护，采取封山育林、人工促进天然更新、密林疏伐、疏林补植、针叶林补阔等措施，调整树种及林龄结构，提高森林质量、林地生产力，增强林木抵御病虫害及自然灾害的能力。</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hint="eastAsia" w:ascii="Times New Roman" w:hAnsi="Times New Roman" w:eastAsia="仿宋_GB2312"/>
          <w:bCs/>
          <w:color w:val="auto"/>
          <w:sz w:val="28"/>
          <w:szCs w:val="28"/>
          <w:lang w:val="en-US" w:eastAsia="zh-CN"/>
        </w:rPr>
        <w:t>3</w:t>
      </w:r>
      <w:r>
        <w:rPr>
          <w:rFonts w:ascii="Times New Roman" w:hAnsi="Times New Roman" w:eastAsia="仿宋_GB2312"/>
          <w:bCs/>
          <w:color w:val="auto"/>
          <w:sz w:val="28"/>
          <w:szCs w:val="28"/>
        </w:rPr>
        <w:t>、落实</w:t>
      </w:r>
      <w:r>
        <w:rPr>
          <w:rFonts w:ascii="Times New Roman" w:hAnsi="Times New Roman" w:eastAsia="仿宋_GB2312"/>
          <w:bCs/>
          <w:color w:val="auto"/>
          <w:sz w:val="28"/>
          <w:szCs w:val="28"/>
        </w:rPr>
        <w:fldChar w:fldCharType="begin"/>
      </w:r>
      <w:r>
        <w:rPr>
          <w:rFonts w:ascii="Times New Roman" w:hAnsi="Times New Roman" w:eastAsia="仿宋_GB2312"/>
          <w:bCs/>
          <w:color w:val="auto"/>
          <w:sz w:val="28"/>
          <w:szCs w:val="28"/>
        </w:rPr>
        <w:instrText xml:space="preserve"> HYPERLINK \l "_Toc295638076" </w:instrText>
      </w:r>
      <w:r>
        <w:rPr>
          <w:rFonts w:ascii="Times New Roman" w:hAnsi="Times New Roman" w:eastAsia="仿宋_GB2312"/>
          <w:bCs/>
          <w:color w:val="auto"/>
          <w:sz w:val="28"/>
          <w:szCs w:val="28"/>
        </w:rPr>
        <w:fldChar w:fldCharType="separate"/>
      </w:r>
      <w:r>
        <w:rPr>
          <w:rFonts w:ascii="Times New Roman" w:hAnsi="Times New Roman" w:eastAsia="仿宋_GB2312"/>
          <w:bCs/>
          <w:color w:val="auto"/>
          <w:sz w:val="28"/>
          <w:szCs w:val="28"/>
        </w:rPr>
        <w:t xml:space="preserve">分级保护措施 </w:t>
      </w:r>
      <w:r>
        <w:rPr>
          <w:rFonts w:ascii="Times New Roman" w:hAnsi="Times New Roman" w:eastAsia="仿宋_GB2312"/>
          <w:bCs/>
          <w:color w:val="auto"/>
          <w:sz w:val="28"/>
          <w:szCs w:val="28"/>
        </w:rPr>
        <w:fldChar w:fldCharType="end"/>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根据林地保护等级，制定相应的保护、利用和管理措施，确保林地资源稳定，提高林地利用效益。</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对于Ⅰ级保护林地，禁止改变林地用途，严格保护林地资源。完全保持自然状态，实行全面封禁，禁止开展生产性经营活动，推进形成天然林系统，增强水源涵养、水土保持能力，维护区域生物多样性平衡和生态安全。</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对于Ⅱ级保护林地，除必需的工程建设占用外，不得以其他任何方式改变林地用途，禁止建设工程占用森林，其他地类严格控制。实施局部封禁管护，鼓励和引导抚育性管理，禁止商业性采伐，合理疏伐、卫生伐或补植，提高林分质量，改善森林健康状况，增强林相景观效果；鼓励在自然保护区试验区、森林公园内在法律允许的范围内适度发展林下经济，开展生态旅游活动，提高林地综合效益。</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对于Ⅲ级保护林地，严格控制征占用森林，适度保障交通、能源、水利等基础设施和城乡建设用地，从严控制商业性经营设施建设用地，限制勘查、开采矿藏和其他项目用地；公益林地在确保生态系统健康和活力不受威胁或损害下，允许适度经营和更新采伐，鼓励发展林下经济产业；重点商品林地实行规模化、集约化经营和定向培育，提高林地生产率，增强林地经营收益。</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对于Ⅳ级保护林地，严格控制林地非法转用和逆转，限制采石取土等用地，推行集约经营、农林复合经营，在法律允许的范围内合理安排各类生产活动，最大限度地挖掘林地生产力。</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hint="eastAsia" w:ascii="Times New Roman" w:hAnsi="Times New Roman" w:eastAsia="仿宋_GB2312"/>
          <w:bCs/>
          <w:color w:val="auto"/>
          <w:sz w:val="28"/>
          <w:szCs w:val="28"/>
          <w:lang w:val="en-US" w:eastAsia="zh-CN"/>
        </w:rPr>
        <w:t>4</w:t>
      </w:r>
      <w:r>
        <w:rPr>
          <w:rFonts w:ascii="Times New Roman" w:hAnsi="Times New Roman" w:eastAsia="仿宋_GB2312"/>
          <w:bCs/>
          <w:color w:val="auto"/>
          <w:sz w:val="28"/>
          <w:szCs w:val="28"/>
        </w:rPr>
        <w:t>、强化队伍自身建设，推动林业高质量发展</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按照全面从严治党的要求，坚持旗帜鲜明讲政治，坚持一丝不苟抓党建，坚持固本强基。切实强化“四个意识”，增强“四个自信”，持续推进党的基层组织建设，持续抓好作风建设，着力纠治形式主义、官僚主义，推进建章立制、制度落实，强化廉政风险防控。抓好干部的教育培养，提升林业队伍专业技术水平和整体综合素质。</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完善森林保障系统，包括稳健林业产业的发展步伐，调整林业的发展结构，形成生态化</w:t>
      </w:r>
      <w:r>
        <w:rPr>
          <w:rFonts w:ascii="Times New Roman" w:hAnsi="Times New Roman" w:eastAsia="仿宋_GB2312"/>
          <w:bCs/>
          <w:color w:val="auto"/>
          <w:sz w:val="28"/>
          <w:szCs w:val="28"/>
        </w:rPr>
        <w:tab/>
      </w:r>
      <w:r>
        <w:rPr>
          <w:rFonts w:ascii="Times New Roman" w:hAnsi="Times New Roman" w:eastAsia="仿宋_GB2312"/>
          <w:bCs/>
          <w:color w:val="auto"/>
          <w:sz w:val="28"/>
          <w:szCs w:val="28"/>
        </w:rPr>
        <w:t>发展布局以及建设林业保护工程，特别是生态林业保护工程、绿色城乡一体化建设和森林防护工程的建设。为了保证林业产业发展的长久、规范和合理化，我们要正确认识和统筹好保护与发展的关系，牢固树立保护就是发展的观念，坚持建设与保护并重、数量与质量并举，认真贯彻落实《</w:t>
      </w:r>
      <w:r>
        <w:rPr>
          <w:rFonts w:hint="eastAsia" w:ascii="Times New Roman" w:hAnsi="Times New Roman" w:eastAsia="仿宋_GB2312"/>
          <w:bCs/>
          <w:color w:val="auto"/>
          <w:sz w:val="28"/>
          <w:szCs w:val="28"/>
          <w:lang w:eastAsia="zh-CN"/>
        </w:rPr>
        <w:t>中华人民共和国森林法</w:t>
      </w:r>
      <w:r>
        <w:rPr>
          <w:rFonts w:ascii="Times New Roman" w:hAnsi="Times New Roman" w:eastAsia="仿宋_GB2312"/>
          <w:bCs/>
          <w:color w:val="auto"/>
          <w:sz w:val="28"/>
          <w:szCs w:val="28"/>
        </w:rPr>
        <w:t>》《中央国务院关于加快林业发展的决定》等林业政策法规的指示，实事求是因地制宜地找到适合本林区发展，森林资源保护的合理有效的措施，确保森林产业稳固健康，长治有效地发展。注重森林资源的分配比例，分类管理和培育不同的林业地段，使开采出来的资源具有针对性和实用性，同时注重对自然资源的保护和生态系统的平衡。</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①科技护林，促进森林保护科学文明的进行要想在林业的森林保护上有所突破和进展，就需要积极引进先进的人才和加大高新技术来加大森林生态系统的研究力度，具体体现在优化树种结构，利用先进的科学技术培育良好的幼苗，并定期检测，适时调整，以建立新型经济林。注重利用先进的科学技术改善加工制造过程中的环境问题，促进原料层次的逐步深化，逐步稳进，减少环境污染，对于不可避免的环境污染问题一定要及时有效地进行处理。森林保护的可持续发展需要合理的经济结构，我们在确保科技护林的同时又能为林区的百姓谋福利，为林区的护林工作增加新的资金来源，有了资金的支持，确保了科技护林工作更加游刃有余，未来的发展将更加顺利，从而进入一个良好健康的循环系统，无论是经济发展，还是生态环保工作，都会科学文明地进行下去。</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②建立和完善激励和约束机制，大力推行森林资源保护承包责任制国有森工企业或者地方政府一直处于探索森林保护的经营改革中，借鉴了农村家庭联产承包经营责任制的成功经验，实行森林保护的经营承包责任制度，即遵循坚持本企业职工或者本地农民有效承包管护的原则，积极解决企业下岗职工和农村富余劳动力的就业问题，维护林区社会秩序的稳定，按照坚持林业所有权不改变和实行森林资源有效使用的原则，维护国家利益和集体利益不受侵犯，同时调动林业干部职工和林农保护森林资源的积极性。森林保护落实到个人，使得个人利益与国家利益相挂钩从而使得资源得到有效的保护，也大大减少了森林灾害的发生，实行这项政策在林业经营的管理体制上是一项重大的改革，与我国林业生产力的发展水平相适应，是行之有效的措施和办法。</w:t>
      </w:r>
    </w:p>
    <w:p>
      <w:pPr>
        <w:pStyle w:val="17"/>
        <w:pageBreakBefore w:val="0"/>
        <w:kinsoku/>
        <w:wordWrap/>
        <w:overflowPunct/>
        <w:topLinePunct w:val="0"/>
        <w:bidi w:val="0"/>
        <w:spacing w:after="0" w:line="480" w:lineRule="exact"/>
        <w:ind w:firstLine="560" w:firstLineChars="200"/>
        <w:rPr>
          <w:rFonts w:hint="eastAsia"/>
          <w:color w:val="auto"/>
          <w:lang w:val="en-US" w:eastAsia="zh-CN"/>
        </w:rPr>
      </w:pPr>
      <w:r>
        <w:rPr>
          <w:rFonts w:ascii="Times New Roman" w:hAnsi="Times New Roman" w:eastAsia="仿宋_GB2312"/>
          <w:bCs/>
          <w:color w:val="auto"/>
          <w:sz w:val="28"/>
          <w:szCs w:val="28"/>
        </w:rPr>
        <w:t>③重视森林资源防护工作，确保森林资源安全森林防护工作包括防止森林火灾，虫灾，气象灾害的发生，这些灾害可能会引起林木生长不良甚至死亡，生态平衡遭到破坏。森林火灾已成为当今世界一大自然灾害，因此我们需要增强森林火灾的防范意识的同时，还需要掌握火灾发生的基本原理，原因和规律，以及火灾发生对森林生态系统的影响，有效采取各种行之有效的手段来预防火灾的发生，包括火源管理，林火预报，防火规划和利用森林植物和树木的生物学特征进行林火隔阻系统的建设等，妥善的现代化扑火队伍，做到发生森林火灾及时扑救，降低火灾损失。主要的灭火技术措施有扑打法、水灭火法、土灭火法、风力灭火法、化学灭火法、以火灭火法、航空灭火法、人工催化降雨灭火法等。</w:t>
      </w:r>
    </w:p>
    <w:p>
      <w:pPr>
        <w:pStyle w:val="33"/>
        <w:spacing w:before="156" w:beforeLines="50" w:after="156" w:afterLines="50" w:line="520" w:lineRule="exact"/>
        <w:jc w:val="center"/>
        <w:rPr>
          <w:rFonts w:hint="eastAsia" w:ascii="Times New Roman" w:hAnsi="Times New Roman"/>
          <w:color w:val="auto"/>
          <w:kern w:val="2"/>
          <w:szCs w:val="32"/>
          <w:lang w:val="en-US" w:eastAsia="zh-CN"/>
        </w:rPr>
      </w:pPr>
      <w:bookmarkStart w:id="62" w:name="_Toc26803"/>
      <w:r>
        <w:rPr>
          <w:rFonts w:hint="eastAsia" w:ascii="Times New Roman" w:hAnsi="Times New Roman"/>
          <w:color w:val="auto"/>
          <w:kern w:val="2"/>
          <w:szCs w:val="32"/>
          <w:lang w:val="en-US" w:eastAsia="zh-CN"/>
        </w:rPr>
        <w:t>第四节 矿产资源保护与利用</w:t>
      </w:r>
      <w:bookmarkEnd w:id="62"/>
    </w:p>
    <w:p>
      <w:pPr>
        <w:snapToGrid w:val="0"/>
        <w:spacing w:line="480" w:lineRule="exact"/>
        <w:ind w:firstLine="562"/>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一、矿产资源概况</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hint="eastAsia" w:ascii="Times New Roman" w:hAnsi="Times New Roman" w:eastAsia="仿宋_GB2312"/>
          <w:bCs/>
          <w:color w:val="auto"/>
          <w:sz w:val="28"/>
          <w:szCs w:val="28"/>
          <w:lang w:val="en-US" w:eastAsia="zh-CN"/>
        </w:rPr>
        <w:t>1</w:t>
      </w:r>
      <w:r>
        <w:rPr>
          <w:rFonts w:ascii="Times New Roman" w:hAnsi="Times New Roman" w:eastAsia="仿宋_GB2312"/>
          <w:bCs/>
          <w:color w:val="auto"/>
          <w:sz w:val="28"/>
          <w:szCs w:val="28"/>
        </w:rPr>
        <w:t>、矿产资源储量概况</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hint="eastAsia" w:ascii="Times New Roman" w:hAnsi="Times New Roman" w:eastAsia="仿宋_GB2312"/>
          <w:bCs/>
          <w:color w:val="auto"/>
          <w:sz w:val="28"/>
          <w:szCs w:val="28"/>
          <w:lang w:eastAsia="zh-CN"/>
        </w:rPr>
        <w:t>上犹县</w:t>
      </w:r>
      <w:r>
        <w:rPr>
          <w:rFonts w:ascii="Times New Roman" w:hAnsi="Times New Roman" w:eastAsia="仿宋_GB2312"/>
          <w:bCs/>
          <w:color w:val="auto"/>
          <w:sz w:val="28"/>
          <w:szCs w:val="28"/>
        </w:rPr>
        <w:t>位于罗霄－诸广山钨锡铀稀土多金属萤石非金属成矿亚带北段，雩山钨锡铀金稀土多金属萤石非金属成矿亚带北段。</w:t>
      </w:r>
      <w:r>
        <w:rPr>
          <w:rFonts w:hint="eastAsia" w:ascii="Times New Roman" w:hAnsi="Times New Roman" w:eastAsia="仿宋_GB2312"/>
          <w:bCs/>
          <w:color w:val="auto"/>
          <w:sz w:val="28"/>
          <w:szCs w:val="28"/>
          <w:lang w:eastAsia="zh-CN"/>
        </w:rPr>
        <w:t>平富乡</w:t>
      </w:r>
      <w:r>
        <w:rPr>
          <w:rFonts w:ascii="Times New Roman" w:hAnsi="Times New Roman" w:eastAsia="仿宋_GB2312"/>
          <w:bCs/>
          <w:color w:val="auto"/>
          <w:sz w:val="28"/>
          <w:szCs w:val="28"/>
        </w:rPr>
        <w:t>位于</w:t>
      </w:r>
      <w:r>
        <w:rPr>
          <w:rFonts w:hint="eastAsia" w:ascii="Times New Roman" w:hAnsi="Times New Roman" w:eastAsia="仿宋_GB2312"/>
          <w:bCs/>
          <w:color w:val="auto"/>
          <w:sz w:val="28"/>
          <w:szCs w:val="28"/>
          <w:lang w:eastAsia="zh-CN"/>
        </w:rPr>
        <w:t>上犹县</w:t>
      </w:r>
      <w:r>
        <w:rPr>
          <w:rFonts w:ascii="Times New Roman" w:hAnsi="Times New Roman" w:eastAsia="仿宋_GB2312"/>
          <w:bCs/>
          <w:color w:val="auto"/>
          <w:sz w:val="28"/>
          <w:szCs w:val="28"/>
        </w:rPr>
        <w:t>中部，矿产资源主要为砖瓦用</w:t>
      </w:r>
      <w:r>
        <w:rPr>
          <w:rFonts w:hint="eastAsia" w:ascii="Times New Roman" w:hAnsi="Times New Roman" w:eastAsia="仿宋_GB2312"/>
          <w:bCs/>
          <w:color w:val="auto"/>
          <w:sz w:val="28"/>
          <w:szCs w:val="28"/>
        </w:rPr>
        <w:t>高岭土</w:t>
      </w:r>
      <w:r>
        <w:rPr>
          <w:rFonts w:ascii="Times New Roman" w:hAnsi="Times New Roman" w:eastAsia="仿宋_GB2312"/>
          <w:bCs/>
          <w:color w:val="auto"/>
          <w:sz w:val="28"/>
          <w:szCs w:val="28"/>
        </w:rPr>
        <w:t>、</w:t>
      </w:r>
      <w:r>
        <w:rPr>
          <w:rFonts w:hint="eastAsia" w:ascii="Times New Roman" w:hAnsi="Times New Roman" w:eastAsia="仿宋_GB2312"/>
          <w:bCs/>
          <w:color w:val="auto"/>
          <w:sz w:val="28"/>
          <w:szCs w:val="28"/>
          <w:lang w:val="en-US" w:eastAsia="zh-CN"/>
        </w:rPr>
        <w:t>金属矿、地热</w:t>
      </w:r>
      <w:r>
        <w:rPr>
          <w:rFonts w:ascii="Times New Roman" w:hAnsi="Times New Roman" w:eastAsia="仿宋_GB2312"/>
          <w:bCs/>
          <w:color w:val="auto"/>
          <w:sz w:val="28"/>
          <w:szCs w:val="28"/>
        </w:rPr>
        <w:t>。</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hint="eastAsia" w:ascii="Times New Roman" w:hAnsi="Times New Roman" w:eastAsia="仿宋_GB2312"/>
          <w:bCs/>
          <w:color w:val="auto"/>
          <w:sz w:val="28"/>
          <w:szCs w:val="28"/>
          <w:lang w:eastAsia="zh-CN"/>
        </w:rPr>
        <w:t>平富乡</w:t>
      </w:r>
      <w:r>
        <w:rPr>
          <w:rFonts w:ascii="Times New Roman" w:hAnsi="Times New Roman" w:eastAsia="仿宋_GB2312"/>
          <w:bCs/>
          <w:color w:val="auto"/>
          <w:sz w:val="28"/>
          <w:szCs w:val="28"/>
        </w:rPr>
        <w:t>矿产资源基本特点：优势矿种少，规模小，均为小型矿床。</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hint="eastAsia" w:ascii="Times New Roman" w:hAnsi="Times New Roman" w:eastAsia="仿宋_GB2312"/>
          <w:bCs/>
          <w:color w:val="auto"/>
          <w:sz w:val="28"/>
          <w:szCs w:val="28"/>
          <w:lang w:val="en-US" w:eastAsia="zh-CN"/>
        </w:rPr>
        <w:t>2</w:t>
      </w:r>
      <w:r>
        <w:rPr>
          <w:rFonts w:ascii="Times New Roman" w:hAnsi="Times New Roman" w:eastAsia="仿宋_GB2312"/>
          <w:bCs/>
          <w:color w:val="auto"/>
          <w:sz w:val="28"/>
          <w:szCs w:val="28"/>
        </w:rPr>
        <w:t>、矿产资源勘查开发利用现状</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（1）矿产资源开发利用现状</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lang w:val="en-US" w:eastAsia="zh-CN"/>
        </w:rPr>
      </w:pPr>
      <w:r>
        <w:rPr>
          <w:rFonts w:ascii="Times New Roman" w:hAnsi="Times New Roman" w:eastAsia="仿宋_GB2312"/>
          <w:bCs/>
          <w:color w:val="auto"/>
          <w:sz w:val="28"/>
          <w:szCs w:val="28"/>
        </w:rPr>
        <w:t>截至202</w:t>
      </w:r>
      <w:r>
        <w:rPr>
          <w:rFonts w:hint="eastAsia" w:ascii="Times New Roman" w:hAnsi="Times New Roman" w:eastAsia="仿宋_GB2312"/>
          <w:bCs/>
          <w:color w:val="auto"/>
          <w:sz w:val="28"/>
          <w:szCs w:val="28"/>
          <w:lang w:val="en-US" w:eastAsia="zh-CN"/>
        </w:rPr>
        <w:t>0年底，平富乡有采矿权2处，探矿权3处，矿种为高岭土、银铜矿、地热等，另有两处停采矿山。</w:t>
      </w:r>
    </w:p>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表9-14 平富乡矿产资源开发现状表</w:t>
      </w:r>
    </w:p>
    <w:tbl>
      <w:tblPr>
        <w:tblStyle w:val="19"/>
        <w:tblW w:w="4998" w:type="pct"/>
        <w:jc w:val="center"/>
        <w:tblLayout w:type="fixed"/>
        <w:tblCellMar>
          <w:top w:w="0" w:type="dxa"/>
          <w:left w:w="108" w:type="dxa"/>
          <w:bottom w:w="0" w:type="dxa"/>
          <w:right w:w="108" w:type="dxa"/>
        </w:tblCellMar>
      </w:tblPr>
      <w:tblGrid>
        <w:gridCol w:w="1505"/>
        <w:gridCol w:w="923"/>
        <w:gridCol w:w="1658"/>
        <w:gridCol w:w="790"/>
        <w:gridCol w:w="743"/>
        <w:gridCol w:w="920"/>
        <w:gridCol w:w="1216"/>
        <w:gridCol w:w="764"/>
      </w:tblGrid>
      <w:tr>
        <w:trPr>
          <w:trHeight w:val="1173" w:hRule="atLeast"/>
          <w:tblHeader/>
          <w:jc w:val="center"/>
        </w:trPr>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
                <w:color w:val="auto"/>
                <w:sz w:val="21"/>
                <w:szCs w:val="21"/>
              </w:rPr>
            </w:pPr>
            <w:r>
              <w:rPr>
                <w:rFonts w:hint="eastAsia" w:ascii="Times New Roman" w:hAnsi="Times New Roman" w:eastAsia="仿宋_GB2312"/>
                <w:b/>
                <w:color w:val="auto"/>
                <w:sz w:val="21"/>
                <w:szCs w:val="21"/>
              </w:rPr>
              <w:t>许可证号</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
                <w:color w:val="auto"/>
                <w:sz w:val="21"/>
                <w:szCs w:val="21"/>
              </w:rPr>
            </w:pPr>
            <w:r>
              <w:rPr>
                <w:rFonts w:hint="eastAsia" w:ascii="Times New Roman" w:hAnsi="Times New Roman" w:eastAsia="仿宋_GB2312"/>
                <w:b/>
                <w:color w:val="auto"/>
                <w:sz w:val="21"/>
                <w:szCs w:val="21"/>
              </w:rPr>
              <w:t>地址</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
                <w:color w:val="auto"/>
                <w:sz w:val="21"/>
                <w:szCs w:val="21"/>
              </w:rPr>
            </w:pPr>
            <w:r>
              <w:rPr>
                <w:rFonts w:hint="eastAsia" w:ascii="Times New Roman" w:hAnsi="Times New Roman" w:eastAsia="仿宋_GB2312"/>
                <w:b/>
                <w:color w:val="auto"/>
                <w:sz w:val="21"/>
                <w:szCs w:val="21"/>
              </w:rPr>
              <w:t>矿业权名称</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
                <w:color w:val="auto"/>
                <w:sz w:val="21"/>
                <w:szCs w:val="21"/>
              </w:rPr>
            </w:pPr>
            <w:r>
              <w:rPr>
                <w:rFonts w:hint="eastAsia" w:ascii="Times New Roman" w:hAnsi="Times New Roman" w:eastAsia="仿宋_GB2312"/>
                <w:b/>
                <w:color w:val="auto"/>
                <w:sz w:val="21"/>
                <w:szCs w:val="21"/>
              </w:rPr>
              <w:t>矿种</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
                <w:color w:val="auto"/>
                <w:sz w:val="21"/>
                <w:szCs w:val="21"/>
              </w:rPr>
            </w:pPr>
            <w:r>
              <w:rPr>
                <w:rFonts w:hint="eastAsia" w:ascii="Times New Roman" w:hAnsi="Times New Roman" w:eastAsia="仿宋_GB2312"/>
                <w:b/>
                <w:color w:val="auto"/>
                <w:sz w:val="21"/>
                <w:szCs w:val="21"/>
              </w:rPr>
              <w:t>开采方式</w:t>
            </w:r>
          </w:p>
        </w:tc>
        <w:tc>
          <w:tcPr>
            <w:tcW w:w="539"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
                <w:color w:val="auto"/>
                <w:sz w:val="21"/>
                <w:szCs w:val="21"/>
              </w:rPr>
            </w:pPr>
            <w:r>
              <w:rPr>
                <w:rFonts w:hint="eastAsia" w:ascii="Times New Roman" w:hAnsi="Times New Roman" w:eastAsia="仿宋_GB2312"/>
                <w:b/>
                <w:color w:val="auto"/>
                <w:sz w:val="21"/>
                <w:szCs w:val="21"/>
              </w:rPr>
              <w:t>生产规模（万吨/年）</w:t>
            </w:r>
          </w:p>
        </w:tc>
        <w:tc>
          <w:tcPr>
            <w:tcW w:w="71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b/>
                <w:color w:val="auto"/>
                <w:sz w:val="21"/>
                <w:szCs w:val="21"/>
                <w:lang w:eastAsia="zh-CN"/>
              </w:rPr>
            </w:pPr>
            <w:r>
              <w:rPr>
                <w:rFonts w:hint="eastAsia" w:ascii="Times New Roman" w:hAnsi="Times New Roman" w:eastAsia="仿宋_GB2312"/>
                <w:b/>
                <w:color w:val="auto"/>
                <w:sz w:val="21"/>
                <w:szCs w:val="21"/>
              </w:rPr>
              <w:t>矿区面积</w:t>
            </w:r>
          </w:p>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
                <w:color w:val="auto"/>
                <w:sz w:val="21"/>
                <w:szCs w:val="21"/>
              </w:rPr>
            </w:pPr>
            <w:r>
              <w:rPr>
                <w:rFonts w:hint="eastAsia" w:ascii="Times New Roman" w:hAnsi="Times New Roman" w:eastAsia="仿宋_GB2312"/>
                <w:b/>
                <w:color w:val="auto"/>
                <w:sz w:val="21"/>
                <w:szCs w:val="21"/>
              </w:rPr>
              <w:t>（平方公里）</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b/>
                <w:color w:val="auto"/>
                <w:sz w:val="21"/>
                <w:szCs w:val="21"/>
                <w:lang w:eastAsia="zh-CN"/>
              </w:rPr>
            </w:pPr>
            <w:r>
              <w:rPr>
                <w:rFonts w:hint="eastAsia" w:ascii="Times New Roman" w:hAnsi="Times New Roman" w:eastAsia="仿宋_GB2312"/>
                <w:b/>
                <w:color w:val="auto"/>
                <w:sz w:val="21"/>
                <w:szCs w:val="21"/>
                <w:lang w:val="en-US" w:eastAsia="zh-CN"/>
              </w:rPr>
              <w:t>备注</w:t>
            </w:r>
          </w:p>
        </w:tc>
      </w:tr>
      <w:tr>
        <w:tblPrEx>
          <w:tblCellMar>
            <w:top w:w="0" w:type="dxa"/>
            <w:left w:w="108" w:type="dxa"/>
            <w:bottom w:w="0" w:type="dxa"/>
            <w:right w:w="108" w:type="dxa"/>
          </w:tblCellMar>
        </w:tblPrEx>
        <w:trPr>
          <w:trHeight w:val="855" w:hRule="atLeast"/>
          <w:jc w:val="center"/>
        </w:trPr>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cs="Times New Roman"/>
                <w:bCs/>
                <w:color w:val="auto"/>
                <w:kern w:val="2"/>
                <w:sz w:val="21"/>
                <w:szCs w:val="21"/>
                <w:lang w:val="en-US" w:eastAsia="zh-CN" w:bidi="ar-SA"/>
              </w:rPr>
            </w:pPr>
            <w:r>
              <w:rPr>
                <w:rFonts w:hint="eastAsia" w:ascii="Times New Roman" w:hAnsi="Times New Roman" w:eastAsia="仿宋_GB2312"/>
                <w:bCs/>
                <w:color w:val="auto"/>
                <w:sz w:val="21"/>
                <w:szCs w:val="21"/>
              </w:rPr>
              <w:t>C3608262C3607002009107130042389</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hint="default" w:ascii="Times New Roman" w:hAnsi="Times New Roman" w:eastAsia="仿宋_GB2312" w:cs="Times New Roman"/>
                <w:bCs/>
                <w:color w:val="auto"/>
                <w:kern w:val="2"/>
                <w:sz w:val="21"/>
                <w:szCs w:val="21"/>
                <w:lang w:val="en-US" w:eastAsia="zh-CN" w:bidi="ar-SA"/>
              </w:rPr>
            </w:pPr>
            <w:r>
              <w:rPr>
                <w:rFonts w:hint="eastAsia" w:ascii="Times New Roman" w:hAnsi="Times New Roman" w:eastAsia="仿宋_GB2312"/>
                <w:bCs/>
                <w:color w:val="auto"/>
                <w:sz w:val="21"/>
                <w:szCs w:val="21"/>
                <w:lang w:val="en-US" w:eastAsia="zh-CN"/>
              </w:rPr>
              <w:t>信地村</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cs="Times New Roman"/>
                <w:bCs/>
                <w:color w:val="auto"/>
                <w:kern w:val="2"/>
                <w:sz w:val="21"/>
                <w:szCs w:val="21"/>
                <w:lang w:val="en-US" w:eastAsia="zh-CN" w:bidi="ar-SA"/>
              </w:rPr>
            </w:pPr>
            <w:r>
              <w:rPr>
                <w:rFonts w:hint="eastAsia" w:ascii="Times New Roman" w:hAnsi="Times New Roman" w:eastAsia="仿宋_GB2312"/>
                <w:bCs/>
                <w:color w:val="auto"/>
                <w:sz w:val="21"/>
                <w:szCs w:val="21"/>
              </w:rPr>
              <w:t>上犹县平富乡高岽背瓷土矿</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cs="Times New Roman"/>
                <w:bCs/>
                <w:color w:val="auto"/>
                <w:kern w:val="2"/>
                <w:sz w:val="21"/>
                <w:szCs w:val="21"/>
                <w:lang w:val="en-US" w:eastAsia="zh-CN" w:bidi="ar-SA"/>
              </w:rPr>
            </w:pPr>
            <w:r>
              <w:rPr>
                <w:rFonts w:hint="eastAsia" w:ascii="Times New Roman" w:hAnsi="Times New Roman" w:eastAsia="仿宋_GB2312"/>
                <w:bCs/>
                <w:color w:val="auto"/>
                <w:sz w:val="21"/>
                <w:szCs w:val="21"/>
              </w:rPr>
              <w:t>砖瓦用高岭土</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Cs/>
                <w:color w:val="auto"/>
                <w:sz w:val="21"/>
                <w:szCs w:val="21"/>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Cs/>
                <w:color w:val="auto"/>
                <w:sz w:val="21"/>
                <w:szCs w:val="21"/>
              </w:rPr>
            </w:pP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Cs/>
                <w:color w:val="auto"/>
                <w:sz w:val="21"/>
                <w:szCs w:val="21"/>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bCs/>
                <w:color w:val="auto"/>
                <w:sz w:val="21"/>
                <w:szCs w:val="21"/>
                <w:lang w:val="en-US" w:eastAsia="zh-CN"/>
              </w:rPr>
            </w:pPr>
            <w:r>
              <w:rPr>
                <w:rFonts w:hint="eastAsia" w:ascii="Times New Roman" w:hAnsi="Times New Roman" w:eastAsia="仿宋_GB2312"/>
                <w:bCs/>
                <w:color w:val="auto"/>
                <w:sz w:val="21"/>
                <w:szCs w:val="21"/>
                <w:lang w:val="en-US" w:eastAsia="zh-CN"/>
              </w:rPr>
              <w:t>探矿权</w:t>
            </w:r>
          </w:p>
        </w:tc>
      </w:tr>
      <w:tr>
        <w:tblPrEx>
          <w:tblCellMar>
            <w:top w:w="0" w:type="dxa"/>
            <w:left w:w="108" w:type="dxa"/>
            <w:bottom w:w="0" w:type="dxa"/>
            <w:right w:w="108" w:type="dxa"/>
          </w:tblCellMar>
        </w:tblPrEx>
        <w:trPr>
          <w:trHeight w:val="855" w:hRule="atLeast"/>
          <w:jc w:val="center"/>
        </w:trPr>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Cs/>
                <w:color w:val="auto"/>
                <w:sz w:val="21"/>
                <w:szCs w:val="21"/>
              </w:rPr>
            </w:pPr>
            <w:r>
              <w:rPr>
                <w:rFonts w:hint="eastAsia" w:ascii="Times New Roman" w:hAnsi="Times New Roman" w:eastAsia="仿宋_GB2312"/>
                <w:bCs/>
                <w:color w:val="auto"/>
                <w:sz w:val="21"/>
                <w:szCs w:val="21"/>
              </w:rPr>
              <w:t>T36120081202019758</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Cs/>
                <w:color w:val="auto"/>
                <w:sz w:val="21"/>
                <w:szCs w:val="21"/>
              </w:rPr>
            </w:pPr>
            <w:r>
              <w:rPr>
                <w:rFonts w:hint="eastAsia" w:ascii="Times New Roman" w:hAnsi="Times New Roman" w:eastAsia="仿宋_GB2312"/>
                <w:bCs/>
                <w:color w:val="auto"/>
                <w:sz w:val="21"/>
                <w:szCs w:val="21"/>
                <w:lang w:val="en-US" w:eastAsia="zh-CN"/>
              </w:rPr>
              <w:t>大潭村</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Cs/>
                <w:color w:val="auto"/>
                <w:sz w:val="21"/>
                <w:szCs w:val="21"/>
              </w:rPr>
            </w:pPr>
            <w:r>
              <w:rPr>
                <w:rFonts w:hint="eastAsia" w:ascii="Times New Roman" w:hAnsi="Times New Roman" w:eastAsia="仿宋_GB2312"/>
                <w:bCs/>
                <w:color w:val="auto"/>
                <w:sz w:val="21"/>
                <w:szCs w:val="21"/>
                <w:lang w:val="en-US" w:eastAsia="zh-CN"/>
              </w:rPr>
              <w:t>上</w:t>
            </w:r>
            <w:r>
              <w:rPr>
                <w:rFonts w:hint="eastAsia" w:ascii="Times New Roman" w:hAnsi="Times New Roman" w:eastAsia="仿宋_GB2312"/>
                <w:bCs/>
                <w:color w:val="auto"/>
                <w:sz w:val="21"/>
                <w:szCs w:val="21"/>
              </w:rPr>
              <w:t>犹县焦龙银多金属矿普查</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Cs/>
                <w:color w:val="auto"/>
                <w:sz w:val="21"/>
                <w:szCs w:val="21"/>
              </w:rPr>
            </w:pPr>
            <w:r>
              <w:rPr>
                <w:rFonts w:hint="eastAsia" w:ascii="Times New Roman" w:hAnsi="Times New Roman" w:eastAsia="仿宋_GB2312"/>
                <w:bCs/>
                <w:color w:val="auto"/>
                <w:sz w:val="21"/>
                <w:szCs w:val="21"/>
              </w:rPr>
              <w:t>银矿</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Cs/>
                <w:color w:val="auto"/>
                <w:sz w:val="21"/>
                <w:szCs w:val="21"/>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Cs/>
                <w:color w:val="auto"/>
                <w:sz w:val="21"/>
                <w:szCs w:val="21"/>
              </w:rPr>
            </w:pP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Cs/>
                <w:color w:val="auto"/>
                <w:sz w:val="21"/>
                <w:szCs w:val="21"/>
              </w:rPr>
            </w:pPr>
            <w:r>
              <w:rPr>
                <w:rFonts w:hint="eastAsia" w:ascii="Times New Roman" w:hAnsi="Times New Roman" w:eastAsia="仿宋_GB2312"/>
                <w:bCs/>
                <w:color w:val="auto"/>
                <w:sz w:val="21"/>
                <w:szCs w:val="21"/>
              </w:rPr>
              <w:t>2.77</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bCs/>
                <w:color w:val="auto"/>
                <w:sz w:val="21"/>
                <w:szCs w:val="21"/>
                <w:lang w:val="en-US" w:eastAsia="zh-CN"/>
              </w:rPr>
            </w:pPr>
            <w:r>
              <w:rPr>
                <w:rFonts w:hint="eastAsia" w:ascii="Times New Roman" w:hAnsi="Times New Roman" w:eastAsia="仿宋_GB2312"/>
                <w:bCs/>
                <w:color w:val="auto"/>
                <w:sz w:val="21"/>
                <w:szCs w:val="21"/>
                <w:lang w:val="en-US" w:eastAsia="zh-CN"/>
              </w:rPr>
              <w:t>探矿权</w:t>
            </w:r>
          </w:p>
        </w:tc>
      </w:tr>
      <w:tr>
        <w:tblPrEx>
          <w:tblCellMar>
            <w:top w:w="0" w:type="dxa"/>
            <w:left w:w="108" w:type="dxa"/>
            <w:bottom w:w="0" w:type="dxa"/>
            <w:right w:w="108" w:type="dxa"/>
          </w:tblCellMar>
        </w:tblPrEx>
        <w:trPr>
          <w:trHeight w:val="855" w:hRule="atLeast"/>
          <w:jc w:val="center"/>
        </w:trPr>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Cs/>
                <w:color w:val="auto"/>
                <w:sz w:val="21"/>
                <w:szCs w:val="21"/>
              </w:rPr>
            </w:pPr>
            <w:r>
              <w:rPr>
                <w:rFonts w:hint="eastAsia" w:ascii="Times New Roman" w:hAnsi="Times New Roman" w:eastAsia="仿宋_GB2312"/>
                <w:bCs/>
                <w:color w:val="auto"/>
                <w:sz w:val="21"/>
                <w:szCs w:val="21"/>
              </w:rPr>
              <w:t>T36120090802033339</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Cs/>
                <w:color w:val="auto"/>
                <w:sz w:val="21"/>
                <w:szCs w:val="21"/>
              </w:rPr>
            </w:pPr>
            <w:r>
              <w:rPr>
                <w:rFonts w:hint="eastAsia" w:ascii="Times New Roman" w:hAnsi="Times New Roman" w:eastAsia="仿宋_GB2312"/>
                <w:bCs/>
                <w:color w:val="auto"/>
                <w:sz w:val="21"/>
                <w:szCs w:val="21"/>
                <w:lang w:val="en-US" w:eastAsia="zh-CN"/>
              </w:rPr>
              <w:t>信地村</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Cs/>
                <w:color w:val="auto"/>
                <w:sz w:val="21"/>
                <w:szCs w:val="21"/>
              </w:rPr>
            </w:pPr>
            <w:r>
              <w:rPr>
                <w:rFonts w:hint="eastAsia" w:ascii="Times New Roman" w:hAnsi="Times New Roman" w:eastAsia="仿宋_GB2312"/>
                <w:bCs/>
                <w:color w:val="auto"/>
                <w:sz w:val="21"/>
                <w:szCs w:val="21"/>
              </w:rPr>
              <w:t>江西省上犹县高岽背铜多金属矿普查</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Cs/>
                <w:color w:val="auto"/>
                <w:sz w:val="21"/>
                <w:szCs w:val="21"/>
              </w:rPr>
            </w:pPr>
            <w:r>
              <w:rPr>
                <w:rFonts w:hint="eastAsia" w:ascii="Times New Roman" w:hAnsi="Times New Roman" w:eastAsia="仿宋_GB2312"/>
                <w:bCs/>
                <w:color w:val="auto"/>
                <w:sz w:val="21"/>
                <w:szCs w:val="21"/>
              </w:rPr>
              <w:t>铜矿</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Cs/>
                <w:color w:val="auto"/>
                <w:sz w:val="21"/>
                <w:szCs w:val="21"/>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Cs/>
                <w:color w:val="auto"/>
                <w:sz w:val="21"/>
                <w:szCs w:val="21"/>
              </w:rPr>
            </w:pP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Cs/>
                <w:color w:val="auto"/>
                <w:sz w:val="21"/>
                <w:szCs w:val="21"/>
              </w:rPr>
            </w:pPr>
            <w:r>
              <w:rPr>
                <w:rFonts w:hint="eastAsia" w:ascii="Times New Roman" w:hAnsi="Times New Roman" w:eastAsia="仿宋_GB2312"/>
                <w:bCs/>
                <w:color w:val="auto"/>
                <w:sz w:val="21"/>
                <w:szCs w:val="21"/>
              </w:rPr>
              <w:t>8.21</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hint="default" w:ascii="Times New Roman" w:hAnsi="Times New Roman" w:eastAsia="仿宋_GB2312"/>
                <w:bCs/>
                <w:color w:val="auto"/>
                <w:sz w:val="21"/>
                <w:szCs w:val="21"/>
                <w:lang w:val="en-US" w:eastAsia="zh-CN"/>
              </w:rPr>
            </w:pPr>
            <w:r>
              <w:rPr>
                <w:rFonts w:hint="eastAsia" w:ascii="Times New Roman" w:hAnsi="Times New Roman" w:eastAsia="仿宋_GB2312"/>
                <w:bCs/>
                <w:color w:val="auto"/>
                <w:sz w:val="21"/>
                <w:szCs w:val="21"/>
                <w:lang w:val="en-US" w:eastAsia="zh-CN"/>
              </w:rPr>
              <w:t>采矿权</w:t>
            </w:r>
          </w:p>
        </w:tc>
      </w:tr>
      <w:tr>
        <w:tblPrEx>
          <w:tblCellMar>
            <w:top w:w="0" w:type="dxa"/>
            <w:left w:w="108" w:type="dxa"/>
            <w:bottom w:w="0" w:type="dxa"/>
            <w:right w:w="108" w:type="dxa"/>
          </w:tblCellMar>
        </w:tblPrEx>
        <w:trPr>
          <w:trHeight w:val="1697" w:hRule="atLeast"/>
          <w:jc w:val="center"/>
        </w:trPr>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Cs/>
                <w:color w:val="auto"/>
                <w:sz w:val="21"/>
                <w:szCs w:val="21"/>
              </w:rPr>
            </w:pPr>
            <w:r>
              <w:rPr>
                <w:rFonts w:hint="eastAsia" w:ascii="Times New Roman" w:hAnsi="Times New Roman" w:eastAsia="仿宋_GB2312"/>
                <w:bCs/>
                <w:color w:val="auto"/>
                <w:sz w:val="21"/>
                <w:szCs w:val="21"/>
              </w:rPr>
              <w:t>T36120091102036465</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Cs/>
                <w:color w:val="auto"/>
                <w:sz w:val="21"/>
                <w:szCs w:val="21"/>
              </w:rPr>
            </w:pPr>
            <w:r>
              <w:rPr>
                <w:rFonts w:hint="eastAsia" w:ascii="Times New Roman" w:hAnsi="Times New Roman" w:eastAsia="仿宋_GB2312"/>
                <w:bCs/>
                <w:color w:val="auto"/>
                <w:sz w:val="21"/>
                <w:szCs w:val="21"/>
                <w:lang w:val="en-US" w:eastAsia="zh-CN"/>
              </w:rPr>
              <w:t>信地村</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Cs/>
                <w:color w:val="auto"/>
                <w:sz w:val="21"/>
                <w:szCs w:val="21"/>
              </w:rPr>
            </w:pPr>
            <w:r>
              <w:rPr>
                <w:rFonts w:hint="eastAsia" w:ascii="Times New Roman" w:hAnsi="Times New Roman" w:eastAsia="仿宋_GB2312"/>
                <w:bCs/>
                <w:color w:val="auto"/>
                <w:sz w:val="21"/>
                <w:szCs w:val="21"/>
              </w:rPr>
              <w:t>上犹县平富乡高宗背瓷土矿</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bCs/>
                <w:color w:val="auto"/>
                <w:sz w:val="21"/>
                <w:szCs w:val="21"/>
              </w:rPr>
            </w:pPr>
            <w:r>
              <w:rPr>
                <w:rFonts w:hint="eastAsia" w:ascii="Times New Roman" w:hAnsi="Times New Roman" w:eastAsia="仿宋_GB2312"/>
                <w:bCs/>
                <w:color w:val="auto"/>
                <w:sz w:val="21"/>
                <w:szCs w:val="21"/>
              </w:rPr>
              <w:t>瓷土矿</w:t>
            </w:r>
          </w:p>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Cs/>
                <w:color w:val="auto"/>
                <w:sz w:val="21"/>
                <w:szCs w:val="21"/>
              </w:rPr>
            </w:pP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Cs/>
                <w:color w:val="auto"/>
                <w:sz w:val="21"/>
                <w:szCs w:val="21"/>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Cs/>
                <w:color w:val="auto"/>
                <w:sz w:val="21"/>
                <w:szCs w:val="21"/>
              </w:rPr>
            </w:pP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Cs/>
                <w:color w:val="auto"/>
                <w:sz w:val="21"/>
                <w:szCs w:val="21"/>
              </w:rPr>
            </w:pPr>
            <w:r>
              <w:rPr>
                <w:rFonts w:hint="eastAsia" w:ascii="Times New Roman" w:hAnsi="Times New Roman" w:eastAsia="仿宋_GB2312"/>
                <w:bCs/>
                <w:color w:val="auto"/>
                <w:sz w:val="21"/>
                <w:szCs w:val="21"/>
              </w:rPr>
              <w:t>3.99</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Cs/>
                <w:color w:val="auto"/>
                <w:sz w:val="21"/>
                <w:szCs w:val="21"/>
              </w:rPr>
            </w:pPr>
            <w:r>
              <w:rPr>
                <w:rFonts w:hint="eastAsia" w:ascii="Times New Roman" w:hAnsi="Times New Roman" w:eastAsia="仿宋_GB2312"/>
                <w:bCs/>
                <w:color w:val="auto"/>
                <w:sz w:val="21"/>
                <w:szCs w:val="21"/>
                <w:lang w:val="en-US" w:eastAsia="zh-CN"/>
              </w:rPr>
              <w:t>采矿权</w:t>
            </w:r>
          </w:p>
        </w:tc>
      </w:tr>
      <w:tr>
        <w:tblPrEx>
          <w:tblCellMar>
            <w:top w:w="0" w:type="dxa"/>
            <w:left w:w="108" w:type="dxa"/>
            <w:bottom w:w="0" w:type="dxa"/>
            <w:right w:w="108" w:type="dxa"/>
          </w:tblCellMar>
        </w:tblPrEx>
        <w:trPr>
          <w:trHeight w:val="1116" w:hRule="atLeast"/>
          <w:jc w:val="center"/>
        </w:trPr>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Cs/>
                <w:color w:val="auto"/>
                <w:sz w:val="21"/>
                <w:szCs w:val="21"/>
              </w:rPr>
            </w:pPr>
            <w:r>
              <w:rPr>
                <w:rFonts w:hint="eastAsia" w:ascii="Times New Roman" w:hAnsi="Times New Roman" w:eastAsia="仿宋_GB2312"/>
                <w:bCs/>
                <w:color w:val="auto"/>
                <w:sz w:val="21"/>
                <w:szCs w:val="21"/>
              </w:rPr>
              <w:t>T36120081201019691</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Cs/>
                <w:color w:val="auto"/>
                <w:sz w:val="21"/>
                <w:szCs w:val="21"/>
              </w:rPr>
            </w:pPr>
            <w:r>
              <w:rPr>
                <w:rFonts w:hint="eastAsia" w:ascii="Times New Roman" w:hAnsi="Times New Roman" w:eastAsia="仿宋_GB2312"/>
                <w:bCs/>
                <w:color w:val="auto"/>
                <w:sz w:val="21"/>
                <w:szCs w:val="21"/>
                <w:lang w:val="en-US" w:eastAsia="zh-CN"/>
              </w:rPr>
              <w:t>上寨村</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Cs/>
                <w:color w:val="auto"/>
                <w:sz w:val="21"/>
                <w:szCs w:val="21"/>
              </w:rPr>
            </w:pPr>
            <w:r>
              <w:rPr>
                <w:rFonts w:hint="eastAsia" w:ascii="Times New Roman" w:hAnsi="Times New Roman" w:eastAsia="仿宋_GB2312"/>
                <w:bCs/>
                <w:color w:val="auto"/>
                <w:sz w:val="21"/>
                <w:szCs w:val="21"/>
              </w:rPr>
              <w:t>江西省上犹县暖塘地热水可行性勘查</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Cs/>
                <w:color w:val="auto"/>
                <w:sz w:val="21"/>
                <w:szCs w:val="21"/>
              </w:rPr>
            </w:pPr>
            <w:r>
              <w:rPr>
                <w:rFonts w:hint="eastAsia" w:ascii="Times New Roman" w:hAnsi="Times New Roman" w:eastAsia="仿宋_GB2312"/>
                <w:bCs/>
                <w:color w:val="auto"/>
                <w:sz w:val="21"/>
                <w:szCs w:val="21"/>
              </w:rPr>
              <w:t>地热</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Cs/>
                <w:color w:val="auto"/>
                <w:sz w:val="21"/>
                <w:szCs w:val="21"/>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Cs/>
                <w:color w:val="auto"/>
                <w:sz w:val="21"/>
                <w:szCs w:val="21"/>
              </w:rPr>
            </w:pP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Cs/>
                <w:color w:val="auto"/>
                <w:sz w:val="21"/>
                <w:szCs w:val="21"/>
              </w:rPr>
            </w:pPr>
            <w:r>
              <w:rPr>
                <w:rFonts w:hint="eastAsia" w:ascii="Times New Roman" w:hAnsi="Times New Roman" w:eastAsia="仿宋_GB2312"/>
                <w:bCs/>
                <w:color w:val="auto"/>
                <w:sz w:val="21"/>
                <w:szCs w:val="21"/>
                <w:lang w:val="en-US" w:eastAsia="zh-CN"/>
              </w:rPr>
              <w:t>0</w:t>
            </w:r>
            <w:r>
              <w:rPr>
                <w:rFonts w:hint="eastAsia" w:ascii="Times New Roman" w:hAnsi="Times New Roman" w:eastAsia="仿宋_GB2312"/>
                <w:bCs/>
                <w:color w:val="auto"/>
                <w:sz w:val="21"/>
                <w:szCs w:val="21"/>
              </w:rPr>
              <w:t>.57</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Cs/>
                <w:color w:val="auto"/>
                <w:sz w:val="21"/>
                <w:szCs w:val="21"/>
              </w:rPr>
            </w:pPr>
            <w:r>
              <w:rPr>
                <w:rFonts w:hint="eastAsia" w:ascii="Times New Roman" w:hAnsi="Times New Roman" w:eastAsia="仿宋_GB2312"/>
                <w:bCs/>
                <w:color w:val="auto"/>
                <w:sz w:val="21"/>
                <w:szCs w:val="21"/>
                <w:lang w:val="en-US" w:eastAsia="zh-CN"/>
              </w:rPr>
              <w:t>探矿权</w:t>
            </w:r>
          </w:p>
        </w:tc>
      </w:tr>
      <w:tr>
        <w:tblPrEx>
          <w:tblCellMar>
            <w:top w:w="0" w:type="dxa"/>
            <w:left w:w="108" w:type="dxa"/>
            <w:bottom w:w="0" w:type="dxa"/>
            <w:right w:w="108" w:type="dxa"/>
          </w:tblCellMar>
        </w:tblPrEx>
        <w:trPr>
          <w:trHeight w:val="1116" w:hRule="atLeast"/>
          <w:jc w:val="center"/>
        </w:trPr>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bCs/>
                <w:color w:val="auto"/>
                <w:sz w:val="21"/>
                <w:szCs w:val="21"/>
              </w:rPr>
            </w:pPr>
            <w:r>
              <w:rPr>
                <w:rFonts w:hint="eastAsia" w:ascii="Times New Roman" w:hAnsi="Times New Roman" w:eastAsia="仿宋_GB2312"/>
                <w:bCs/>
                <w:color w:val="auto"/>
                <w:sz w:val="21"/>
                <w:szCs w:val="21"/>
              </w:rPr>
              <w:t>C3608262010067130067366</w:t>
            </w: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bCs/>
                <w:color w:val="auto"/>
                <w:sz w:val="21"/>
                <w:szCs w:val="21"/>
                <w:lang w:val="en-US" w:eastAsia="zh-CN"/>
              </w:rPr>
            </w:pPr>
            <w:r>
              <w:rPr>
                <w:rFonts w:hint="eastAsia" w:ascii="Times New Roman" w:hAnsi="Times New Roman" w:eastAsia="仿宋_GB2312"/>
                <w:bCs/>
                <w:color w:val="auto"/>
                <w:sz w:val="21"/>
                <w:szCs w:val="21"/>
                <w:lang w:val="en-US" w:eastAsia="zh-CN"/>
              </w:rPr>
              <w:t>信地村</w:t>
            </w: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bCs/>
                <w:color w:val="auto"/>
                <w:sz w:val="21"/>
                <w:szCs w:val="21"/>
              </w:rPr>
            </w:pPr>
            <w:r>
              <w:rPr>
                <w:rFonts w:hint="eastAsia" w:ascii="Times New Roman" w:hAnsi="Times New Roman" w:eastAsia="仿宋_GB2312"/>
                <w:bCs/>
                <w:color w:val="auto"/>
                <w:sz w:val="21"/>
                <w:szCs w:val="21"/>
                <w:lang w:eastAsia="zh-CN"/>
              </w:rPr>
              <w:t>上犹县平富乡高岭土矿</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bCs/>
                <w:color w:val="auto"/>
                <w:sz w:val="21"/>
                <w:szCs w:val="21"/>
              </w:rPr>
            </w:pPr>
            <w:r>
              <w:rPr>
                <w:rFonts w:hint="eastAsia" w:ascii="Times New Roman" w:hAnsi="Times New Roman" w:eastAsia="仿宋_GB2312"/>
                <w:bCs/>
                <w:color w:val="auto"/>
                <w:sz w:val="21"/>
                <w:szCs w:val="21"/>
              </w:rPr>
              <w:t>高岭土</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Cs/>
                <w:color w:val="auto"/>
                <w:sz w:val="21"/>
                <w:szCs w:val="21"/>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Cs/>
                <w:color w:val="auto"/>
                <w:sz w:val="21"/>
                <w:szCs w:val="21"/>
              </w:rPr>
            </w:pP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bCs/>
                <w:color w:val="auto"/>
                <w:sz w:val="21"/>
                <w:szCs w:val="21"/>
                <w:lang w:val="en-US" w:eastAsia="zh-CN"/>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Cs/>
                <w:color w:val="auto"/>
                <w:sz w:val="21"/>
                <w:szCs w:val="21"/>
              </w:rPr>
            </w:pPr>
            <w:r>
              <w:rPr>
                <w:rFonts w:hint="eastAsia" w:ascii="Times New Roman" w:hAnsi="Times New Roman" w:eastAsia="仿宋_GB2312"/>
                <w:bCs/>
                <w:color w:val="auto"/>
                <w:sz w:val="21"/>
                <w:szCs w:val="21"/>
                <w:lang w:val="en-US" w:eastAsia="zh-CN"/>
              </w:rPr>
              <w:t>停采</w:t>
            </w:r>
          </w:p>
        </w:tc>
      </w:tr>
      <w:tr>
        <w:tblPrEx>
          <w:tblCellMar>
            <w:top w:w="0" w:type="dxa"/>
            <w:left w:w="108" w:type="dxa"/>
            <w:bottom w:w="0" w:type="dxa"/>
            <w:right w:w="108" w:type="dxa"/>
          </w:tblCellMar>
        </w:tblPrEx>
        <w:trPr>
          <w:trHeight w:val="855" w:hRule="atLeast"/>
          <w:jc w:val="center"/>
        </w:trPr>
        <w:tc>
          <w:tcPr>
            <w:tcW w:w="88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Cs/>
                <w:color w:val="auto"/>
                <w:sz w:val="21"/>
                <w:szCs w:val="21"/>
              </w:rPr>
            </w:pPr>
          </w:p>
        </w:tc>
        <w:tc>
          <w:tcPr>
            <w:tcW w:w="541"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Cs/>
                <w:color w:val="auto"/>
                <w:sz w:val="21"/>
                <w:szCs w:val="21"/>
              </w:rPr>
            </w:pPr>
          </w:p>
        </w:tc>
        <w:tc>
          <w:tcPr>
            <w:tcW w:w="97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bCs/>
                <w:color w:val="auto"/>
                <w:sz w:val="21"/>
                <w:szCs w:val="21"/>
              </w:rPr>
            </w:pPr>
            <w:r>
              <w:rPr>
                <w:rFonts w:hint="eastAsia" w:ascii="Times New Roman" w:hAnsi="Times New Roman" w:eastAsia="仿宋_GB2312"/>
                <w:bCs/>
                <w:color w:val="auto"/>
                <w:sz w:val="21"/>
                <w:szCs w:val="21"/>
                <w:lang w:val="en-US" w:eastAsia="zh-CN"/>
              </w:rPr>
              <w:t xml:space="preserve">上犹县平富乡 </w:t>
            </w:r>
          </w:p>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Cs/>
                <w:color w:val="auto"/>
                <w:sz w:val="21"/>
                <w:szCs w:val="21"/>
              </w:rPr>
            </w:pPr>
            <w:r>
              <w:rPr>
                <w:rFonts w:hint="eastAsia" w:ascii="Times New Roman" w:hAnsi="Times New Roman" w:eastAsia="仿宋_GB2312"/>
                <w:bCs/>
                <w:color w:val="auto"/>
                <w:sz w:val="21"/>
                <w:szCs w:val="21"/>
                <w:lang w:val="en-US" w:eastAsia="zh-CN"/>
              </w:rPr>
              <w:t>庄坑尾建筑用砂岩矿</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Cs/>
                <w:color w:val="auto"/>
                <w:sz w:val="21"/>
                <w:szCs w:val="21"/>
              </w:rPr>
            </w:pPr>
            <w:r>
              <w:rPr>
                <w:rFonts w:hint="eastAsia" w:ascii="Times New Roman" w:hAnsi="Times New Roman" w:eastAsia="仿宋_GB2312"/>
                <w:bCs/>
                <w:color w:val="auto"/>
                <w:sz w:val="21"/>
                <w:szCs w:val="21"/>
                <w:lang w:val="en-US" w:eastAsia="zh-CN"/>
              </w:rPr>
              <w:t>建 砂 筑 岩</w:t>
            </w:r>
          </w:p>
        </w:tc>
        <w:tc>
          <w:tcPr>
            <w:tcW w:w="436"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Cs/>
                <w:color w:val="auto"/>
                <w:sz w:val="21"/>
                <w:szCs w:val="21"/>
              </w:rPr>
            </w:pPr>
          </w:p>
        </w:tc>
        <w:tc>
          <w:tcPr>
            <w:tcW w:w="5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bCs/>
                <w:color w:val="auto"/>
                <w:sz w:val="21"/>
                <w:szCs w:val="21"/>
                <w:lang w:val="en-US" w:eastAsia="zh-CN"/>
              </w:rPr>
            </w:pPr>
          </w:p>
        </w:tc>
        <w:tc>
          <w:tcPr>
            <w:tcW w:w="7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bCs/>
                <w:color w:val="auto"/>
                <w:sz w:val="21"/>
                <w:szCs w:val="21"/>
                <w:lang w:val="en-US" w:eastAsia="zh-CN"/>
              </w:rPr>
            </w:pPr>
            <w:r>
              <w:rPr>
                <w:rFonts w:hint="default" w:ascii="Times New Roman" w:hAnsi="Times New Roman" w:eastAsia="仿宋_GB2312"/>
                <w:bCs/>
                <w:color w:val="auto"/>
                <w:sz w:val="21"/>
                <w:szCs w:val="21"/>
                <w:lang w:val="en-US" w:eastAsia="zh-CN"/>
              </w:rPr>
              <w:t>0.369</w:t>
            </w:r>
          </w:p>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bCs/>
                <w:color w:val="auto"/>
                <w:sz w:val="21"/>
                <w:szCs w:val="21"/>
                <w:lang w:val="en-US" w:eastAsia="zh-CN"/>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bCs/>
                <w:color w:val="auto"/>
                <w:sz w:val="21"/>
                <w:szCs w:val="21"/>
                <w:lang w:val="en-US" w:eastAsia="zh-CN"/>
              </w:rPr>
            </w:pPr>
            <w:r>
              <w:rPr>
                <w:rFonts w:hint="eastAsia" w:ascii="Times New Roman" w:hAnsi="Times New Roman" w:eastAsia="仿宋_GB2312"/>
                <w:bCs/>
                <w:color w:val="auto"/>
                <w:sz w:val="21"/>
                <w:szCs w:val="21"/>
                <w:lang w:val="en-US" w:eastAsia="zh-CN"/>
              </w:rPr>
              <w:t>停采</w:t>
            </w:r>
          </w:p>
        </w:tc>
      </w:tr>
    </w:tbl>
    <w:p>
      <w:pPr>
        <w:snapToGrid w:val="0"/>
        <w:spacing w:line="480" w:lineRule="exact"/>
        <w:ind w:firstLine="562"/>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二、存在的问题</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hint="eastAsia" w:ascii="Times New Roman" w:hAnsi="Times New Roman" w:eastAsia="仿宋_GB2312"/>
          <w:bCs/>
          <w:color w:val="auto"/>
          <w:sz w:val="28"/>
          <w:szCs w:val="28"/>
          <w:lang w:eastAsia="zh-CN"/>
        </w:rPr>
        <w:t>平富乡</w:t>
      </w:r>
      <w:r>
        <w:rPr>
          <w:rFonts w:ascii="Times New Roman" w:hAnsi="Times New Roman" w:eastAsia="仿宋_GB2312"/>
          <w:bCs/>
          <w:color w:val="auto"/>
          <w:sz w:val="28"/>
          <w:szCs w:val="28"/>
        </w:rPr>
        <w:t>矿山地质环境问题主要有：地形地貌景观破坏、土地资源破坏两类。</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hint="eastAsia" w:ascii="Times New Roman" w:hAnsi="Times New Roman" w:eastAsia="仿宋_GB2312"/>
          <w:bCs/>
          <w:color w:val="auto"/>
          <w:sz w:val="28"/>
          <w:szCs w:val="28"/>
          <w:lang w:val="en-US" w:eastAsia="zh-CN"/>
        </w:rPr>
        <w:t>1、</w:t>
      </w:r>
      <w:r>
        <w:rPr>
          <w:rFonts w:ascii="Times New Roman" w:hAnsi="Times New Roman" w:eastAsia="仿宋_GB2312"/>
          <w:bCs/>
          <w:color w:val="auto"/>
          <w:sz w:val="28"/>
          <w:szCs w:val="28"/>
        </w:rPr>
        <w:t>地形地貌景观破坏</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地形地貌景观破坏方式主要包括露天开采挖损地表形成高陡边坡、露天采坑，弃土及废石、各类矿山工程压占，矿山地质灾害造成植被景观破坏等。破坏地形地貌景观类型主要为岗地、丘陵，其次为低山、平原。在破坏方式上主要以露天采场为主。地形地貌景观破坏总面积</w:t>
      </w:r>
      <w:r>
        <w:rPr>
          <w:rFonts w:hint="eastAsia" w:ascii="Times New Roman" w:hAnsi="Times New Roman" w:eastAsia="仿宋_GB2312"/>
          <w:bCs/>
          <w:color w:val="auto"/>
          <w:sz w:val="28"/>
          <w:szCs w:val="28"/>
          <w:lang w:val="en-US" w:eastAsia="zh-CN"/>
        </w:rPr>
        <w:t>1.69</w:t>
      </w:r>
      <w:r>
        <w:rPr>
          <w:rFonts w:ascii="Times New Roman" w:hAnsi="Times New Roman" w:eastAsia="仿宋_GB2312"/>
          <w:bCs/>
          <w:color w:val="auto"/>
          <w:sz w:val="28"/>
          <w:szCs w:val="28"/>
        </w:rPr>
        <w:t>公顷，均为许可证已过期矿山破坏</w:t>
      </w:r>
      <w:r>
        <w:rPr>
          <w:rFonts w:hint="eastAsia" w:ascii="Times New Roman" w:hAnsi="Times New Roman" w:eastAsia="仿宋_GB2312"/>
          <w:bCs/>
          <w:color w:val="auto"/>
          <w:sz w:val="28"/>
          <w:szCs w:val="28"/>
          <w:lang w:eastAsia="zh-CN"/>
        </w:rPr>
        <w:t>，</w:t>
      </w:r>
      <w:r>
        <w:rPr>
          <w:rFonts w:hint="eastAsia" w:ascii="Times New Roman" w:hAnsi="Times New Roman" w:eastAsia="仿宋_GB2312"/>
          <w:bCs/>
          <w:color w:val="auto"/>
          <w:sz w:val="28"/>
          <w:szCs w:val="28"/>
          <w:lang w:val="en-US" w:eastAsia="zh-CN"/>
        </w:rPr>
        <w:t>主要位于信地村</w:t>
      </w:r>
      <w:r>
        <w:rPr>
          <w:rFonts w:ascii="Times New Roman" w:hAnsi="Times New Roman" w:eastAsia="仿宋_GB2312"/>
          <w:bCs/>
          <w:color w:val="auto"/>
          <w:sz w:val="28"/>
          <w:szCs w:val="28"/>
        </w:rPr>
        <w:t>。</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hint="eastAsia" w:ascii="Times New Roman" w:hAnsi="Times New Roman" w:eastAsia="仿宋_GB2312"/>
          <w:bCs/>
          <w:color w:val="auto"/>
          <w:sz w:val="28"/>
          <w:szCs w:val="28"/>
          <w:lang w:val="en-US" w:eastAsia="zh-CN"/>
        </w:rPr>
        <w:t>2、</w:t>
      </w:r>
      <w:r>
        <w:rPr>
          <w:rFonts w:ascii="Times New Roman" w:hAnsi="Times New Roman" w:eastAsia="仿宋_GB2312"/>
          <w:bCs/>
          <w:color w:val="auto"/>
          <w:sz w:val="28"/>
          <w:szCs w:val="28"/>
        </w:rPr>
        <w:t>土地资源破坏</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土地资源破坏方式主要为露天采场、废石堆、尾矿库、工业广场及地质灾害等的压占、挖损，破坏土地资源类型主要为林地，草地，耕地次之。土地资源破坏总面积</w:t>
      </w:r>
      <w:r>
        <w:rPr>
          <w:rFonts w:hint="eastAsia" w:ascii="Times New Roman" w:hAnsi="Times New Roman" w:eastAsia="仿宋_GB2312"/>
          <w:bCs/>
          <w:color w:val="auto"/>
          <w:sz w:val="28"/>
          <w:szCs w:val="28"/>
          <w:lang w:val="en-US" w:eastAsia="zh-CN"/>
        </w:rPr>
        <w:t>1.69</w:t>
      </w:r>
      <w:r>
        <w:rPr>
          <w:rFonts w:ascii="Times New Roman" w:hAnsi="Times New Roman" w:eastAsia="仿宋_GB2312"/>
          <w:bCs/>
          <w:color w:val="auto"/>
          <w:sz w:val="28"/>
          <w:szCs w:val="28"/>
        </w:rPr>
        <w:t>公顷，均为许可证已过期矿山破坏。</w:t>
      </w:r>
    </w:p>
    <w:p>
      <w:pPr>
        <w:snapToGrid w:val="0"/>
        <w:spacing w:line="480" w:lineRule="exact"/>
        <w:ind w:firstLine="562"/>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三、矿产资源保护利用分区</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以江西省、</w:t>
      </w:r>
      <w:r>
        <w:rPr>
          <w:rFonts w:hint="eastAsia" w:ascii="Times New Roman" w:hAnsi="Times New Roman" w:eastAsia="仿宋_GB2312"/>
          <w:bCs/>
          <w:color w:val="auto"/>
          <w:sz w:val="28"/>
          <w:szCs w:val="28"/>
          <w:lang w:eastAsia="zh-CN"/>
        </w:rPr>
        <w:t>赣州</w:t>
      </w:r>
      <w:r>
        <w:rPr>
          <w:rFonts w:ascii="Times New Roman" w:hAnsi="Times New Roman" w:eastAsia="仿宋_GB2312"/>
          <w:bCs/>
          <w:color w:val="auto"/>
          <w:sz w:val="28"/>
          <w:szCs w:val="28"/>
        </w:rPr>
        <w:t>市矿产资源总体规划为指导，根据</w:t>
      </w:r>
      <w:r>
        <w:rPr>
          <w:rFonts w:hint="eastAsia" w:ascii="Times New Roman" w:hAnsi="Times New Roman" w:eastAsia="仿宋_GB2312"/>
          <w:bCs/>
          <w:color w:val="auto"/>
          <w:sz w:val="28"/>
          <w:szCs w:val="28"/>
          <w:lang w:eastAsia="zh-CN"/>
        </w:rPr>
        <w:t>上犹县</w:t>
      </w:r>
      <w:r>
        <w:rPr>
          <w:rFonts w:ascii="Times New Roman" w:hAnsi="Times New Roman" w:eastAsia="仿宋_GB2312"/>
          <w:bCs/>
          <w:color w:val="auto"/>
          <w:sz w:val="28"/>
          <w:szCs w:val="28"/>
        </w:rPr>
        <w:t>矿产资源开发利用现状，以及资源环境协调发展的要求，将</w:t>
      </w:r>
      <w:r>
        <w:rPr>
          <w:rFonts w:hint="eastAsia" w:ascii="Times New Roman" w:hAnsi="Times New Roman" w:eastAsia="仿宋_GB2312"/>
          <w:bCs/>
          <w:color w:val="auto"/>
          <w:sz w:val="28"/>
          <w:szCs w:val="28"/>
          <w:lang w:eastAsia="zh-CN"/>
        </w:rPr>
        <w:t>上犹县</w:t>
      </w:r>
      <w:r>
        <w:rPr>
          <w:rFonts w:ascii="Times New Roman" w:hAnsi="Times New Roman" w:eastAsia="仿宋_GB2312"/>
          <w:bCs/>
          <w:color w:val="auto"/>
          <w:sz w:val="28"/>
          <w:szCs w:val="28"/>
        </w:rPr>
        <w:t>矿产资源开发划分为重点勘查区、规划勘查区、规划开采区几种类型。其中</w:t>
      </w:r>
      <w:r>
        <w:rPr>
          <w:rFonts w:hint="eastAsia" w:ascii="Times New Roman" w:hAnsi="Times New Roman" w:eastAsia="仿宋_GB2312"/>
          <w:bCs/>
          <w:color w:val="auto"/>
          <w:sz w:val="28"/>
          <w:szCs w:val="28"/>
          <w:lang w:eastAsia="zh-CN"/>
        </w:rPr>
        <w:t>平富乡</w:t>
      </w:r>
      <w:r>
        <w:rPr>
          <w:rFonts w:ascii="Times New Roman" w:hAnsi="Times New Roman" w:eastAsia="仿宋_GB2312"/>
          <w:bCs/>
          <w:color w:val="auto"/>
          <w:sz w:val="28"/>
          <w:szCs w:val="28"/>
        </w:rPr>
        <w:t>涉及重点</w:t>
      </w:r>
      <w:r>
        <w:rPr>
          <w:rFonts w:hint="eastAsia" w:ascii="Times New Roman" w:hAnsi="Times New Roman" w:eastAsia="仿宋_GB2312"/>
          <w:bCs/>
          <w:color w:val="auto"/>
          <w:sz w:val="28"/>
          <w:szCs w:val="28"/>
          <w:lang w:eastAsia="zh-CN"/>
        </w:rPr>
        <w:t>勘查</w:t>
      </w:r>
      <w:r>
        <w:rPr>
          <w:rFonts w:ascii="Times New Roman" w:hAnsi="Times New Roman" w:eastAsia="仿宋_GB2312"/>
          <w:bCs/>
          <w:color w:val="auto"/>
          <w:sz w:val="28"/>
          <w:szCs w:val="28"/>
        </w:rPr>
        <w:t>区</w:t>
      </w:r>
      <w:r>
        <w:rPr>
          <w:rFonts w:hint="eastAsia" w:ascii="Times New Roman" w:hAnsi="Times New Roman" w:eastAsia="仿宋_GB2312"/>
          <w:bCs/>
          <w:color w:val="auto"/>
          <w:sz w:val="28"/>
          <w:szCs w:val="28"/>
        </w:rPr>
        <w:t>KZ014崇-犹勘查区</w:t>
      </w:r>
      <w:r>
        <w:rPr>
          <w:rFonts w:hint="eastAsia" w:ascii="Times New Roman" w:hAnsi="Times New Roman" w:eastAsia="仿宋_GB2312"/>
          <w:bCs/>
          <w:color w:val="auto"/>
          <w:sz w:val="28"/>
          <w:szCs w:val="28"/>
          <w:lang w:eastAsia="zh-CN"/>
        </w:rPr>
        <w:t>，</w:t>
      </w:r>
      <w:r>
        <w:rPr>
          <w:rFonts w:hint="eastAsia" w:ascii="Times New Roman" w:hAnsi="Times New Roman" w:eastAsia="仿宋_GB2312"/>
          <w:bCs/>
          <w:color w:val="auto"/>
          <w:sz w:val="28"/>
          <w:szCs w:val="28"/>
          <w:lang w:val="en-US" w:eastAsia="zh-CN"/>
        </w:rPr>
        <w:t>主要包括乡域东部</w:t>
      </w:r>
      <w:r>
        <w:rPr>
          <w:rFonts w:ascii="Times New Roman" w:hAnsi="Times New Roman" w:eastAsia="仿宋_GB2312"/>
          <w:bCs/>
          <w:color w:val="auto"/>
          <w:sz w:val="28"/>
          <w:szCs w:val="28"/>
        </w:rPr>
        <w:t>。</w:t>
      </w:r>
    </w:p>
    <w:p>
      <w:pPr>
        <w:snapToGrid w:val="0"/>
        <w:spacing w:line="480" w:lineRule="exact"/>
        <w:ind w:firstLine="562"/>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四、矿产资源保护利用措施</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hint="eastAsia" w:ascii="Times New Roman" w:hAnsi="Times New Roman" w:eastAsia="仿宋_GB2312"/>
          <w:bCs/>
          <w:color w:val="auto"/>
          <w:sz w:val="28"/>
          <w:szCs w:val="28"/>
          <w:lang w:val="en-US" w:eastAsia="zh-CN"/>
        </w:rPr>
        <w:t>1</w:t>
      </w:r>
      <w:r>
        <w:rPr>
          <w:rFonts w:ascii="Times New Roman" w:hAnsi="Times New Roman" w:eastAsia="仿宋_GB2312"/>
          <w:bCs/>
          <w:color w:val="auto"/>
          <w:sz w:val="28"/>
          <w:szCs w:val="28"/>
        </w:rPr>
        <w:t>、加强制度建设，完善矿产资源综合保护利用法制体系</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要实现矿产资源的综合开发利用，国家相关部门应建立完善的矿产资源综合开发相关的政策，全面推进法治建设，贯穿到矿产资源管理的全过程和各个环节，有效监督矿产开发企业的合理开采和利用。根据矿产资源开发地区的区域差异，因地制宜，完善和充实政策法规。矿山企业应自觉提高矿产资源开发利用管理水平，建立健全相关制度，达到绿色矿山标准。</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lang w:val="en-US" w:eastAsia="zh-CN"/>
        </w:rPr>
      </w:pPr>
      <w:r>
        <w:rPr>
          <w:rFonts w:hint="eastAsia" w:ascii="Times New Roman" w:hAnsi="Times New Roman" w:eastAsia="仿宋_GB2312"/>
          <w:bCs/>
          <w:color w:val="auto"/>
          <w:sz w:val="28"/>
          <w:szCs w:val="28"/>
          <w:lang w:val="en-US" w:eastAsia="zh-CN"/>
        </w:rPr>
        <w:t>2、政府鼓励开发优势矿产</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lang w:val="en-US" w:eastAsia="zh-CN"/>
        </w:rPr>
      </w:pPr>
      <w:r>
        <w:rPr>
          <w:rFonts w:hint="eastAsia" w:ascii="Times New Roman" w:hAnsi="Times New Roman" w:eastAsia="仿宋_GB2312"/>
          <w:bCs/>
          <w:color w:val="auto"/>
          <w:sz w:val="28"/>
          <w:szCs w:val="28"/>
          <w:lang w:val="en-US" w:eastAsia="zh-CN"/>
        </w:rPr>
        <w:t>加强矿产资源开采监督管理，鼓励大企业大规模开采青石板，取缔非法开采的小矿坑。引进国外先进技术，提高产品质量，增加产品竞争优势，为把产品推出国内，走向国外市场提供保障。</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lang w:val="en-US" w:eastAsia="zh-CN"/>
        </w:rPr>
      </w:pPr>
      <w:r>
        <w:rPr>
          <w:rFonts w:hint="eastAsia" w:ascii="Times New Roman" w:hAnsi="Times New Roman" w:eastAsia="仿宋_GB2312"/>
          <w:bCs/>
          <w:color w:val="auto"/>
          <w:sz w:val="28"/>
          <w:szCs w:val="28"/>
          <w:lang w:val="en-US" w:eastAsia="zh-CN"/>
        </w:rPr>
        <w:t>3、融合高新技术促进矿产资源的综合利用</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要促进矿产资源综合开发利用方式的不断提高，就要不断利用先进技术进行工艺优化，有效提高难选矿产的综合利用问题。很多的矿产资源在开发过后，会导致大量的废渣产生，利用先进技术进行矿产废弃物的处理，在很大程度上增加了矿产的总量，提高矿产的综合利用率，对环境和矿产经济的提升都具有非常重要的意义，最终达到绿色开发矿产的目标。</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hint="eastAsia" w:ascii="Times New Roman" w:hAnsi="Times New Roman" w:eastAsia="仿宋_GB2312"/>
          <w:bCs/>
          <w:color w:val="auto"/>
          <w:sz w:val="28"/>
          <w:szCs w:val="28"/>
          <w:lang w:val="en-US" w:eastAsia="zh-CN"/>
        </w:rPr>
        <w:t>4</w:t>
      </w:r>
      <w:r>
        <w:rPr>
          <w:rFonts w:ascii="Times New Roman" w:hAnsi="Times New Roman" w:eastAsia="仿宋_GB2312"/>
          <w:bCs/>
          <w:color w:val="auto"/>
          <w:sz w:val="28"/>
          <w:szCs w:val="28"/>
        </w:rPr>
        <w:t>、注重生态、保护资源、节约优先、监督管理</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牢固树立和贯彻落实“协调”“绿色”“绿色崛起”等发展理念，坚持矿产资源利用、开发和保护相结合，保护和改善生态环境，确保矿产资源利用与生态环境的协调统一。</w:t>
      </w:r>
    </w:p>
    <w:p>
      <w:pPr>
        <w:keepNext w:val="0"/>
        <w:keepLines w:val="0"/>
        <w:pageBreakBefore w:val="0"/>
        <w:widowControl w:val="0"/>
        <w:numPr>
          <w:ilvl w:val="0"/>
          <w:numId w:val="0"/>
        </w:numPr>
        <w:kinsoku/>
        <w:wordWrap/>
        <w:overflowPunct/>
        <w:topLinePunct w:val="0"/>
        <w:autoSpaceDE/>
        <w:autoSpaceDN/>
        <w:bidi w:val="0"/>
        <w:adjustRightInd/>
        <w:snapToGrid/>
        <w:spacing w:line="480" w:lineRule="exact"/>
        <w:ind w:leftChars="0" w:firstLine="560" w:firstLineChars="200"/>
        <w:jc w:val="both"/>
        <w:textAlignment w:val="auto"/>
        <w:rPr>
          <w:rFonts w:hint="eastAsia" w:ascii="Times New Roman" w:hAnsi="Times New Roman" w:eastAsia="仿宋_GB2312" w:cs="微软雅黑"/>
          <w:bCs/>
          <w:color w:val="auto"/>
          <w:kern w:val="0"/>
          <w:sz w:val="28"/>
          <w:szCs w:val="28"/>
          <w:lang w:val="en-US" w:eastAsia="zh-CN" w:bidi="zh-CN"/>
        </w:rPr>
      </w:pPr>
      <w:r>
        <w:rPr>
          <w:rFonts w:hint="eastAsia" w:ascii="Times New Roman" w:hAnsi="Times New Roman" w:eastAsia="仿宋_GB2312" w:cs="微软雅黑"/>
          <w:bCs/>
          <w:color w:val="auto"/>
          <w:kern w:val="0"/>
          <w:sz w:val="28"/>
          <w:szCs w:val="28"/>
          <w:lang w:val="en-US" w:eastAsia="zh-CN" w:bidi="zh-CN"/>
        </w:rPr>
        <w:t>矿产资源综合开发利用过程中矿山企业应该自觉进行采矿后的环境治理，严格执行相关的矿产资源开采标准，并提前进行矿产地质环境治理方案，做好环境方面的各项工作。相关的国家机构应该不断完善体制，加强对矿产资源综合开发利用的监督，提高矿产资源的利用效率，减少资源的浪费现象，避免零散矿区的出现。在矿产资源的开发和利用阶段还应该防止采富弃贫的现象发生，建立动态巡查和监管制度，全面有效进行开采，防止违法违规采矿活动。</w:t>
      </w:r>
    </w:p>
    <w:p>
      <w:pPr>
        <w:rPr>
          <w:rFonts w:hint="eastAsia" w:ascii="Times New Roman" w:hAnsi="Times New Roman" w:eastAsia="Arial Unicode MS"/>
          <w:color w:val="auto"/>
          <w:lang w:val="en-US" w:eastAsia="zh-CN"/>
        </w:rPr>
      </w:pPr>
      <w:r>
        <w:rPr>
          <w:rFonts w:hint="eastAsia" w:ascii="Times New Roman" w:hAnsi="Times New Roman" w:eastAsia="Arial Unicode MS"/>
          <w:color w:val="auto"/>
          <w:lang w:val="en-US" w:eastAsia="zh-CN"/>
        </w:rPr>
        <w:br w:type="page"/>
      </w:r>
    </w:p>
    <w:p>
      <w:pPr>
        <w:pStyle w:val="34"/>
        <w:keepNext/>
        <w:keepLines/>
        <w:pageBreakBefore w:val="0"/>
        <w:widowControl w:val="0"/>
        <w:kinsoku/>
        <w:wordWrap/>
        <w:overflowPunct/>
        <w:topLinePunct w:val="0"/>
        <w:autoSpaceDE/>
        <w:autoSpaceDN/>
        <w:bidi w:val="0"/>
        <w:adjustRightInd/>
        <w:snapToGrid/>
        <w:spacing w:before="156" w:beforeLines="50" w:after="156" w:afterLines="50"/>
        <w:ind w:left="0" w:firstLine="0" w:firstLineChars="0"/>
        <w:jc w:val="center"/>
        <w:textAlignment w:val="center"/>
        <w:rPr>
          <w:rFonts w:hint="eastAsia" w:ascii="Times New Roman" w:hAnsi="Times New Roman" w:eastAsia="Arial Unicode MS"/>
          <w:color w:val="auto"/>
          <w:lang w:val="en-US" w:eastAsia="zh-CN"/>
        </w:rPr>
      </w:pPr>
      <w:bookmarkStart w:id="63" w:name="_Toc12140"/>
      <w:r>
        <w:rPr>
          <w:rFonts w:hint="eastAsia" w:ascii="Times New Roman" w:hAnsi="Times New Roman" w:eastAsia="Arial Unicode MS"/>
          <w:color w:val="auto"/>
          <w:lang w:val="en-US" w:eastAsia="zh-CN"/>
        </w:rPr>
        <w:t>第十章 国土综合整治与生态修复</w:t>
      </w:r>
      <w:bookmarkEnd w:id="63"/>
    </w:p>
    <w:p>
      <w:pPr>
        <w:pStyle w:val="33"/>
        <w:spacing w:before="156" w:beforeLines="50" w:after="156" w:afterLines="50" w:line="520" w:lineRule="exact"/>
        <w:rPr>
          <w:rFonts w:hint="eastAsia" w:ascii="Times New Roman" w:hAnsi="Times New Roman"/>
          <w:color w:val="auto"/>
          <w:kern w:val="2"/>
          <w:szCs w:val="32"/>
          <w:lang w:val="en-US" w:eastAsia="zh-CN"/>
        </w:rPr>
      </w:pPr>
      <w:bookmarkStart w:id="64" w:name="_Toc13527"/>
      <w:r>
        <w:rPr>
          <w:rFonts w:hint="eastAsia" w:ascii="Times New Roman" w:hAnsi="Times New Roman"/>
          <w:color w:val="auto"/>
          <w:kern w:val="2"/>
          <w:szCs w:val="32"/>
          <w:lang w:val="en-US" w:eastAsia="zh-CN"/>
        </w:rPr>
        <w:t>第一节 全域国土综合整治</w:t>
      </w:r>
      <w:bookmarkEnd w:id="64"/>
    </w:p>
    <w:p>
      <w:pPr>
        <w:snapToGrid w:val="0"/>
        <w:spacing w:line="480" w:lineRule="exact"/>
        <w:ind w:firstLine="562"/>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一、农用地综合整治</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hint="eastAsia" w:ascii="Times New Roman" w:hAnsi="Times New Roman" w:eastAsia="仿宋_GB2312"/>
          <w:bCs/>
          <w:color w:val="auto"/>
          <w:sz w:val="28"/>
          <w:szCs w:val="28"/>
          <w:lang w:val="en-US" w:eastAsia="zh-CN"/>
        </w:rPr>
        <w:t>1</w:t>
      </w:r>
      <w:r>
        <w:rPr>
          <w:rFonts w:ascii="Times New Roman" w:hAnsi="Times New Roman" w:eastAsia="仿宋_GB2312"/>
          <w:bCs/>
          <w:color w:val="auto"/>
          <w:sz w:val="28"/>
          <w:szCs w:val="28"/>
        </w:rPr>
        <w:t>、高标准基本农田建设</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hint="eastAsia" w:ascii="Times New Roman" w:hAnsi="Times New Roman" w:eastAsia="仿宋_GB2312"/>
          <w:bCs/>
          <w:color w:val="auto"/>
          <w:sz w:val="28"/>
          <w:szCs w:val="28"/>
          <w:lang w:eastAsia="zh-CN"/>
        </w:rPr>
        <w:t>平富乡</w:t>
      </w:r>
      <w:r>
        <w:rPr>
          <w:rFonts w:ascii="Times New Roman" w:hAnsi="Times New Roman" w:eastAsia="仿宋_GB2312"/>
          <w:bCs/>
          <w:color w:val="auto"/>
          <w:sz w:val="28"/>
          <w:szCs w:val="28"/>
        </w:rPr>
        <w:t>需按照“地平整、土肥沃、旱能灌、涝能排、路相通、林成网”高标准农田建设要求，实现高标准农田建设的“田、土、水、路、林、电、技、管”建设目标，推进高标准农田集中连片建设，开展田块平整，完善水、电、路配套设施，提高耕地质量和地力等级，加强科技服务能力，提升生态修复能力。</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lang w:val="en-US"/>
        </w:rPr>
      </w:pPr>
      <w:r>
        <w:rPr>
          <w:rFonts w:ascii="Times New Roman" w:hAnsi="Times New Roman" w:eastAsia="仿宋_GB2312"/>
          <w:bCs/>
          <w:color w:val="auto"/>
          <w:sz w:val="28"/>
          <w:szCs w:val="28"/>
        </w:rPr>
        <w:t>（1）</w:t>
      </w:r>
      <w:r>
        <w:rPr>
          <w:rFonts w:hint="eastAsia" w:ascii="Times New Roman" w:hAnsi="Times New Roman" w:eastAsia="仿宋_GB2312"/>
          <w:bCs/>
          <w:color w:val="auto"/>
          <w:sz w:val="28"/>
          <w:szCs w:val="28"/>
          <w:lang w:val="en-US" w:eastAsia="zh-CN"/>
        </w:rPr>
        <w:t>历年高标准农田建设情况</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经统计，</w:t>
      </w:r>
      <w:r>
        <w:rPr>
          <w:rFonts w:hint="eastAsia" w:ascii="Times New Roman" w:hAnsi="Times New Roman" w:eastAsia="仿宋_GB2312"/>
          <w:bCs/>
          <w:color w:val="auto"/>
          <w:sz w:val="28"/>
          <w:szCs w:val="28"/>
          <w:lang w:eastAsia="zh-CN"/>
        </w:rPr>
        <w:t>平富乡</w:t>
      </w:r>
      <w:r>
        <w:rPr>
          <w:rFonts w:ascii="Times New Roman" w:hAnsi="Times New Roman" w:eastAsia="仿宋_GB2312"/>
          <w:bCs/>
          <w:color w:val="auto"/>
          <w:sz w:val="28"/>
          <w:szCs w:val="28"/>
        </w:rPr>
        <w:t>往年高标准农田建设规模达到</w:t>
      </w:r>
      <w:r>
        <w:rPr>
          <w:rFonts w:hint="eastAsia" w:ascii="Times New Roman" w:hAnsi="Times New Roman" w:eastAsia="仿宋_GB2312"/>
          <w:bCs/>
          <w:color w:val="auto"/>
          <w:sz w:val="28"/>
          <w:szCs w:val="28"/>
          <w:lang w:val="en-US" w:eastAsia="zh-CN"/>
        </w:rPr>
        <w:t>119.78</w:t>
      </w:r>
      <w:r>
        <w:rPr>
          <w:rFonts w:ascii="Times New Roman" w:hAnsi="Times New Roman" w:eastAsia="仿宋_GB2312"/>
          <w:bCs/>
          <w:color w:val="auto"/>
          <w:sz w:val="28"/>
          <w:szCs w:val="28"/>
        </w:rPr>
        <w:t>公顷，但是由于二调与三调土地调查方式的差异以及开发建设占用等原因，将2020国土变更调查数据与往年高标准农田建设范围相交分析后，得到只有</w:t>
      </w:r>
      <w:r>
        <w:rPr>
          <w:rFonts w:hint="eastAsia" w:ascii="Times New Roman" w:hAnsi="Times New Roman" w:eastAsia="仿宋_GB2312"/>
          <w:bCs/>
          <w:color w:val="auto"/>
          <w:sz w:val="28"/>
          <w:szCs w:val="28"/>
          <w:lang w:val="en-US" w:eastAsia="zh-CN"/>
        </w:rPr>
        <w:t>53.84</w:t>
      </w:r>
      <w:r>
        <w:rPr>
          <w:rFonts w:ascii="Times New Roman" w:hAnsi="Times New Roman" w:eastAsia="仿宋_GB2312"/>
          <w:bCs/>
          <w:color w:val="auto"/>
          <w:sz w:val="28"/>
          <w:szCs w:val="28"/>
        </w:rPr>
        <w:t>公顷的耕地已建设高标准农田，相关统计如下表。</w:t>
      </w:r>
    </w:p>
    <w:p>
      <w:pPr>
        <w:keepNext/>
        <w:pageBreakBefore w:val="0"/>
        <w:kinsoku/>
        <w:wordWrap/>
        <w:overflowPunct/>
        <w:topLinePunct w:val="0"/>
        <w:bidi w:val="0"/>
        <w:snapToGrid w:val="0"/>
        <w:spacing w:line="480" w:lineRule="exact"/>
        <w:ind w:firstLine="0" w:firstLineChars="0"/>
        <w:jc w:val="center"/>
        <w:rPr>
          <w:rFonts w:ascii="黑体" w:hAnsi="黑体" w:eastAsia="黑体" w:cs="黑体"/>
          <w:bCs/>
          <w:color w:val="auto"/>
          <w:sz w:val="30"/>
          <w:szCs w:val="30"/>
        </w:rPr>
      </w:pPr>
      <w:r>
        <w:rPr>
          <w:rFonts w:hint="eastAsia" w:ascii="Times New Roman" w:hAnsi="Times New Roman" w:eastAsia="仿宋_GB2312" w:cs="微软雅黑"/>
          <w:b/>
          <w:bCs w:val="0"/>
          <w:color w:val="auto"/>
          <w:kern w:val="0"/>
          <w:sz w:val="21"/>
          <w:szCs w:val="21"/>
          <w:lang w:val="en-US" w:eastAsia="zh-CN" w:bidi="zh-CN"/>
        </w:rPr>
        <w:t>表10-1 上犹县各乡镇高标准农田建设情况</w:t>
      </w:r>
    </w:p>
    <w:p>
      <w:pPr>
        <w:pStyle w:val="26"/>
        <w:pageBreakBefore w:val="0"/>
        <w:kinsoku/>
        <w:wordWrap/>
        <w:overflowPunct/>
        <w:topLinePunct w:val="0"/>
        <w:bidi w:val="0"/>
        <w:spacing w:line="480" w:lineRule="exact"/>
        <w:ind w:firstLine="482"/>
        <w:jc w:val="right"/>
        <w:rPr>
          <w:rFonts w:hint="default" w:ascii="Times New Roman" w:hAnsi="Times New Roman" w:eastAsia="仿宋_GB2312" w:cs="Times New Roman"/>
          <w:b/>
          <w:color w:val="auto"/>
          <w:sz w:val="24"/>
          <w:szCs w:val="24"/>
        </w:rPr>
      </w:pPr>
      <w:r>
        <w:rPr>
          <w:rFonts w:hint="eastAsia" w:ascii="Times New Roman" w:hAnsi="Times New Roman" w:eastAsia="仿宋_GB2312" w:cs="微软雅黑"/>
          <w:b/>
          <w:bCs w:val="0"/>
          <w:color w:val="auto"/>
          <w:kern w:val="0"/>
          <w:sz w:val="21"/>
          <w:szCs w:val="21"/>
          <w:lang w:val="en-US" w:eastAsia="zh-CN" w:bidi="zh-CN"/>
        </w:rPr>
        <w:t>单位：公顷</w:t>
      </w:r>
    </w:p>
    <w:tbl>
      <w:tblPr>
        <w:tblStyle w:val="19"/>
        <w:tblW w:w="4998" w:type="pct"/>
        <w:tblInd w:w="0" w:type="dxa"/>
        <w:tblLayout w:type="autofit"/>
        <w:tblCellMar>
          <w:top w:w="0" w:type="dxa"/>
          <w:left w:w="108" w:type="dxa"/>
          <w:bottom w:w="0" w:type="dxa"/>
          <w:right w:w="108" w:type="dxa"/>
        </w:tblCellMar>
      </w:tblPr>
      <w:tblGrid>
        <w:gridCol w:w="3159"/>
        <w:gridCol w:w="1387"/>
        <w:gridCol w:w="1977"/>
        <w:gridCol w:w="1996"/>
      </w:tblGrid>
      <w:tr>
        <w:tblPrEx>
          <w:tblCellMar>
            <w:top w:w="0" w:type="dxa"/>
            <w:left w:w="108" w:type="dxa"/>
            <w:bottom w:w="0" w:type="dxa"/>
            <w:right w:w="108" w:type="dxa"/>
          </w:tblCellMar>
        </w:tblPrEx>
        <w:trPr>
          <w:trHeight w:val="255" w:hRule="atLeast"/>
          <w:tblHeader/>
        </w:trPr>
        <w:tc>
          <w:tcPr>
            <w:tcW w:w="1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行政区名称</w:t>
            </w: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耕地面积</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已建成高标面积</w:t>
            </w:r>
          </w:p>
        </w:tc>
        <w:tc>
          <w:tcPr>
            <w:tcW w:w="11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未建成高标面积</w:t>
            </w:r>
          </w:p>
        </w:tc>
      </w:tr>
      <w:tr>
        <w:tblPrEx>
          <w:tblCellMar>
            <w:top w:w="0" w:type="dxa"/>
            <w:left w:w="108" w:type="dxa"/>
            <w:bottom w:w="0" w:type="dxa"/>
            <w:right w:w="108" w:type="dxa"/>
          </w:tblCellMar>
        </w:tblPrEx>
        <w:trPr>
          <w:trHeight w:val="255" w:hRule="atLeast"/>
        </w:trPr>
        <w:tc>
          <w:tcPr>
            <w:tcW w:w="185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b w:val="0"/>
                <w:bCs/>
                <w:color w:val="auto"/>
                <w:kern w:val="0"/>
                <w:sz w:val="21"/>
                <w:szCs w:val="21"/>
                <w:lang w:val="en-US" w:eastAsia="zh-CN" w:bidi="zh-CN"/>
              </w:rPr>
            </w:pPr>
            <w:r>
              <w:rPr>
                <w:rFonts w:hint="eastAsia" w:ascii="仿宋_GB2312" w:hAnsi="仿宋_GB2312" w:eastAsia="仿宋_GB2312" w:cs="仿宋_GB2312"/>
                <w:i w:val="0"/>
                <w:iCs w:val="0"/>
                <w:color w:val="000000"/>
                <w:kern w:val="0"/>
                <w:sz w:val="21"/>
                <w:szCs w:val="21"/>
                <w:u w:val="none"/>
                <w:lang w:val="en-US" w:eastAsia="zh-CN" w:bidi="ar"/>
              </w:rPr>
              <w:t>平富乡大潭村委会</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right"/>
              <w:textAlignment w:val="bottom"/>
              <w:rPr>
                <w:rFonts w:hint="eastAsia" w:ascii="仿宋_GB2312" w:hAnsi="仿宋_GB2312" w:eastAsia="仿宋_GB2312" w:cs="仿宋_GB2312"/>
                <w:b w:val="0"/>
                <w:bCs/>
                <w:color w:val="auto"/>
                <w:kern w:val="0"/>
                <w:sz w:val="21"/>
                <w:szCs w:val="21"/>
                <w:lang w:val="en-US" w:eastAsia="zh-CN" w:bidi="zh-CN"/>
              </w:rPr>
            </w:pPr>
            <w:r>
              <w:rPr>
                <w:rFonts w:hint="eastAsia" w:ascii="仿宋_GB2312" w:hAnsi="仿宋_GB2312" w:eastAsia="仿宋_GB2312" w:cs="仿宋_GB2312"/>
                <w:i w:val="0"/>
                <w:iCs w:val="0"/>
                <w:color w:val="000000"/>
                <w:kern w:val="0"/>
                <w:sz w:val="21"/>
                <w:szCs w:val="21"/>
                <w:u w:val="none"/>
                <w:lang w:val="en-US" w:eastAsia="zh-CN" w:bidi="ar"/>
              </w:rPr>
              <w:t xml:space="preserve">48.91 </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pageBreakBefore w:val="0"/>
              <w:kinsoku/>
              <w:wordWrap/>
              <w:overflowPunct/>
              <w:topLinePunct w:val="0"/>
              <w:bidi w:val="0"/>
              <w:snapToGrid w:val="0"/>
              <w:spacing w:line="480" w:lineRule="exact"/>
              <w:ind w:firstLine="0" w:firstLineChars="0"/>
              <w:jc w:val="center"/>
              <w:rPr>
                <w:rFonts w:hint="eastAsia" w:ascii="仿宋_GB2312" w:hAnsi="仿宋_GB2312" w:eastAsia="仿宋_GB2312" w:cs="仿宋_GB2312"/>
                <w:b w:val="0"/>
                <w:bCs/>
                <w:color w:val="auto"/>
                <w:kern w:val="0"/>
                <w:sz w:val="21"/>
                <w:szCs w:val="21"/>
                <w:lang w:val="en-US" w:eastAsia="zh-CN" w:bidi="zh-CN"/>
              </w:rPr>
            </w:pPr>
            <w:r>
              <w:rPr>
                <w:rFonts w:hint="eastAsia" w:ascii="仿宋_GB2312" w:hAnsi="仿宋_GB2312" w:eastAsia="仿宋_GB2312" w:cs="仿宋_GB2312"/>
                <w:b w:val="0"/>
                <w:bCs/>
                <w:color w:val="auto"/>
                <w:kern w:val="0"/>
                <w:sz w:val="21"/>
                <w:szCs w:val="21"/>
                <w:lang w:val="en-US" w:eastAsia="zh-CN" w:bidi="zh-CN"/>
              </w:rPr>
              <w:t>0.00</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pageBreakBefore w:val="0"/>
              <w:kinsoku/>
              <w:wordWrap/>
              <w:overflowPunct/>
              <w:topLinePunct w:val="0"/>
              <w:bidi w:val="0"/>
              <w:snapToGrid w:val="0"/>
              <w:spacing w:line="480" w:lineRule="exact"/>
              <w:ind w:firstLine="0" w:firstLineChars="0"/>
              <w:jc w:val="center"/>
              <w:rPr>
                <w:rFonts w:hint="eastAsia" w:ascii="仿宋_GB2312" w:hAnsi="仿宋_GB2312" w:eastAsia="仿宋_GB2312" w:cs="仿宋_GB2312"/>
                <w:b w:val="0"/>
                <w:bCs/>
                <w:color w:val="auto"/>
                <w:kern w:val="0"/>
                <w:sz w:val="21"/>
                <w:szCs w:val="21"/>
                <w:lang w:val="en-US" w:eastAsia="zh-CN" w:bidi="zh-CN"/>
              </w:rPr>
            </w:pPr>
            <w:r>
              <w:rPr>
                <w:rFonts w:hint="default" w:ascii="仿宋_GB2312" w:hAnsi="仿宋_GB2312" w:eastAsia="仿宋_GB2312" w:cs="仿宋_GB2312"/>
                <w:b w:val="0"/>
                <w:bCs/>
                <w:color w:val="auto"/>
                <w:kern w:val="0"/>
                <w:sz w:val="21"/>
                <w:szCs w:val="21"/>
                <w:lang w:val="en-US" w:eastAsia="zh-CN" w:bidi="zh-CN"/>
              </w:rPr>
              <w:t>48.91</w:t>
            </w:r>
          </w:p>
        </w:tc>
      </w:tr>
      <w:tr>
        <w:tblPrEx>
          <w:tblCellMar>
            <w:top w:w="0" w:type="dxa"/>
            <w:left w:w="108" w:type="dxa"/>
            <w:bottom w:w="0" w:type="dxa"/>
            <w:right w:w="108" w:type="dxa"/>
          </w:tblCellMar>
        </w:tblPrEx>
        <w:trPr>
          <w:trHeight w:val="255" w:hRule="atLeast"/>
        </w:trPr>
        <w:tc>
          <w:tcPr>
            <w:tcW w:w="185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b w:val="0"/>
                <w:bCs/>
                <w:color w:val="auto"/>
                <w:kern w:val="0"/>
                <w:sz w:val="21"/>
                <w:szCs w:val="21"/>
                <w:lang w:val="en-US" w:eastAsia="zh-CN" w:bidi="zh-CN"/>
              </w:rPr>
            </w:pPr>
            <w:r>
              <w:rPr>
                <w:rFonts w:hint="eastAsia" w:ascii="仿宋_GB2312" w:hAnsi="仿宋_GB2312" w:eastAsia="仿宋_GB2312" w:cs="仿宋_GB2312"/>
                <w:i w:val="0"/>
                <w:iCs w:val="0"/>
                <w:color w:val="000000"/>
                <w:kern w:val="0"/>
                <w:sz w:val="21"/>
                <w:szCs w:val="21"/>
                <w:u w:val="none"/>
                <w:lang w:val="en-US" w:eastAsia="zh-CN" w:bidi="ar"/>
              </w:rPr>
              <w:t>平富乡横坑村委会</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right"/>
              <w:textAlignment w:val="bottom"/>
              <w:rPr>
                <w:rFonts w:hint="eastAsia" w:ascii="仿宋_GB2312" w:hAnsi="仿宋_GB2312" w:eastAsia="仿宋_GB2312" w:cs="仿宋_GB2312"/>
                <w:b w:val="0"/>
                <w:bCs/>
                <w:color w:val="auto"/>
                <w:kern w:val="0"/>
                <w:sz w:val="21"/>
                <w:szCs w:val="21"/>
                <w:lang w:val="en-US" w:eastAsia="zh-CN" w:bidi="zh-CN"/>
              </w:rPr>
            </w:pPr>
            <w:r>
              <w:rPr>
                <w:rFonts w:hint="eastAsia" w:ascii="仿宋_GB2312" w:hAnsi="仿宋_GB2312" w:eastAsia="仿宋_GB2312" w:cs="仿宋_GB2312"/>
                <w:i w:val="0"/>
                <w:iCs w:val="0"/>
                <w:color w:val="000000"/>
                <w:kern w:val="0"/>
                <w:sz w:val="21"/>
                <w:szCs w:val="21"/>
                <w:u w:val="none"/>
                <w:lang w:val="en-US" w:eastAsia="zh-CN" w:bidi="ar"/>
              </w:rPr>
              <w:t xml:space="preserve">31.83 </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pageBreakBefore w:val="0"/>
              <w:kinsoku/>
              <w:wordWrap/>
              <w:overflowPunct/>
              <w:topLinePunct w:val="0"/>
              <w:bidi w:val="0"/>
              <w:snapToGrid w:val="0"/>
              <w:spacing w:line="480" w:lineRule="exact"/>
              <w:ind w:firstLine="0" w:firstLineChars="0"/>
              <w:jc w:val="center"/>
              <w:rPr>
                <w:rFonts w:hint="eastAsia" w:ascii="仿宋_GB2312" w:hAnsi="仿宋_GB2312" w:eastAsia="仿宋_GB2312" w:cs="仿宋_GB2312"/>
                <w:b w:val="0"/>
                <w:bCs/>
                <w:color w:val="auto"/>
                <w:kern w:val="0"/>
                <w:sz w:val="21"/>
                <w:szCs w:val="21"/>
                <w:lang w:val="en-US" w:eastAsia="zh-CN" w:bidi="zh-CN"/>
              </w:rPr>
            </w:pPr>
            <w:r>
              <w:rPr>
                <w:rFonts w:hint="eastAsia" w:ascii="仿宋_GB2312" w:hAnsi="仿宋_GB2312" w:eastAsia="仿宋_GB2312" w:cs="仿宋_GB2312"/>
                <w:b w:val="0"/>
                <w:bCs/>
                <w:color w:val="auto"/>
                <w:kern w:val="0"/>
                <w:sz w:val="21"/>
                <w:szCs w:val="21"/>
                <w:lang w:val="en-US" w:eastAsia="zh-CN" w:bidi="zh-CN"/>
              </w:rPr>
              <w:t>21.19</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pageBreakBefore w:val="0"/>
              <w:kinsoku/>
              <w:wordWrap/>
              <w:overflowPunct/>
              <w:topLinePunct w:val="0"/>
              <w:bidi w:val="0"/>
              <w:snapToGrid w:val="0"/>
              <w:spacing w:line="480" w:lineRule="exact"/>
              <w:ind w:firstLine="0" w:firstLineChars="0"/>
              <w:jc w:val="center"/>
              <w:rPr>
                <w:rFonts w:hint="eastAsia" w:ascii="仿宋_GB2312" w:hAnsi="仿宋_GB2312" w:eastAsia="仿宋_GB2312" w:cs="仿宋_GB2312"/>
                <w:b w:val="0"/>
                <w:bCs/>
                <w:color w:val="auto"/>
                <w:kern w:val="0"/>
                <w:sz w:val="21"/>
                <w:szCs w:val="21"/>
                <w:lang w:val="en-US" w:eastAsia="zh-CN" w:bidi="zh-CN"/>
              </w:rPr>
            </w:pPr>
            <w:r>
              <w:rPr>
                <w:rFonts w:hint="default" w:ascii="仿宋_GB2312" w:hAnsi="仿宋_GB2312" w:eastAsia="仿宋_GB2312" w:cs="仿宋_GB2312"/>
                <w:b w:val="0"/>
                <w:bCs/>
                <w:color w:val="auto"/>
                <w:kern w:val="0"/>
                <w:sz w:val="21"/>
                <w:szCs w:val="21"/>
                <w:lang w:val="en-US" w:eastAsia="zh-CN" w:bidi="zh-CN"/>
              </w:rPr>
              <w:t>10.64</w:t>
            </w:r>
          </w:p>
        </w:tc>
      </w:tr>
      <w:tr>
        <w:tblPrEx>
          <w:tblCellMar>
            <w:top w:w="0" w:type="dxa"/>
            <w:left w:w="108" w:type="dxa"/>
            <w:bottom w:w="0" w:type="dxa"/>
            <w:right w:w="108" w:type="dxa"/>
          </w:tblCellMar>
        </w:tblPrEx>
        <w:trPr>
          <w:trHeight w:val="255" w:hRule="atLeast"/>
        </w:trPr>
        <w:tc>
          <w:tcPr>
            <w:tcW w:w="185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b w:val="0"/>
                <w:bCs/>
                <w:color w:val="auto"/>
                <w:kern w:val="0"/>
                <w:sz w:val="21"/>
                <w:szCs w:val="21"/>
                <w:lang w:val="en-US" w:eastAsia="zh-CN" w:bidi="zh-CN"/>
              </w:rPr>
            </w:pPr>
            <w:r>
              <w:rPr>
                <w:rFonts w:hint="eastAsia" w:ascii="仿宋_GB2312" w:hAnsi="仿宋_GB2312" w:eastAsia="仿宋_GB2312" w:cs="仿宋_GB2312"/>
                <w:i w:val="0"/>
                <w:iCs w:val="0"/>
                <w:color w:val="000000"/>
                <w:kern w:val="0"/>
                <w:sz w:val="21"/>
                <w:szCs w:val="21"/>
                <w:u w:val="none"/>
                <w:lang w:val="en-US" w:eastAsia="zh-CN" w:bidi="ar"/>
              </w:rPr>
              <w:t>平富乡平富村委会</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right"/>
              <w:textAlignment w:val="bottom"/>
              <w:rPr>
                <w:rFonts w:hint="eastAsia" w:ascii="仿宋_GB2312" w:hAnsi="仿宋_GB2312" w:eastAsia="仿宋_GB2312" w:cs="仿宋_GB2312"/>
                <w:b w:val="0"/>
                <w:bCs/>
                <w:color w:val="auto"/>
                <w:kern w:val="0"/>
                <w:sz w:val="21"/>
                <w:szCs w:val="21"/>
                <w:lang w:val="en-US" w:eastAsia="zh-CN" w:bidi="zh-CN"/>
              </w:rPr>
            </w:pPr>
            <w:r>
              <w:rPr>
                <w:rFonts w:hint="eastAsia" w:ascii="仿宋_GB2312" w:hAnsi="仿宋_GB2312" w:eastAsia="仿宋_GB2312" w:cs="仿宋_GB2312"/>
                <w:i w:val="0"/>
                <w:iCs w:val="0"/>
                <w:color w:val="000000"/>
                <w:kern w:val="0"/>
                <w:sz w:val="21"/>
                <w:szCs w:val="21"/>
                <w:u w:val="none"/>
                <w:lang w:val="en-US" w:eastAsia="zh-CN" w:bidi="ar"/>
              </w:rPr>
              <w:t xml:space="preserve">82.27 </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pageBreakBefore w:val="0"/>
              <w:kinsoku/>
              <w:wordWrap/>
              <w:overflowPunct/>
              <w:topLinePunct w:val="0"/>
              <w:bidi w:val="0"/>
              <w:snapToGrid w:val="0"/>
              <w:spacing w:line="480" w:lineRule="exact"/>
              <w:ind w:firstLine="0" w:firstLineChars="0"/>
              <w:jc w:val="center"/>
              <w:rPr>
                <w:rFonts w:hint="eastAsia" w:ascii="仿宋_GB2312" w:hAnsi="仿宋_GB2312" w:eastAsia="仿宋_GB2312" w:cs="仿宋_GB2312"/>
                <w:b w:val="0"/>
                <w:bCs/>
                <w:color w:val="auto"/>
                <w:kern w:val="0"/>
                <w:sz w:val="21"/>
                <w:szCs w:val="21"/>
                <w:lang w:val="en-US" w:eastAsia="zh-CN" w:bidi="zh-CN"/>
              </w:rPr>
            </w:pPr>
            <w:r>
              <w:rPr>
                <w:rFonts w:hint="eastAsia" w:ascii="仿宋_GB2312" w:hAnsi="仿宋_GB2312" w:eastAsia="仿宋_GB2312" w:cs="仿宋_GB2312"/>
                <w:b w:val="0"/>
                <w:bCs/>
                <w:color w:val="auto"/>
                <w:kern w:val="0"/>
                <w:sz w:val="21"/>
                <w:szCs w:val="21"/>
                <w:lang w:val="en-US" w:eastAsia="zh-CN" w:bidi="zh-CN"/>
              </w:rPr>
              <w:t>0.00</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pageBreakBefore w:val="0"/>
              <w:kinsoku/>
              <w:wordWrap/>
              <w:overflowPunct/>
              <w:topLinePunct w:val="0"/>
              <w:bidi w:val="0"/>
              <w:snapToGrid w:val="0"/>
              <w:spacing w:line="480" w:lineRule="exact"/>
              <w:ind w:firstLine="0" w:firstLineChars="0"/>
              <w:jc w:val="center"/>
              <w:rPr>
                <w:rFonts w:hint="eastAsia" w:ascii="仿宋_GB2312" w:hAnsi="仿宋_GB2312" w:eastAsia="仿宋_GB2312" w:cs="仿宋_GB2312"/>
                <w:b w:val="0"/>
                <w:bCs/>
                <w:color w:val="auto"/>
                <w:kern w:val="0"/>
                <w:sz w:val="21"/>
                <w:szCs w:val="21"/>
                <w:lang w:val="en-US" w:eastAsia="zh-CN" w:bidi="zh-CN"/>
              </w:rPr>
            </w:pPr>
            <w:r>
              <w:rPr>
                <w:rFonts w:hint="default" w:ascii="仿宋_GB2312" w:hAnsi="仿宋_GB2312" w:eastAsia="仿宋_GB2312" w:cs="仿宋_GB2312"/>
                <w:b w:val="0"/>
                <w:bCs/>
                <w:color w:val="auto"/>
                <w:kern w:val="0"/>
                <w:sz w:val="21"/>
                <w:szCs w:val="21"/>
                <w:lang w:val="en-US" w:eastAsia="zh-CN" w:bidi="zh-CN"/>
              </w:rPr>
              <w:t>82.27</w:t>
            </w:r>
          </w:p>
        </w:tc>
      </w:tr>
      <w:tr>
        <w:tblPrEx>
          <w:tblCellMar>
            <w:top w:w="0" w:type="dxa"/>
            <w:left w:w="108" w:type="dxa"/>
            <w:bottom w:w="0" w:type="dxa"/>
            <w:right w:w="108" w:type="dxa"/>
          </w:tblCellMar>
        </w:tblPrEx>
        <w:trPr>
          <w:trHeight w:val="255" w:hRule="atLeast"/>
        </w:trPr>
        <w:tc>
          <w:tcPr>
            <w:tcW w:w="185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b w:val="0"/>
                <w:bCs/>
                <w:color w:val="auto"/>
                <w:kern w:val="0"/>
                <w:sz w:val="21"/>
                <w:szCs w:val="21"/>
                <w:lang w:val="en-US" w:eastAsia="zh-CN" w:bidi="zh-CN"/>
              </w:rPr>
            </w:pPr>
            <w:r>
              <w:rPr>
                <w:rFonts w:hint="eastAsia" w:ascii="仿宋_GB2312" w:hAnsi="仿宋_GB2312" w:eastAsia="仿宋_GB2312" w:cs="仿宋_GB2312"/>
                <w:i w:val="0"/>
                <w:iCs w:val="0"/>
                <w:color w:val="000000"/>
                <w:kern w:val="0"/>
                <w:sz w:val="21"/>
                <w:szCs w:val="21"/>
                <w:u w:val="none"/>
                <w:lang w:val="en-US" w:eastAsia="zh-CN" w:bidi="ar"/>
              </w:rPr>
              <w:t>平富乡上寨村委会</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right"/>
              <w:textAlignment w:val="bottom"/>
              <w:rPr>
                <w:rFonts w:hint="eastAsia" w:ascii="仿宋_GB2312" w:hAnsi="仿宋_GB2312" w:eastAsia="仿宋_GB2312" w:cs="仿宋_GB2312"/>
                <w:b w:val="0"/>
                <w:bCs/>
                <w:color w:val="auto"/>
                <w:kern w:val="0"/>
                <w:sz w:val="21"/>
                <w:szCs w:val="21"/>
                <w:lang w:val="en-US" w:eastAsia="zh-CN" w:bidi="zh-CN"/>
              </w:rPr>
            </w:pPr>
            <w:r>
              <w:rPr>
                <w:rFonts w:hint="eastAsia" w:ascii="仿宋_GB2312" w:hAnsi="仿宋_GB2312" w:eastAsia="仿宋_GB2312" w:cs="仿宋_GB2312"/>
                <w:i w:val="0"/>
                <w:iCs w:val="0"/>
                <w:color w:val="000000"/>
                <w:kern w:val="0"/>
                <w:sz w:val="21"/>
                <w:szCs w:val="21"/>
                <w:u w:val="none"/>
                <w:lang w:val="en-US" w:eastAsia="zh-CN" w:bidi="ar"/>
              </w:rPr>
              <w:t xml:space="preserve">41.84 </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pageBreakBefore w:val="0"/>
              <w:kinsoku/>
              <w:wordWrap/>
              <w:overflowPunct/>
              <w:topLinePunct w:val="0"/>
              <w:bidi w:val="0"/>
              <w:snapToGrid w:val="0"/>
              <w:spacing w:line="480" w:lineRule="exact"/>
              <w:ind w:firstLine="0" w:firstLineChars="0"/>
              <w:jc w:val="center"/>
              <w:rPr>
                <w:rFonts w:hint="eastAsia" w:ascii="仿宋_GB2312" w:hAnsi="仿宋_GB2312" w:eastAsia="仿宋_GB2312" w:cs="仿宋_GB2312"/>
                <w:b w:val="0"/>
                <w:bCs/>
                <w:color w:val="auto"/>
                <w:kern w:val="0"/>
                <w:sz w:val="21"/>
                <w:szCs w:val="21"/>
                <w:lang w:val="en-US" w:eastAsia="zh-CN" w:bidi="zh-CN"/>
              </w:rPr>
            </w:pPr>
            <w:r>
              <w:rPr>
                <w:rFonts w:hint="eastAsia" w:ascii="仿宋_GB2312" w:hAnsi="仿宋_GB2312" w:eastAsia="仿宋_GB2312" w:cs="仿宋_GB2312"/>
                <w:b w:val="0"/>
                <w:bCs/>
                <w:color w:val="auto"/>
                <w:kern w:val="0"/>
                <w:sz w:val="21"/>
                <w:szCs w:val="21"/>
                <w:lang w:val="en-US" w:eastAsia="zh-CN" w:bidi="zh-CN"/>
              </w:rPr>
              <w:t>5.51</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pageBreakBefore w:val="0"/>
              <w:kinsoku/>
              <w:wordWrap/>
              <w:overflowPunct/>
              <w:topLinePunct w:val="0"/>
              <w:bidi w:val="0"/>
              <w:snapToGrid w:val="0"/>
              <w:spacing w:line="480" w:lineRule="exact"/>
              <w:ind w:firstLine="0" w:firstLineChars="0"/>
              <w:jc w:val="center"/>
              <w:rPr>
                <w:rFonts w:hint="eastAsia" w:ascii="仿宋_GB2312" w:hAnsi="仿宋_GB2312" w:eastAsia="仿宋_GB2312" w:cs="仿宋_GB2312"/>
                <w:b w:val="0"/>
                <w:bCs/>
                <w:color w:val="auto"/>
                <w:kern w:val="0"/>
                <w:sz w:val="21"/>
                <w:szCs w:val="21"/>
                <w:lang w:val="en-US" w:eastAsia="zh-CN" w:bidi="zh-CN"/>
              </w:rPr>
            </w:pPr>
            <w:r>
              <w:rPr>
                <w:rFonts w:hint="default" w:ascii="仿宋_GB2312" w:hAnsi="仿宋_GB2312" w:eastAsia="仿宋_GB2312" w:cs="仿宋_GB2312"/>
                <w:b w:val="0"/>
                <w:bCs/>
                <w:color w:val="auto"/>
                <w:kern w:val="0"/>
                <w:sz w:val="21"/>
                <w:szCs w:val="21"/>
                <w:lang w:val="en-US" w:eastAsia="zh-CN" w:bidi="zh-CN"/>
              </w:rPr>
              <w:t>36.33</w:t>
            </w:r>
          </w:p>
        </w:tc>
      </w:tr>
      <w:tr>
        <w:tblPrEx>
          <w:tblCellMar>
            <w:top w:w="0" w:type="dxa"/>
            <w:left w:w="108" w:type="dxa"/>
            <w:bottom w:w="0" w:type="dxa"/>
            <w:right w:w="108" w:type="dxa"/>
          </w:tblCellMar>
        </w:tblPrEx>
        <w:trPr>
          <w:trHeight w:val="255" w:hRule="atLeast"/>
        </w:trPr>
        <w:tc>
          <w:tcPr>
            <w:tcW w:w="185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b w:val="0"/>
                <w:bCs/>
                <w:color w:val="auto"/>
                <w:kern w:val="0"/>
                <w:sz w:val="21"/>
                <w:szCs w:val="21"/>
                <w:lang w:val="en-US" w:eastAsia="zh-CN" w:bidi="zh-CN"/>
              </w:rPr>
            </w:pPr>
            <w:r>
              <w:rPr>
                <w:rFonts w:hint="eastAsia" w:ascii="仿宋_GB2312" w:hAnsi="仿宋_GB2312" w:eastAsia="仿宋_GB2312" w:cs="仿宋_GB2312"/>
                <w:i w:val="0"/>
                <w:iCs w:val="0"/>
                <w:color w:val="000000"/>
                <w:kern w:val="0"/>
                <w:sz w:val="21"/>
                <w:szCs w:val="21"/>
                <w:u w:val="none"/>
                <w:lang w:val="en-US" w:eastAsia="zh-CN" w:bidi="ar"/>
              </w:rPr>
              <w:t>平富乡向前村委会</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right"/>
              <w:textAlignment w:val="bottom"/>
              <w:rPr>
                <w:rFonts w:hint="eastAsia" w:ascii="仿宋_GB2312" w:hAnsi="仿宋_GB2312" w:eastAsia="仿宋_GB2312" w:cs="仿宋_GB2312"/>
                <w:b w:val="0"/>
                <w:bCs/>
                <w:color w:val="auto"/>
                <w:kern w:val="0"/>
                <w:sz w:val="21"/>
                <w:szCs w:val="21"/>
                <w:lang w:val="en-US" w:eastAsia="zh-CN" w:bidi="zh-CN"/>
              </w:rPr>
            </w:pPr>
            <w:r>
              <w:rPr>
                <w:rFonts w:hint="eastAsia" w:ascii="仿宋_GB2312" w:hAnsi="仿宋_GB2312" w:eastAsia="仿宋_GB2312" w:cs="仿宋_GB2312"/>
                <w:i w:val="0"/>
                <w:iCs w:val="0"/>
                <w:color w:val="000000"/>
                <w:kern w:val="0"/>
                <w:sz w:val="21"/>
                <w:szCs w:val="21"/>
                <w:u w:val="none"/>
                <w:lang w:val="en-US" w:eastAsia="zh-CN" w:bidi="ar"/>
              </w:rPr>
              <w:t xml:space="preserve">41.62 </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pageBreakBefore w:val="0"/>
              <w:kinsoku/>
              <w:wordWrap/>
              <w:overflowPunct/>
              <w:topLinePunct w:val="0"/>
              <w:bidi w:val="0"/>
              <w:snapToGrid w:val="0"/>
              <w:spacing w:line="480" w:lineRule="exact"/>
              <w:ind w:firstLine="0" w:firstLineChars="0"/>
              <w:jc w:val="center"/>
              <w:rPr>
                <w:rFonts w:hint="eastAsia" w:ascii="仿宋_GB2312" w:hAnsi="仿宋_GB2312" w:eastAsia="仿宋_GB2312" w:cs="仿宋_GB2312"/>
                <w:b w:val="0"/>
                <w:bCs/>
                <w:color w:val="auto"/>
                <w:kern w:val="0"/>
                <w:sz w:val="21"/>
                <w:szCs w:val="21"/>
                <w:lang w:val="en-US" w:eastAsia="zh-CN" w:bidi="zh-CN"/>
              </w:rPr>
            </w:pPr>
            <w:r>
              <w:rPr>
                <w:rFonts w:hint="eastAsia" w:ascii="仿宋_GB2312" w:hAnsi="仿宋_GB2312" w:eastAsia="仿宋_GB2312" w:cs="仿宋_GB2312"/>
                <w:b w:val="0"/>
                <w:bCs/>
                <w:color w:val="auto"/>
                <w:kern w:val="0"/>
                <w:sz w:val="21"/>
                <w:szCs w:val="21"/>
                <w:lang w:val="en-US" w:eastAsia="zh-CN" w:bidi="zh-CN"/>
              </w:rPr>
              <w:t>0.00</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pageBreakBefore w:val="0"/>
              <w:kinsoku/>
              <w:wordWrap/>
              <w:overflowPunct/>
              <w:topLinePunct w:val="0"/>
              <w:bidi w:val="0"/>
              <w:snapToGrid w:val="0"/>
              <w:spacing w:line="480" w:lineRule="exact"/>
              <w:ind w:firstLine="0" w:firstLineChars="0"/>
              <w:jc w:val="center"/>
              <w:rPr>
                <w:rFonts w:hint="eastAsia" w:ascii="仿宋_GB2312" w:hAnsi="仿宋_GB2312" w:eastAsia="仿宋_GB2312" w:cs="仿宋_GB2312"/>
                <w:b w:val="0"/>
                <w:bCs/>
                <w:color w:val="auto"/>
                <w:kern w:val="0"/>
                <w:sz w:val="21"/>
                <w:szCs w:val="21"/>
                <w:lang w:val="en-US" w:eastAsia="zh-CN" w:bidi="zh-CN"/>
              </w:rPr>
            </w:pPr>
            <w:r>
              <w:rPr>
                <w:rFonts w:hint="default" w:ascii="仿宋_GB2312" w:hAnsi="仿宋_GB2312" w:eastAsia="仿宋_GB2312" w:cs="仿宋_GB2312"/>
                <w:b w:val="0"/>
                <w:bCs/>
                <w:color w:val="auto"/>
                <w:kern w:val="0"/>
                <w:sz w:val="21"/>
                <w:szCs w:val="21"/>
                <w:lang w:val="en-US" w:eastAsia="zh-CN" w:bidi="zh-CN"/>
              </w:rPr>
              <w:t>41.62</w:t>
            </w:r>
          </w:p>
        </w:tc>
      </w:tr>
      <w:tr>
        <w:tblPrEx>
          <w:tblCellMar>
            <w:top w:w="0" w:type="dxa"/>
            <w:left w:w="108" w:type="dxa"/>
            <w:bottom w:w="0" w:type="dxa"/>
            <w:right w:w="108" w:type="dxa"/>
          </w:tblCellMar>
        </w:tblPrEx>
        <w:trPr>
          <w:trHeight w:val="255" w:hRule="atLeast"/>
        </w:trPr>
        <w:tc>
          <w:tcPr>
            <w:tcW w:w="185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b w:val="0"/>
                <w:bCs/>
                <w:color w:val="auto"/>
                <w:kern w:val="0"/>
                <w:sz w:val="21"/>
                <w:szCs w:val="21"/>
                <w:lang w:val="en-US" w:eastAsia="zh-CN" w:bidi="zh-CN"/>
              </w:rPr>
            </w:pPr>
            <w:r>
              <w:rPr>
                <w:rFonts w:hint="eastAsia" w:ascii="仿宋_GB2312" w:hAnsi="仿宋_GB2312" w:eastAsia="仿宋_GB2312" w:cs="仿宋_GB2312"/>
                <w:i w:val="0"/>
                <w:iCs w:val="0"/>
                <w:color w:val="000000"/>
                <w:kern w:val="0"/>
                <w:sz w:val="21"/>
                <w:szCs w:val="21"/>
                <w:u w:val="none"/>
                <w:lang w:val="en-US" w:eastAsia="zh-CN" w:bidi="ar"/>
              </w:rPr>
              <w:t>平富乡信地村委会</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right"/>
              <w:textAlignment w:val="bottom"/>
              <w:rPr>
                <w:rFonts w:hint="eastAsia" w:ascii="仿宋_GB2312" w:hAnsi="仿宋_GB2312" w:eastAsia="仿宋_GB2312" w:cs="仿宋_GB2312"/>
                <w:b w:val="0"/>
                <w:bCs/>
                <w:color w:val="auto"/>
                <w:kern w:val="0"/>
                <w:sz w:val="21"/>
                <w:szCs w:val="21"/>
                <w:lang w:val="en-US" w:eastAsia="zh-CN" w:bidi="zh-CN"/>
              </w:rPr>
            </w:pPr>
            <w:r>
              <w:rPr>
                <w:rFonts w:hint="eastAsia" w:ascii="仿宋_GB2312" w:hAnsi="仿宋_GB2312" w:eastAsia="仿宋_GB2312" w:cs="仿宋_GB2312"/>
                <w:i w:val="0"/>
                <w:iCs w:val="0"/>
                <w:color w:val="000000"/>
                <w:kern w:val="0"/>
                <w:sz w:val="21"/>
                <w:szCs w:val="21"/>
                <w:u w:val="none"/>
                <w:lang w:val="en-US" w:eastAsia="zh-CN" w:bidi="ar"/>
              </w:rPr>
              <w:t xml:space="preserve">48.12 </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pageBreakBefore w:val="0"/>
              <w:kinsoku/>
              <w:wordWrap/>
              <w:overflowPunct/>
              <w:topLinePunct w:val="0"/>
              <w:bidi w:val="0"/>
              <w:snapToGrid w:val="0"/>
              <w:spacing w:line="480" w:lineRule="exact"/>
              <w:ind w:firstLine="0" w:firstLineChars="0"/>
              <w:jc w:val="center"/>
              <w:rPr>
                <w:rFonts w:hint="default" w:ascii="仿宋_GB2312" w:hAnsi="仿宋_GB2312" w:eastAsia="仿宋_GB2312" w:cs="仿宋_GB2312"/>
                <w:b w:val="0"/>
                <w:bCs/>
                <w:color w:val="auto"/>
                <w:kern w:val="0"/>
                <w:sz w:val="21"/>
                <w:szCs w:val="21"/>
                <w:lang w:val="en-US" w:eastAsia="zh-CN" w:bidi="zh-CN"/>
              </w:rPr>
            </w:pPr>
            <w:r>
              <w:rPr>
                <w:rFonts w:hint="eastAsia" w:ascii="仿宋_GB2312" w:hAnsi="仿宋_GB2312" w:eastAsia="仿宋_GB2312" w:cs="仿宋_GB2312"/>
                <w:b w:val="0"/>
                <w:bCs/>
                <w:color w:val="auto"/>
                <w:kern w:val="0"/>
                <w:sz w:val="21"/>
                <w:szCs w:val="21"/>
                <w:lang w:val="en-US" w:eastAsia="zh-CN" w:bidi="zh-CN"/>
              </w:rPr>
              <w:t>24.80</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pageBreakBefore w:val="0"/>
              <w:kinsoku/>
              <w:wordWrap/>
              <w:overflowPunct/>
              <w:topLinePunct w:val="0"/>
              <w:bidi w:val="0"/>
              <w:snapToGrid w:val="0"/>
              <w:spacing w:line="480" w:lineRule="exact"/>
              <w:ind w:firstLine="0" w:firstLineChars="0"/>
              <w:jc w:val="center"/>
              <w:rPr>
                <w:rFonts w:hint="eastAsia" w:ascii="仿宋_GB2312" w:hAnsi="仿宋_GB2312" w:eastAsia="仿宋_GB2312" w:cs="仿宋_GB2312"/>
                <w:b w:val="0"/>
                <w:bCs/>
                <w:color w:val="auto"/>
                <w:kern w:val="0"/>
                <w:sz w:val="21"/>
                <w:szCs w:val="21"/>
                <w:lang w:val="en-US" w:eastAsia="zh-CN" w:bidi="zh-CN"/>
              </w:rPr>
            </w:pPr>
            <w:r>
              <w:rPr>
                <w:rFonts w:hint="default" w:ascii="仿宋_GB2312" w:hAnsi="仿宋_GB2312" w:eastAsia="仿宋_GB2312" w:cs="仿宋_GB2312"/>
                <w:b w:val="0"/>
                <w:bCs/>
                <w:color w:val="auto"/>
                <w:kern w:val="0"/>
                <w:sz w:val="21"/>
                <w:szCs w:val="21"/>
                <w:lang w:val="en-US" w:eastAsia="zh-CN" w:bidi="zh-CN"/>
              </w:rPr>
              <w:t>23.32</w:t>
            </w:r>
          </w:p>
        </w:tc>
      </w:tr>
      <w:tr>
        <w:tblPrEx>
          <w:tblCellMar>
            <w:top w:w="0" w:type="dxa"/>
            <w:left w:w="108" w:type="dxa"/>
            <w:bottom w:w="0" w:type="dxa"/>
            <w:right w:w="108" w:type="dxa"/>
          </w:tblCellMar>
        </w:tblPrEx>
        <w:trPr>
          <w:trHeight w:val="255" w:hRule="atLeast"/>
        </w:trPr>
        <w:tc>
          <w:tcPr>
            <w:tcW w:w="185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b w:val="0"/>
                <w:bCs/>
                <w:color w:val="auto"/>
                <w:kern w:val="0"/>
                <w:sz w:val="21"/>
                <w:szCs w:val="21"/>
                <w:lang w:val="en-US" w:eastAsia="zh-CN" w:bidi="zh-CN"/>
              </w:rPr>
            </w:pPr>
            <w:r>
              <w:rPr>
                <w:rFonts w:hint="eastAsia" w:ascii="仿宋_GB2312" w:hAnsi="仿宋_GB2312" w:eastAsia="仿宋_GB2312" w:cs="仿宋_GB2312"/>
                <w:i w:val="0"/>
                <w:iCs w:val="0"/>
                <w:color w:val="000000"/>
                <w:kern w:val="0"/>
                <w:sz w:val="21"/>
                <w:szCs w:val="21"/>
                <w:u w:val="none"/>
                <w:lang w:val="en-US" w:eastAsia="zh-CN" w:bidi="ar"/>
              </w:rPr>
              <w:t>平富乡庄坑村委会</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right"/>
              <w:textAlignment w:val="bottom"/>
              <w:rPr>
                <w:rFonts w:hint="eastAsia" w:ascii="仿宋_GB2312" w:hAnsi="仿宋_GB2312" w:eastAsia="仿宋_GB2312" w:cs="仿宋_GB2312"/>
                <w:b w:val="0"/>
                <w:bCs/>
                <w:color w:val="auto"/>
                <w:kern w:val="0"/>
                <w:sz w:val="21"/>
                <w:szCs w:val="21"/>
                <w:lang w:val="en-US" w:eastAsia="zh-CN" w:bidi="zh-CN"/>
              </w:rPr>
            </w:pPr>
            <w:r>
              <w:rPr>
                <w:rFonts w:hint="eastAsia" w:ascii="仿宋_GB2312" w:hAnsi="仿宋_GB2312" w:eastAsia="仿宋_GB2312" w:cs="仿宋_GB2312"/>
                <w:i w:val="0"/>
                <w:iCs w:val="0"/>
                <w:color w:val="000000"/>
                <w:kern w:val="0"/>
                <w:sz w:val="21"/>
                <w:szCs w:val="21"/>
                <w:u w:val="none"/>
                <w:lang w:val="en-US" w:eastAsia="zh-CN" w:bidi="ar"/>
              </w:rPr>
              <w:t xml:space="preserve">28.72 </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pageBreakBefore w:val="0"/>
              <w:kinsoku/>
              <w:wordWrap/>
              <w:overflowPunct/>
              <w:topLinePunct w:val="0"/>
              <w:bidi w:val="0"/>
              <w:snapToGrid w:val="0"/>
              <w:spacing w:line="480" w:lineRule="exact"/>
              <w:ind w:firstLine="0" w:firstLineChars="0"/>
              <w:jc w:val="center"/>
              <w:rPr>
                <w:rFonts w:hint="default" w:ascii="仿宋_GB2312" w:hAnsi="仿宋_GB2312" w:eastAsia="仿宋_GB2312" w:cs="仿宋_GB2312"/>
                <w:b w:val="0"/>
                <w:bCs/>
                <w:color w:val="auto"/>
                <w:kern w:val="0"/>
                <w:sz w:val="21"/>
                <w:szCs w:val="21"/>
                <w:lang w:val="en-US" w:eastAsia="zh-CN" w:bidi="zh-CN"/>
              </w:rPr>
            </w:pPr>
            <w:r>
              <w:rPr>
                <w:rFonts w:hint="eastAsia" w:ascii="仿宋_GB2312" w:hAnsi="仿宋_GB2312" w:eastAsia="仿宋_GB2312" w:cs="仿宋_GB2312"/>
                <w:b w:val="0"/>
                <w:bCs/>
                <w:color w:val="auto"/>
                <w:kern w:val="0"/>
                <w:sz w:val="21"/>
                <w:szCs w:val="21"/>
                <w:lang w:val="en-US" w:eastAsia="zh-CN" w:bidi="zh-CN"/>
              </w:rPr>
              <w:t>2.34</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pageBreakBefore w:val="0"/>
              <w:kinsoku/>
              <w:wordWrap/>
              <w:overflowPunct/>
              <w:topLinePunct w:val="0"/>
              <w:bidi w:val="0"/>
              <w:snapToGrid w:val="0"/>
              <w:spacing w:line="480" w:lineRule="exact"/>
              <w:ind w:firstLine="0" w:firstLineChars="0"/>
              <w:jc w:val="center"/>
              <w:rPr>
                <w:rFonts w:hint="eastAsia" w:ascii="仿宋_GB2312" w:hAnsi="仿宋_GB2312" w:eastAsia="仿宋_GB2312" w:cs="仿宋_GB2312"/>
                <w:b w:val="0"/>
                <w:bCs/>
                <w:color w:val="auto"/>
                <w:kern w:val="0"/>
                <w:sz w:val="21"/>
                <w:szCs w:val="21"/>
                <w:lang w:val="en-US" w:eastAsia="zh-CN" w:bidi="zh-CN"/>
              </w:rPr>
            </w:pPr>
            <w:r>
              <w:rPr>
                <w:rFonts w:hint="default" w:ascii="仿宋_GB2312" w:hAnsi="仿宋_GB2312" w:eastAsia="仿宋_GB2312" w:cs="仿宋_GB2312"/>
                <w:b w:val="0"/>
                <w:bCs/>
                <w:color w:val="auto"/>
                <w:kern w:val="0"/>
                <w:sz w:val="21"/>
                <w:szCs w:val="21"/>
                <w:lang w:val="en-US" w:eastAsia="zh-CN" w:bidi="zh-CN"/>
              </w:rPr>
              <w:t>26.38</w:t>
            </w:r>
          </w:p>
        </w:tc>
      </w:tr>
      <w:tr>
        <w:tblPrEx>
          <w:tblCellMar>
            <w:top w:w="0" w:type="dxa"/>
            <w:left w:w="108" w:type="dxa"/>
            <w:bottom w:w="0" w:type="dxa"/>
            <w:right w:w="108" w:type="dxa"/>
          </w:tblCellMar>
        </w:tblPrEx>
        <w:trPr>
          <w:trHeight w:val="255" w:hRule="atLeast"/>
        </w:trPr>
        <w:tc>
          <w:tcPr>
            <w:tcW w:w="185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仿宋_GB2312" w:hAnsi="仿宋_GB2312" w:eastAsia="仿宋_GB2312" w:cs="仿宋_GB2312"/>
                <w:b w:val="0"/>
                <w:bCs/>
                <w:color w:val="auto"/>
                <w:kern w:val="0"/>
                <w:sz w:val="21"/>
                <w:szCs w:val="21"/>
                <w:lang w:val="en-US" w:eastAsia="zh-CN" w:bidi="zh-CN"/>
              </w:rPr>
            </w:pPr>
            <w:r>
              <w:rPr>
                <w:rFonts w:hint="eastAsia" w:ascii="仿宋_GB2312" w:hAnsi="仿宋_GB2312" w:eastAsia="仿宋_GB2312" w:cs="仿宋_GB2312"/>
                <w:i w:val="0"/>
                <w:iCs w:val="0"/>
                <w:color w:val="000000"/>
                <w:kern w:val="0"/>
                <w:sz w:val="21"/>
                <w:szCs w:val="21"/>
                <w:u w:val="none"/>
                <w:lang w:val="en-US" w:eastAsia="zh-CN" w:bidi="ar"/>
              </w:rPr>
              <w:t>平富乡庄前村委会</w:t>
            </w:r>
          </w:p>
        </w:tc>
        <w:tc>
          <w:tcPr>
            <w:tcW w:w="13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right"/>
              <w:textAlignment w:val="bottom"/>
              <w:rPr>
                <w:rFonts w:hint="eastAsia" w:ascii="仿宋_GB2312" w:hAnsi="仿宋_GB2312" w:eastAsia="仿宋_GB2312" w:cs="仿宋_GB2312"/>
                <w:b w:val="0"/>
                <w:bCs/>
                <w:color w:val="auto"/>
                <w:kern w:val="0"/>
                <w:sz w:val="21"/>
                <w:szCs w:val="21"/>
                <w:lang w:val="en-US" w:eastAsia="zh-CN" w:bidi="zh-CN"/>
              </w:rPr>
            </w:pPr>
            <w:r>
              <w:rPr>
                <w:rFonts w:hint="eastAsia" w:ascii="仿宋_GB2312" w:hAnsi="仿宋_GB2312" w:eastAsia="仿宋_GB2312" w:cs="仿宋_GB2312"/>
                <w:i w:val="0"/>
                <w:iCs w:val="0"/>
                <w:color w:val="000000"/>
                <w:kern w:val="0"/>
                <w:sz w:val="21"/>
                <w:szCs w:val="21"/>
                <w:u w:val="none"/>
                <w:lang w:val="en-US" w:eastAsia="zh-CN" w:bidi="ar"/>
              </w:rPr>
              <w:t xml:space="preserve">48.89 </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pageBreakBefore w:val="0"/>
              <w:kinsoku/>
              <w:wordWrap/>
              <w:overflowPunct/>
              <w:topLinePunct w:val="0"/>
              <w:bidi w:val="0"/>
              <w:snapToGrid w:val="0"/>
              <w:spacing w:line="480" w:lineRule="exact"/>
              <w:ind w:firstLine="0" w:firstLineChars="0"/>
              <w:jc w:val="center"/>
              <w:rPr>
                <w:rFonts w:hint="default" w:ascii="仿宋_GB2312" w:hAnsi="仿宋_GB2312" w:eastAsia="仿宋_GB2312" w:cs="仿宋_GB2312"/>
                <w:b w:val="0"/>
                <w:bCs/>
                <w:color w:val="auto"/>
                <w:kern w:val="0"/>
                <w:sz w:val="21"/>
                <w:szCs w:val="21"/>
                <w:lang w:val="en-US" w:eastAsia="zh-CN" w:bidi="zh-CN"/>
              </w:rPr>
            </w:pPr>
            <w:r>
              <w:rPr>
                <w:rFonts w:hint="eastAsia" w:ascii="仿宋_GB2312" w:hAnsi="仿宋_GB2312" w:eastAsia="仿宋_GB2312" w:cs="仿宋_GB2312"/>
                <w:b w:val="0"/>
                <w:bCs/>
                <w:color w:val="auto"/>
                <w:kern w:val="0"/>
                <w:sz w:val="21"/>
                <w:szCs w:val="21"/>
                <w:lang w:val="en-US" w:eastAsia="zh-CN" w:bidi="zh-CN"/>
              </w:rPr>
              <w:t>0.00</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pageBreakBefore w:val="0"/>
              <w:kinsoku/>
              <w:wordWrap/>
              <w:overflowPunct/>
              <w:topLinePunct w:val="0"/>
              <w:bidi w:val="0"/>
              <w:snapToGrid w:val="0"/>
              <w:spacing w:line="480" w:lineRule="exact"/>
              <w:ind w:firstLine="0" w:firstLineChars="0"/>
              <w:jc w:val="center"/>
              <w:rPr>
                <w:rFonts w:hint="eastAsia" w:ascii="仿宋_GB2312" w:hAnsi="仿宋_GB2312" w:eastAsia="仿宋_GB2312" w:cs="仿宋_GB2312"/>
                <w:b w:val="0"/>
                <w:bCs/>
                <w:color w:val="auto"/>
                <w:kern w:val="0"/>
                <w:sz w:val="21"/>
                <w:szCs w:val="21"/>
                <w:lang w:val="en-US" w:eastAsia="zh-CN" w:bidi="zh-CN"/>
              </w:rPr>
            </w:pPr>
            <w:r>
              <w:rPr>
                <w:rFonts w:hint="default" w:ascii="仿宋_GB2312" w:hAnsi="仿宋_GB2312" w:eastAsia="仿宋_GB2312" w:cs="仿宋_GB2312"/>
                <w:b w:val="0"/>
                <w:bCs/>
                <w:color w:val="auto"/>
                <w:kern w:val="0"/>
                <w:sz w:val="21"/>
                <w:szCs w:val="21"/>
                <w:lang w:val="en-US" w:eastAsia="zh-CN" w:bidi="zh-CN"/>
              </w:rPr>
              <w:t>48.89</w:t>
            </w:r>
          </w:p>
        </w:tc>
      </w:tr>
      <w:tr>
        <w:tblPrEx>
          <w:tblCellMar>
            <w:top w:w="0" w:type="dxa"/>
            <w:left w:w="108" w:type="dxa"/>
            <w:bottom w:w="0" w:type="dxa"/>
            <w:right w:w="108" w:type="dxa"/>
          </w:tblCellMar>
        </w:tblPrEx>
        <w:trPr>
          <w:trHeight w:val="255" w:hRule="atLeast"/>
        </w:trPr>
        <w:tc>
          <w:tcPr>
            <w:tcW w:w="18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pageBreakBefore w:val="0"/>
              <w:kinsoku/>
              <w:wordWrap/>
              <w:overflowPunct/>
              <w:topLinePunct w:val="0"/>
              <w:bidi w:val="0"/>
              <w:snapToGrid w:val="0"/>
              <w:spacing w:line="480" w:lineRule="exact"/>
              <w:ind w:firstLine="0" w:firstLineChars="0"/>
              <w:jc w:val="center"/>
              <w:rPr>
                <w:rFonts w:hint="eastAsia" w:ascii="仿宋_GB2312" w:hAnsi="仿宋_GB2312" w:eastAsia="仿宋_GB2312" w:cs="仿宋_GB2312"/>
                <w:b w:val="0"/>
                <w:bCs/>
                <w:color w:val="auto"/>
                <w:kern w:val="0"/>
                <w:sz w:val="21"/>
                <w:szCs w:val="21"/>
                <w:lang w:val="en-US" w:eastAsia="zh-CN" w:bidi="zh-CN"/>
              </w:rPr>
            </w:pPr>
            <w:r>
              <w:rPr>
                <w:rFonts w:hint="eastAsia" w:ascii="仿宋_GB2312" w:hAnsi="仿宋_GB2312" w:eastAsia="仿宋_GB2312" w:cs="仿宋_GB2312"/>
                <w:b w:val="0"/>
                <w:bCs/>
                <w:color w:val="auto"/>
                <w:kern w:val="0"/>
                <w:sz w:val="21"/>
                <w:szCs w:val="21"/>
                <w:lang w:val="en-US" w:eastAsia="zh-CN" w:bidi="zh-CN"/>
              </w:rPr>
              <w:t>总计</w:t>
            </w:r>
          </w:p>
        </w:tc>
        <w:tc>
          <w:tcPr>
            <w:tcW w:w="8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pageBreakBefore w:val="0"/>
              <w:kinsoku/>
              <w:wordWrap/>
              <w:overflowPunct/>
              <w:topLinePunct w:val="0"/>
              <w:bidi w:val="0"/>
              <w:snapToGrid w:val="0"/>
              <w:spacing w:line="480" w:lineRule="exact"/>
              <w:ind w:firstLine="0" w:firstLineChars="0"/>
              <w:jc w:val="center"/>
              <w:rPr>
                <w:rFonts w:hint="eastAsia" w:ascii="仿宋_GB2312" w:hAnsi="仿宋_GB2312" w:eastAsia="仿宋_GB2312" w:cs="仿宋_GB2312"/>
                <w:b w:val="0"/>
                <w:bCs/>
                <w:color w:val="auto"/>
                <w:kern w:val="0"/>
                <w:sz w:val="21"/>
                <w:szCs w:val="21"/>
                <w:lang w:val="en-US" w:eastAsia="zh-CN" w:bidi="zh-CN"/>
              </w:rPr>
            </w:pPr>
            <w:r>
              <w:rPr>
                <w:rFonts w:hint="eastAsia" w:ascii="仿宋_GB2312" w:hAnsi="仿宋_GB2312" w:eastAsia="仿宋_GB2312" w:cs="仿宋_GB2312"/>
                <w:b w:val="0"/>
                <w:bCs/>
                <w:color w:val="auto"/>
                <w:kern w:val="0"/>
                <w:sz w:val="21"/>
                <w:szCs w:val="21"/>
                <w:lang w:val="en-US" w:eastAsia="zh-CN" w:bidi="zh-CN"/>
              </w:rPr>
              <w:t>371.37</w:t>
            </w:r>
          </w:p>
        </w:tc>
        <w:tc>
          <w:tcPr>
            <w:tcW w:w="116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pageBreakBefore w:val="0"/>
              <w:kinsoku/>
              <w:wordWrap/>
              <w:overflowPunct/>
              <w:topLinePunct w:val="0"/>
              <w:bidi w:val="0"/>
              <w:snapToGrid w:val="0"/>
              <w:spacing w:line="480" w:lineRule="exact"/>
              <w:ind w:firstLine="0" w:firstLineChars="0"/>
              <w:jc w:val="center"/>
              <w:rPr>
                <w:rFonts w:hint="default" w:ascii="仿宋_GB2312" w:hAnsi="仿宋_GB2312" w:eastAsia="仿宋_GB2312" w:cs="仿宋_GB2312"/>
                <w:b w:val="0"/>
                <w:bCs/>
                <w:color w:val="auto"/>
                <w:kern w:val="0"/>
                <w:sz w:val="21"/>
                <w:szCs w:val="21"/>
                <w:lang w:val="en-US" w:eastAsia="zh-CN" w:bidi="zh-CN"/>
              </w:rPr>
            </w:pPr>
            <w:r>
              <w:rPr>
                <w:rFonts w:hint="eastAsia" w:ascii="仿宋_GB2312" w:hAnsi="仿宋_GB2312" w:eastAsia="仿宋_GB2312" w:cs="仿宋_GB2312"/>
                <w:b w:val="0"/>
                <w:bCs/>
                <w:color w:val="auto"/>
                <w:kern w:val="0"/>
                <w:sz w:val="21"/>
                <w:szCs w:val="21"/>
                <w:lang w:val="en-US" w:eastAsia="zh-CN" w:bidi="zh-CN"/>
              </w:rPr>
              <w:t>53.84</w:t>
            </w:r>
          </w:p>
        </w:tc>
        <w:tc>
          <w:tcPr>
            <w:tcW w:w="199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pageBreakBefore w:val="0"/>
              <w:kinsoku/>
              <w:wordWrap/>
              <w:overflowPunct/>
              <w:topLinePunct w:val="0"/>
              <w:bidi w:val="0"/>
              <w:snapToGrid w:val="0"/>
              <w:spacing w:line="480" w:lineRule="exact"/>
              <w:ind w:firstLine="0" w:firstLineChars="0"/>
              <w:jc w:val="center"/>
              <w:rPr>
                <w:rFonts w:hint="eastAsia" w:ascii="仿宋_GB2312" w:hAnsi="仿宋_GB2312" w:eastAsia="仿宋_GB2312" w:cs="仿宋_GB2312"/>
                <w:b w:val="0"/>
                <w:bCs/>
                <w:color w:val="auto"/>
                <w:kern w:val="0"/>
                <w:sz w:val="21"/>
                <w:szCs w:val="21"/>
                <w:lang w:val="en-US" w:eastAsia="zh-CN" w:bidi="zh-CN"/>
              </w:rPr>
            </w:pPr>
            <w:r>
              <w:rPr>
                <w:rFonts w:hint="default" w:ascii="仿宋_GB2312" w:hAnsi="仿宋_GB2312" w:eastAsia="仿宋_GB2312" w:cs="仿宋_GB2312"/>
                <w:b w:val="0"/>
                <w:bCs/>
                <w:color w:val="auto"/>
                <w:kern w:val="0"/>
                <w:sz w:val="21"/>
                <w:szCs w:val="21"/>
                <w:lang w:val="en-US" w:eastAsia="zh-CN" w:bidi="zh-CN"/>
              </w:rPr>
              <w:t>317.53</w:t>
            </w:r>
          </w:p>
        </w:tc>
      </w:tr>
    </w:tbl>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（2）高标准农田建设潜力评价</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潜力评价思路：</w:t>
      </w:r>
      <w:r>
        <w:rPr>
          <w:rFonts w:hint="eastAsia" w:ascii="Times New Roman" w:hAnsi="Times New Roman" w:eastAsia="仿宋_GB2312"/>
          <w:bCs/>
          <w:color w:val="auto"/>
          <w:sz w:val="28"/>
          <w:szCs w:val="28"/>
          <w:lang w:val="en-US" w:eastAsia="zh-CN"/>
        </w:rPr>
        <w:t>①</w:t>
      </w:r>
      <w:r>
        <w:rPr>
          <w:rFonts w:ascii="Times New Roman" w:hAnsi="Times New Roman" w:eastAsia="仿宋_GB2312"/>
          <w:bCs/>
          <w:color w:val="auto"/>
          <w:sz w:val="28"/>
          <w:szCs w:val="28"/>
        </w:rPr>
        <w:t>扣除城镇开发边界和生态红线内耕地；</w:t>
      </w:r>
      <w:r>
        <w:rPr>
          <w:rFonts w:hint="eastAsia" w:ascii="Times New Roman" w:hAnsi="Times New Roman" w:eastAsia="仿宋_GB2312"/>
          <w:bCs/>
          <w:color w:val="auto"/>
          <w:sz w:val="28"/>
          <w:szCs w:val="28"/>
          <w:lang w:val="en-US" w:eastAsia="zh-CN"/>
        </w:rPr>
        <w:t>②</w:t>
      </w:r>
      <w:r>
        <w:rPr>
          <w:rFonts w:ascii="Times New Roman" w:hAnsi="Times New Roman" w:eastAsia="仿宋_GB2312"/>
          <w:bCs/>
          <w:color w:val="auto"/>
          <w:sz w:val="28"/>
          <w:szCs w:val="28"/>
        </w:rPr>
        <w:t>按照《江西省高标准农田建设规范》（试行），高标准农田应集中连片，注重实效。其中平原区集中连片500亩以上，丘陵区200亩，山地100亩。</w:t>
      </w:r>
      <w:r>
        <w:rPr>
          <w:rFonts w:hint="eastAsia" w:ascii="Times New Roman" w:hAnsi="Times New Roman" w:eastAsia="仿宋_GB2312"/>
          <w:bCs/>
          <w:color w:val="auto"/>
          <w:sz w:val="28"/>
          <w:szCs w:val="28"/>
          <w:lang w:val="en-US" w:eastAsia="zh-CN"/>
        </w:rPr>
        <w:t>③</w:t>
      </w:r>
      <w:r>
        <w:rPr>
          <w:rFonts w:ascii="Times New Roman" w:hAnsi="Times New Roman" w:eastAsia="仿宋_GB2312"/>
          <w:bCs/>
          <w:color w:val="auto"/>
          <w:sz w:val="28"/>
          <w:szCs w:val="28"/>
        </w:rPr>
        <w:t>扣除已明确选址的重点建设项目拟占用的耕地以及坡度大于25°等不适宜耕作的耕地。首先扣除已建成高标准农田的耕地及不适宜建设的耕地，形成高标准农田建设潜力区；然后在ArcGIS平台提取出面积在100亩以上的未建成高标准农田的耕地图斑，进一步提取出相连及在一定范围内的所有耕地。</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结合《江西省农业农村厅办公室关于切实做好逐步把永久基本农田全部建成高标准农田方案编制有关工作的通知》，</w:t>
      </w:r>
      <w:r>
        <w:rPr>
          <w:rFonts w:hint="eastAsia" w:ascii="Times New Roman" w:hAnsi="Times New Roman" w:eastAsia="仿宋_GB2312"/>
          <w:bCs/>
          <w:color w:val="auto"/>
          <w:sz w:val="28"/>
          <w:szCs w:val="28"/>
          <w:lang w:eastAsia="zh-CN"/>
        </w:rPr>
        <w:t>平富乡域</w:t>
      </w:r>
      <w:r>
        <w:rPr>
          <w:rFonts w:ascii="Times New Roman" w:hAnsi="Times New Roman" w:eastAsia="仿宋_GB2312"/>
          <w:bCs/>
          <w:color w:val="auto"/>
          <w:sz w:val="28"/>
          <w:szCs w:val="28"/>
        </w:rPr>
        <w:t>范围内永久基本农田在规划期末均完成高标准农田建设。最终得出</w:t>
      </w:r>
      <w:r>
        <w:rPr>
          <w:rFonts w:hint="eastAsia" w:ascii="Times New Roman" w:hAnsi="Times New Roman" w:eastAsia="仿宋_GB2312"/>
          <w:bCs/>
          <w:color w:val="auto"/>
          <w:sz w:val="28"/>
          <w:szCs w:val="28"/>
          <w:lang w:eastAsia="zh-CN"/>
        </w:rPr>
        <w:t>平富乡</w:t>
      </w:r>
      <w:r>
        <w:rPr>
          <w:rFonts w:ascii="Times New Roman" w:hAnsi="Times New Roman" w:eastAsia="仿宋_GB2312"/>
          <w:bCs/>
          <w:color w:val="auto"/>
          <w:sz w:val="28"/>
          <w:szCs w:val="28"/>
        </w:rPr>
        <w:t>高标准农田建设面积如下表所示。</w:t>
      </w:r>
    </w:p>
    <w:p>
      <w:pPr>
        <w:keepNext/>
        <w:pageBreakBefore w:val="0"/>
        <w:kinsoku/>
        <w:wordWrap/>
        <w:overflowPunct/>
        <w:topLinePunct w:val="0"/>
        <w:bidi w:val="0"/>
        <w:snapToGrid w:val="0"/>
        <w:spacing w:line="480" w:lineRule="exact"/>
        <w:ind w:firstLine="0" w:firstLineChars="0"/>
        <w:jc w:val="center"/>
        <w:rPr>
          <w:rFonts w:ascii="黑体" w:hAnsi="黑体" w:eastAsia="黑体" w:cs="黑体"/>
          <w:bCs/>
          <w:color w:val="auto"/>
          <w:sz w:val="30"/>
          <w:szCs w:val="30"/>
        </w:rPr>
      </w:pPr>
      <w:r>
        <w:rPr>
          <w:rFonts w:hint="eastAsia" w:ascii="Times New Roman" w:hAnsi="Times New Roman" w:eastAsia="仿宋_GB2312" w:cs="微软雅黑"/>
          <w:b/>
          <w:bCs w:val="0"/>
          <w:color w:val="auto"/>
          <w:kern w:val="0"/>
          <w:sz w:val="21"/>
          <w:szCs w:val="21"/>
          <w:lang w:val="en-US" w:eastAsia="zh-CN" w:bidi="zh-CN"/>
        </w:rPr>
        <w:t>表10-2 高标准农田建设潜力情况表</w:t>
      </w:r>
    </w:p>
    <w:p>
      <w:pPr>
        <w:pStyle w:val="26"/>
        <w:pageBreakBefore w:val="0"/>
        <w:kinsoku/>
        <w:wordWrap/>
        <w:overflowPunct/>
        <w:topLinePunct w:val="0"/>
        <w:bidi w:val="0"/>
        <w:spacing w:line="480" w:lineRule="exact"/>
        <w:ind w:firstLine="482"/>
        <w:jc w:val="right"/>
        <w:rPr>
          <w:rFonts w:hint="default" w:ascii="Times New Roman" w:hAnsi="Times New Roman" w:eastAsia="仿宋_GB2312" w:cs="Times New Roman"/>
          <w:b/>
          <w:color w:val="auto"/>
          <w:sz w:val="24"/>
          <w:szCs w:val="24"/>
        </w:rPr>
      </w:pPr>
      <w:r>
        <w:rPr>
          <w:rFonts w:hint="eastAsia" w:ascii="Times New Roman" w:hAnsi="Times New Roman" w:eastAsia="仿宋_GB2312" w:cs="微软雅黑"/>
          <w:b/>
          <w:bCs w:val="0"/>
          <w:color w:val="auto"/>
          <w:kern w:val="0"/>
          <w:sz w:val="21"/>
          <w:szCs w:val="21"/>
          <w:lang w:val="en-US" w:eastAsia="zh-CN" w:bidi="zh-CN"/>
        </w:rPr>
        <w:t>单位：公顷</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42"/>
        <w:gridCol w:w="1989"/>
        <w:gridCol w:w="2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blHeader/>
        </w:trPr>
        <w:tc>
          <w:tcPr>
            <w:tcW w:w="2607" w:type="pct"/>
            <w:shd w:val="clear" w:color="auto" w:fill="auto"/>
            <w:noWrap/>
            <w:vAlign w:val="bottom"/>
          </w:tcPr>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行政区名称</w:t>
            </w:r>
          </w:p>
        </w:tc>
        <w:tc>
          <w:tcPr>
            <w:tcW w:w="1167" w:type="pct"/>
            <w:shd w:val="clear" w:color="auto" w:fill="auto"/>
            <w:noWrap/>
            <w:vAlign w:val="bottom"/>
          </w:tcPr>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面积</w:t>
            </w:r>
          </w:p>
        </w:tc>
        <w:tc>
          <w:tcPr>
            <w:tcW w:w="1225" w:type="pct"/>
            <w:shd w:val="clear" w:color="auto" w:fill="auto"/>
            <w:noWrap/>
            <w:vAlign w:val="bottom"/>
          </w:tcPr>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607" w:type="pct"/>
            <w:shd w:val="clear" w:color="auto" w:fill="auto"/>
            <w:noWrap/>
            <w:vAlign w:val="bottom"/>
          </w:tcPr>
          <w:p>
            <w:pPr>
              <w:keepNext w:val="0"/>
              <w:keepLines w:val="0"/>
              <w:widowControl/>
              <w:suppressLineNumbers w:val="0"/>
              <w:ind w:firstLine="420" w:firstLineChars="200"/>
              <w:jc w:val="left"/>
              <w:textAlignment w:val="bottom"/>
              <w:rPr>
                <w:rFonts w:hint="eastAsia" w:ascii="Times New Roman" w:hAnsi="Times New Roman" w:eastAsia="仿宋_GB2312" w:cs="微软雅黑"/>
                <w:b w:val="0"/>
                <w:bCs/>
                <w:color w:val="auto"/>
                <w:kern w:val="0"/>
                <w:sz w:val="21"/>
                <w:szCs w:val="21"/>
                <w:lang w:val="en-US" w:eastAsia="zh-CN" w:bidi="zh-CN"/>
              </w:rPr>
            </w:pPr>
            <w:r>
              <w:rPr>
                <w:rFonts w:hint="eastAsia" w:ascii="仿宋_GB2312" w:hAnsi="仿宋_GB2312" w:eastAsia="仿宋_GB2312" w:cs="仿宋_GB2312"/>
                <w:i w:val="0"/>
                <w:iCs w:val="0"/>
                <w:color w:val="000000"/>
                <w:kern w:val="0"/>
                <w:sz w:val="21"/>
                <w:szCs w:val="21"/>
                <w:u w:val="none"/>
                <w:lang w:val="en-US" w:eastAsia="zh-CN" w:bidi="ar"/>
              </w:rPr>
              <w:t>平富乡大潭村委会</w:t>
            </w:r>
          </w:p>
        </w:tc>
        <w:tc>
          <w:tcPr>
            <w:tcW w:w="1989" w:type="dxa"/>
            <w:shd w:val="clear" w:color="auto" w:fill="auto"/>
            <w:noWrap/>
            <w:vAlign w:val="center"/>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 xml:space="preserve">47.95 </w:t>
            </w:r>
          </w:p>
        </w:tc>
        <w:tc>
          <w:tcPr>
            <w:tcW w:w="2088" w:type="dxa"/>
            <w:shd w:val="clear" w:color="auto" w:fill="auto"/>
            <w:noWrap/>
            <w:vAlign w:val="center"/>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17.63%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607" w:type="pct"/>
            <w:shd w:val="clear" w:color="auto" w:fill="auto"/>
            <w:noWrap/>
            <w:vAlign w:val="bottom"/>
          </w:tcPr>
          <w:p>
            <w:pPr>
              <w:keepNext w:val="0"/>
              <w:keepLines w:val="0"/>
              <w:widowControl/>
              <w:suppressLineNumbers w:val="0"/>
              <w:ind w:firstLine="420" w:firstLineChars="200"/>
              <w:jc w:val="left"/>
              <w:textAlignment w:val="bottom"/>
              <w:rPr>
                <w:rFonts w:hint="eastAsia" w:ascii="Times New Roman" w:hAnsi="Times New Roman" w:eastAsia="仿宋_GB2312" w:cs="微软雅黑"/>
                <w:b w:val="0"/>
                <w:bCs/>
                <w:color w:val="auto"/>
                <w:kern w:val="0"/>
                <w:sz w:val="21"/>
                <w:szCs w:val="21"/>
                <w:lang w:val="en-US" w:eastAsia="zh-CN" w:bidi="zh-CN"/>
              </w:rPr>
            </w:pPr>
            <w:r>
              <w:rPr>
                <w:rFonts w:hint="eastAsia" w:ascii="仿宋_GB2312" w:hAnsi="仿宋_GB2312" w:eastAsia="仿宋_GB2312" w:cs="仿宋_GB2312"/>
                <w:i w:val="0"/>
                <w:iCs w:val="0"/>
                <w:color w:val="000000"/>
                <w:kern w:val="0"/>
                <w:sz w:val="21"/>
                <w:szCs w:val="21"/>
                <w:u w:val="none"/>
                <w:lang w:val="en-US" w:eastAsia="zh-CN" w:bidi="ar"/>
              </w:rPr>
              <w:t>平富乡横坑村委会</w:t>
            </w:r>
          </w:p>
        </w:tc>
        <w:tc>
          <w:tcPr>
            <w:tcW w:w="1989" w:type="dxa"/>
            <w:shd w:val="clear" w:color="auto" w:fill="auto"/>
            <w:noWrap/>
            <w:vAlign w:val="center"/>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 xml:space="preserve">2.51 </w:t>
            </w:r>
          </w:p>
        </w:tc>
        <w:tc>
          <w:tcPr>
            <w:tcW w:w="2088" w:type="dxa"/>
            <w:shd w:val="clear" w:color="auto" w:fill="auto"/>
            <w:noWrap/>
            <w:vAlign w:val="center"/>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607" w:type="pct"/>
            <w:shd w:val="clear" w:color="auto" w:fill="auto"/>
            <w:noWrap/>
            <w:vAlign w:val="bottom"/>
          </w:tcPr>
          <w:p>
            <w:pPr>
              <w:keepNext w:val="0"/>
              <w:keepLines w:val="0"/>
              <w:widowControl/>
              <w:suppressLineNumbers w:val="0"/>
              <w:ind w:firstLine="420" w:firstLineChars="200"/>
              <w:jc w:val="left"/>
              <w:textAlignment w:val="bottom"/>
              <w:rPr>
                <w:rFonts w:hint="eastAsia" w:ascii="Times New Roman" w:hAnsi="Times New Roman" w:eastAsia="仿宋_GB2312" w:cs="微软雅黑"/>
                <w:b w:val="0"/>
                <w:bCs/>
                <w:color w:val="auto"/>
                <w:kern w:val="0"/>
                <w:sz w:val="21"/>
                <w:szCs w:val="21"/>
                <w:lang w:val="en-US" w:eastAsia="zh-CN" w:bidi="zh-CN"/>
              </w:rPr>
            </w:pPr>
            <w:r>
              <w:rPr>
                <w:rFonts w:hint="eastAsia" w:ascii="仿宋_GB2312" w:hAnsi="仿宋_GB2312" w:eastAsia="仿宋_GB2312" w:cs="仿宋_GB2312"/>
                <w:i w:val="0"/>
                <w:iCs w:val="0"/>
                <w:color w:val="000000"/>
                <w:kern w:val="0"/>
                <w:sz w:val="21"/>
                <w:szCs w:val="21"/>
                <w:u w:val="none"/>
                <w:lang w:val="en-US" w:eastAsia="zh-CN" w:bidi="ar"/>
              </w:rPr>
              <w:t>平富乡平富村委会</w:t>
            </w:r>
          </w:p>
        </w:tc>
        <w:tc>
          <w:tcPr>
            <w:tcW w:w="1989" w:type="dxa"/>
            <w:shd w:val="clear" w:color="auto" w:fill="auto"/>
            <w:noWrap/>
            <w:vAlign w:val="center"/>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 xml:space="preserve">81.38 </w:t>
            </w:r>
          </w:p>
        </w:tc>
        <w:tc>
          <w:tcPr>
            <w:tcW w:w="2088" w:type="dxa"/>
            <w:shd w:val="clear" w:color="auto" w:fill="auto"/>
            <w:noWrap/>
            <w:vAlign w:val="center"/>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29.92%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607" w:type="pct"/>
            <w:shd w:val="clear" w:color="auto" w:fill="auto"/>
            <w:noWrap/>
            <w:vAlign w:val="bottom"/>
          </w:tcPr>
          <w:p>
            <w:pPr>
              <w:keepNext w:val="0"/>
              <w:keepLines w:val="0"/>
              <w:widowControl/>
              <w:suppressLineNumbers w:val="0"/>
              <w:ind w:firstLine="420" w:firstLineChars="200"/>
              <w:jc w:val="left"/>
              <w:textAlignment w:val="bottom"/>
              <w:rPr>
                <w:rFonts w:hint="eastAsia" w:ascii="Times New Roman" w:hAnsi="Times New Roman" w:eastAsia="仿宋_GB2312" w:cs="微软雅黑"/>
                <w:b w:val="0"/>
                <w:bCs/>
                <w:color w:val="auto"/>
                <w:kern w:val="0"/>
                <w:sz w:val="21"/>
                <w:szCs w:val="21"/>
                <w:lang w:val="en-US" w:eastAsia="zh-CN" w:bidi="zh-CN"/>
              </w:rPr>
            </w:pPr>
            <w:r>
              <w:rPr>
                <w:rFonts w:hint="eastAsia" w:ascii="仿宋_GB2312" w:hAnsi="仿宋_GB2312" w:eastAsia="仿宋_GB2312" w:cs="仿宋_GB2312"/>
                <w:i w:val="0"/>
                <w:iCs w:val="0"/>
                <w:color w:val="000000"/>
                <w:kern w:val="0"/>
                <w:sz w:val="21"/>
                <w:szCs w:val="21"/>
                <w:u w:val="none"/>
                <w:lang w:val="en-US" w:eastAsia="zh-CN" w:bidi="ar"/>
              </w:rPr>
              <w:t>平富乡上寨村委会</w:t>
            </w:r>
          </w:p>
        </w:tc>
        <w:tc>
          <w:tcPr>
            <w:tcW w:w="1989" w:type="dxa"/>
            <w:shd w:val="clear" w:color="auto" w:fill="auto"/>
            <w:noWrap/>
            <w:vAlign w:val="center"/>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 xml:space="preserve">24.56 </w:t>
            </w:r>
          </w:p>
        </w:tc>
        <w:tc>
          <w:tcPr>
            <w:tcW w:w="2088" w:type="dxa"/>
            <w:shd w:val="clear" w:color="auto" w:fill="auto"/>
            <w:noWrap/>
            <w:vAlign w:val="center"/>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607" w:type="pct"/>
            <w:shd w:val="clear" w:color="auto" w:fill="auto"/>
            <w:noWrap/>
            <w:vAlign w:val="bottom"/>
          </w:tcPr>
          <w:p>
            <w:pPr>
              <w:keepNext w:val="0"/>
              <w:keepLines w:val="0"/>
              <w:widowControl/>
              <w:suppressLineNumbers w:val="0"/>
              <w:ind w:firstLine="420" w:firstLineChars="200"/>
              <w:jc w:val="left"/>
              <w:textAlignment w:val="bottom"/>
              <w:rPr>
                <w:rFonts w:hint="eastAsia" w:ascii="Times New Roman" w:hAnsi="Times New Roman" w:eastAsia="仿宋_GB2312" w:cs="微软雅黑"/>
                <w:b w:val="0"/>
                <w:bCs/>
                <w:color w:val="auto"/>
                <w:kern w:val="0"/>
                <w:sz w:val="21"/>
                <w:szCs w:val="21"/>
                <w:lang w:val="en-US" w:eastAsia="zh-CN" w:bidi="zh-CN"/>
              </w:rPr>
            </w:pPr>
            <w:r>
              <w:rPr>
                <w:rFonts w:hint="eastAsia" w:ascii="仿宋_GB2312" w:hAnsi="仿宋_GB2312" w:eastAsia="仿宋_GB2312" w:cs="仿宋_GB2312"/>
                <w:i w:val="0"/>
                <w:iCs w:val="0"/>
                <w:color w:val="000000"/>
                <w:kern w:val="0"/>
                <w:sz w:val="21"/>
                <w:szCs w:val="21"/>
                <w:u w:val="none"/>
                <w:lang w:val="en-US" w:eastAsia="zh-CN" w:bidi="ar"/>
              </w:rPr>
              <w:t>平富乡向前村委会</w:t>
            </w:r>
          </w:p>
        </w:tc>
        <w:tc>
          <w:tcPr>
            <w:tcW w:w="1989" w:type="dxa"/>
            <w:shd w:val="clear" w:color="auto" w:fill="auto"/>
            <w:noWrap/>
            <w:vAlign w:val="center"/>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 xml:space="preserve">34.76 </w:t>
            </w:r>
          </w:p>
        </w:tc>
        <w:tc>
          <w:tcPr>
            <w:tcW w:w="2088" w:type="dxa"/>
            <w:shd w:val="clear" w:color="auto" w:fill="auto"/>
            <w:noWrap/>
            <w:vAlign w:val="center"/>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12.78%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607" w:type="pct"/>
            <w:shd w:val="clear" w:color="auto" w:fill="auto"/>
            <w:noWrap/>
            <w:vAlign w:val="bottom"/>
          </w:tcPr>
          <w:p>
            <w:pPr>
              <w:keepNext w:val="0"/>
              <w:keepLines w:val="0"/>
              <w:widowControl/>
              <w:suppressLineNumbers w:val="0"/>
              <w:ind w:firstLine="420" w:firstLineChars="200"/>
              <w:jc w:val="left"/>
              <w:textAlignment w:val="bottom"/>
              <w:rPr>
                <w:rFonts w:hint="eastAsia" w:ascii="Times New Roman" w:hAnsi="Times New Roman" w:eastAsia="仿宋_GB2312" w:cs="微软雅黑"/>
                <w:b w:val="0"/>
                <w:bCs/>
                <w:color w:val="auto"/>
                <w:kern w:val="0"/>
                <w:sz w:val="21"/>
                <w:szCs w:val="21"/>
                <w:lang w:val="en-US" w:eastAsia="zh-CN" w:bidi="zh-CN"/>
              </w:rPr>
            </w:pPr>
            <w:r>
              <w:rPr>
                <w:rFonts w:hint="eastAsia" w:ascii="仿宋_GB2312" w:hAnsi="仿宋_GB2312" w:eastAsia="仿宋_GB2312" w:cs="仿宋_GB2312"/>
                <w:i w:val="0"/>
                <w:iCs w:val="0"/>
                <w:color w:val="000000"/>
                <w:kern w:val="0"/>
                <w:sz w:val="21"/>
                <w:szCs w:val="21"/>
                <w:u w:val="none"/>
                <w:lang w:val="en-US" w:eastAsia="zh-CN" w:bidi="ar"/>
              </w:rPr>
              <w:t>平富乡信地村委会</w:t>
            </w:r>
          </w:p>
        </w:tc>
        <w:tc>
          <w:tcPr>
            <w:tcW w:w="1989" w:type="dxa"/>
            <w:shd w:val="clear" w:color="auto" w:fill="auto"/>
            <w:noWrap/>
            <w:vAlign w:val="center"/>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 xml:space="preserve">8.50 </w:t>
            </w:r>
          </w:p>
        </w:tc>
        <w:tc>
          <w:tcPr>
            <w:tcW w:w="2088" w:type="dxa"/>
            <w:shd w:val="clear" w:color="auto" w:fill="auto"/>
            <w:noWrap/>
            <w:vAlign w:val="center"/>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607" w:type="pct"/>
            <w:shd w:val="clear" w:color="auto" w:fill="auto"/>
            <w:noWrap/>
            <w:vAlign w:val="bottom"/>
          </w:tcPr>
          <w:p>
            <w:pPr>
              <w:keepNext w:val="0"/>
              <w:keepLines w:val="0"/>
              <w:widowControl/>
              <w:suppressLineNumbers w:val="0"/>
              <w:ind w:firstLine="420" w:firstLineChars="200"/>
              <w:jc w:val="left"/>
              <w:textAlignment w:val="bottom"/>
              <w:rPr>
                <w:rFonts w:hint="eastAsia" w:ascii="Times New Roman" w:hAnsi="Times New Roman" w:eastAsia="仿宋_GB2312" w:cs="微软雅黑"/>
                <w:b w:val="0"/>
                <w:bCs/>
                <w:color w:val="auto"/>
                <w:kern w:val="0"/>
                <w:sz w:val="21"/>
                <w:szCs w:val="21"/>
                <w:lang w:val="en-US" w:eastAsia="zh-CN" w:bidi="zh-CN"/>
              </w:rPr>
            </w:pPr>
            <w:r>
              <w:rPr>
                <w:rFonts w:hint="eastAsia" w:ascii="仿宋_GB2312" w:hAnsi="仿宋_GB2312" w:eastAsia="仿宋_GB2312" w:cs="仿宋_GB2312"/>
                <w:i w:val="0"/>
                <w:iCs w:val="0"/>
                <w:color w:val="000000"/>
                <w:kern w:val="0"/>
                <w:sz w:val="21"/>
                <w:szCs w:val="21"/>
                <w:u w:val="none"/>
                <w:lang w:val="en-US" w:eastAsia="zh-CN" w:bidi="ar"/>
              </w:rPr>
              <w:t>平富乡庄坑村委会</w:t>
            </w:r>
          </w:p>
        </w:tc>
        <w:tc>
          <w:tcPr>
            <w:tcW w:w="1989" w:type="dxa"/>
            <w:shd w:val="clear" w:color="auto" w:fill="auto"/>
            <w:noWrap/>
            <w:vAlign w:val="center"/>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 xml:space="preserve">23.80 </w:t>
            </w:r>
          </w:p>
        </w:tc>
        <w:tc>
          <w:tcPr>
            <w:tcW w:w="2088" w:type="dxa"/>
            <w:shd w:val="clear" w:color="auto" w:fill="auto"/>
            <w:noWrap/>
            <w:vAlign w:val="center"/>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607" w:type="pct"/>
            <w:shd w:val="clear" w:color="auto" w:fill="auto"/>
            <w:noWrap/>
            <w:vAlign w:val="bottom"/>
          </w:tcPr>
          <w:p>
            <w:pPr>
              <w:keepNext w:val="0"/>
              <w:keepLines w:val="0"/>
              <w:widowControl/>
              <w:suppressLineNumbers w:val="0"/>
              <w:ind w:firstLine="420" w:firstLineChars="200"/>
              <w:jc w:val="left"/>
              <w:textAlignment w:val="bottom"/>
              <w:rPr>
                <w:rFonts w:hint="eastAsia" w:ascii="Times New Roman" w:hAnsi="Times New Roman" w:eastAsia="仿宋_GB2312" w:cs="微软雅黑"/>
                <w:b w:val="0"/>
                <w:bCs/>
                <w:color w:val="auto"/>
                <w:kern w:val="0"/>
                <w:sz w:val="21"/>
                <w:szCs w:val="21"/>
                <w:lang w:val="en-US" w:eastAsia="zh-CN" w:bidi="zh-CN"/>
              </w:rPr>
            </w:pPr>
            <w:r>
              <w:rPr>
                <w:rFonts w:hint="eastAsia" w:ascii="仿宋_GB2312" w:hAnsi="仿宋_GB2312" w:eastAsia="仿宋_GB2312" w:cs="仿宋_GB2312"/>
                <w:i w:val="0"/>
                <w:iCs w:val="0"/>
                <w:color w:val="000000"/>
                <w:kern w:val="0"/>
                <w:sz w:val="21"/>
                <w:szCs w:val="21"/>
                <w:u w:val="none"/>
                <w:lang w:val="en-US" w:eastAsia="zh-CN" w:bidi="ar"/>
              </w:rPr>
              <w:t>平富乡庄前村委会</w:t>
            </w:r>
          </w:p>
        </w:tc>
        <w:tc>
          <w:tcPr>
            <w:tcW w:w="1989" w:type="dxa"/>
            <w:shd w:val="clear" w:color="auto" w:fill="auto"/>
            <w:noWrap/>
            <w:vAlign w:val="center"/>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 xml:space="preserve">48.50 </w:t>
            </w:r>
          </w:p>
        </w:tc>
        <w:tc>
          <w:tcPr>
            <w:tcW w:w="2088" w:type="dxa"/>
            <w:shd w:val="clear" w:color="auto" w:fill="auto"/>
            <w:noWrap/>
            <w:vAlign w:val="center"/>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17.83%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2607" w:type="pct"/>
            <w:shd w:val="clear" w:color="auto" w:fill="auto"/>
            <w:noWrap/>
            <w:vAlign w:val="bottom"/>
          </w:tcPr>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微软雅黑"/>
                <w:b w:val="0"/>
                <w:bCs/>
                <w:color w:val="auto"/>
                <w:kern w:val="0"/>
                <w:sz w:val="21"/>
                <w:szCs w:val="21"/>
                <w:lang w:val="en-US" w:eastAsia="zh-CN" w:bidi="zh-CN"/>
              </w:rPr>
            </w:pPr>
            <w:r>
              <w:rPr>
                <w:rFonts w:hint="eastAsia" w:ascii="Times New Roman" w:hAnsi="Times New Roman" w:eastAsia="仿宋_GB2312" w:cs="微软雅黑"/>
                <w:b w:val="0"/>
                <w:bCs/>
                <w:color w:val="auto"/>
                <w:kern w:val="0"/>
                <w:sz w:val="21"/>
                <w:szCs w:val="21"/>
                <w:lang w:val="en-US" w:eastAsia="zh-CN" w:bidi="zh-CN"/>
              </w:rPr>
              <w:t>总计</w:t>
            </w:r>
          </w:p>
        </w:tc>
        <w:tc>
          <w:tcPr>
            <w:tcW w:w="1989" w:type="dxa"/>
            <w:shd w:val="clear" w:color="auto" w:fill="auto"/>
            <w:noWrap/>
            <w:vAlign w:val="center"/>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 xml:space="preserve">271.96 </w:t>
            </w:r>
          </w:p>
        </w:tc>
        <w:tc>
          <w:tcPr>
            <w:tcW w:w="2088" w:type="dxa"/>
            <w:shd w:val="clear" w:color="auto" w:fill="auto"/>
            <w:noWrap/>
            <w:vAlign w:val="center"/>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100.00%</w:t>
            </w:r>
          </w:p>
        </w:tc>
      </w:tr>
    </w:tbl>
    <w:p>
      <w:pPr>
        <w:pStyle w:val="17"/>
        <w:pageBreakBefore w:val="0"/>
        <w:kinsoku/>
        <w:wordWrap/>
        <w:overflowPunct/>
        <w:topLinePunct w:val="0"/>
        <w:bidi w:val="0"/>
        <w:spacing w:after="0" w:line="480" w:lineRule="exact"/>
        <w:ind w:left="0" w:leftChars="0" w:firstLine="560" w:firstLineChars="200"/>
        <w:rPr>
          <w:rFonts w:ascii="Times New Roman" w:hAnsi="Times New Roman" w:eastAsia="仿宋_GB2312"/>
          <w:bCs/>
          <w:color w:val="auto"/>
          <w:sz w:val="28"/>
          <w:szCs w:val="28"/>
        </w:rPr>
      </w:pPr>
      <w:r>
        <w:rPr>
          <w:rFonts w:hint="eastAsia" w:ascii="Times New Roman" w:hAnsi="Times New Roman" w:eastAsia="仿宋_GB2312"/>
          <w:bCs/>
          <w:color w:val="auto"/>
          <w:sz w:val="28"/>
          <w:szCs w:val="28"/>
          <w:lang w:eastAsia="zh-CN"/>
        </w:rPr>
        <w:t>平富乡</w:t>
      </w:r>
      <w:r>
        <w:rPr>
          <w:rFonts w:ascii="Times New Roman" w:hAnsi="Times New Roman" w:eastAsia="仿宋_GB2312"/>
          <w:bCs/>
          <w:color w:val="auto"/>
          <w:sz w:val="28"/>
          <w:szCs w:val="28"/>
        </w:rPr>
        <w:t>高标准农田建设潜力总面积为</w:t>
      </w:r>
      <w:r>
        <w:rPr>
          <w:rFonts w:hint="eastAsia" w:ascii="Times New Roman" w:hAnsi="Times New Roman" w:eastAsia="仿宋_GB2312"/>
          <w:bCs/>
          <w:color w:val="auto"/>
          <w:sz w:val="28"/>
          <w:szCs w:val="28"/>
          <w:lang w:val="en-US" w:eastAsia="zh-CN"/>
        </w:rPr>
        <w:t>271.9</w:t>
      </w:r>
      <w:r>
        <w:rPr>
          <w:rFonts w:ascii="Times New Roman" w:hAnsi="Times New Roman" w:eastAsia="仿宋_GB2312"/>
          <w:bCs/>
          <w:color w:val="auto"/>
          <w:sz w:val="28"/>
          <w:szCs w:val="28"/>
        </w:rPr>
        <w:t>公顷，其中</w:t>
      </w:r>
      <w:r>
        <w:rPr>
          <w:rFonts w:hint="eastAsia" w:ascii="Times New Roman" w:hAnsi="Times New Roman" w:eastAsia="仿宋_GB2312"/>
          <w:bCs/>
          <w:color w:val="auto"/>
          <w:sz w:val="28"/>
          <w:szCs w:val="28"/>
          <w:lang w:val="en-US" w:eastAsia="zh-CN"/>
        </w:rPr>
        <w:t>平富村</w:t>
      </w:r>
      <w:r>
        <w:rPr>
          <w:rFonts w:ascii="Times New Roman" w:hAnsi="Times New Roman" w:eastAsia="仿宋_GB2312"/>
          <w:bCs/>
          <w:color w:val="auto"/>
          <w:sz w:val="28"/>
          <w:szCs w:val="28"/>
        </w:rPr>
        <w:t>、</w:t>
      </w:r>
      <w:r>
        <w:rPr>
          <w:rFonts w:hint="eastAsia" w:ascii="Times New Roman" w:hAnsi="Times New Roman" w:eastAsia="仿宋_GB2312"/>
          <w:bCs/>
          <w:color w:val="auto"/>
          <w:sz w:val="28"/>
          <w:szCs w:val="28"/>
          <w:lang w:val="en-US" w:eastAsia="zh-CN"/>
        </w:rPr>
        <w:t>庄前村</w:t>
      </w:r>
      <w:r>
        <w:rPr>
          <w:rFonts w:ascii="Times New Roman" w:hAnsi="Times New Roman" w:eastAsia="仿宋_GB2312"/>
          <w:bCs/>
          <w:color w:val="auto"/>
          <w:sz w:val="28"/>
          <w:szCs w:val="28"/>
        </w:rPr>
        <w:t>、</w:t>
      </w:r>
      <w:r>
        <w:rPr>
          <w:rFonts w:hint="eastAsia" w:ascii="Times New Roman" w:hAnsi="Times New Roman" w:eastAsia="仿宋_GB2312"/>
          <w:bCs/>
          <w:color w:val="auto"/>
          <w:sz w:val="28"/>
          <w:szCs w:val="28"/>
          <w:lang w:val="en-US" w:eastAsia="zh-CN"/>
        </w:rPr>
        <w:t>大潭村</w:t>
      </w:r>
      <w:r>
        <w:rPr>
          <w:rFonts w:ascii="Times New Roman" w:hAnsi="Times New Roman" w:eastAsia="仿宋_GB2312"/>
          <w:bCs/>
          <w:color w:val="auto"/>
          <w:sz w:val="28"/>
          <w:szCs w:val="28"/>
        </w:rPr>
        <w:t>面积较大，占比均超过总面积的1</w:t>
      </w:r>
      <w:r>
        <w:rPr>
          <w:rFonts w:hint="eastAsia" w:ascii="Times New Roman" w:hAnsi="Times New Roman" w:eastAsia="仿宋_GB2312"/>
          <w:bCs/>
          <w:color w:val="auto"/>
          <w:sz w:val="28"/>
          <w:szCs w:val="28"/>
          <w:lang w:val="en-US" w:eastAsia="zh-CN"/>
        </w:rPr>
        <w:t>5</w:t>
      </w:r>
      <w:r>
        <w:rPr>
          <w:rFonts w:ascii="Times New Roman" w:hAnsi="Times New Roman" w:eastAsia="仿宋_GB2312"/>
          <w:bCs/>
          <w:color w:val="auto"/>
          <w:sz w:val="28"/>
          <w:szCs w:val="28"/>
        </w:rPr>
        <w:t>%，</w:t>
      </w:r>
      <w:r>
        <w:rPr>
          <w:rFonts w:hint="eastAsia" w:ascii="Times New Roman" w:hAnsi="Times New Roman" w:eastAsia="仿宋_GB2312"/>
          <w:bCs/>
          <w:color w:val="auto"/>
          <w:sz w:val="28"/>
          <w:szCs w:val="28"/>
          <w:lang w:val="en-US" w:eastAsia="zh-CN"/>
        </w:rPr>
        <w:t>信地村、横坑村</w:t>
      </w:r>
      <w:r>
        <w:rPr>
          <w:rFonts w:ascii="Times New Roman" w:hAnsi="Times New Roman" w:eastAsia="仿宋_GB2312"/>
          <w:bCs/>
          <w:color w:val="auto"/>
          <w:sz w:val="28"/>
          <w:szCs w:val="28"/>
        </w:rPr>
        <w:t>面积较小，占比均未达到总面积的</w:t>
      </w:r>
      <w:r>
        <w:rPr>
          <w:rFonts w:hint="eastAsia" w:ascii="Times New Roman" w:hAnsi="Times New Roman" w:eastAsia="仿宋_GB2312"/>
          <w:bCs/>
          <w:color w:val="auto"/>
          <w:sz w:val="28"/>
          <w:szCs w:val="28"/>
          <w:lang w:val="en-US" w:eastAsia="zh-CN"/>
        </w:rPr>
        <w:t>5</w:t>
      </w:r>
      <w:r>
        <w:rPr>
          <w:rFonts w:ascii="Times New Roman" w:hAnsi="Times New Roman" w:eastAsia="仿宋_GB2312"/>
          <w:bCs/>
          <w:color w:val="auto"/>
          <w:sz w:val="28"/>
          <w:szCs w:val="28"/>
        </w:rPr>
        <w:t>%。</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（3）高标准农田提质改造工程</w:t>
      </w:r>
    </w:p>
    <w:p>
      <w:pPr>
        <w:pStyle w:val="17"/>
        <w:pageBreakBefore w:val="0"/>
        <w:kinsoku/>
        <w:wordWrap/>
        <w:overflowPunct/>
        <w:topLinePunct w:val="0"/>
        <w:bidi w:val="0"/>
        <w:spacing w:after="0" w:line="480" w:lineRule="exact"/>
        <w:ind w:left="0" w:leftChars="0" w:firstLine="560" w:firstLineChars="200"/>
        <w:rPr>
          <w:rFonts w:hint="eastAsia" w:ascii="Times New Roman" w:hAnsi="Times New Roman" w:eastAsia="仿宋_GB2312" w:cs="微软雅黑"/>
          <w:b/>
          <w:bCs w:val="0"/>
          <w:color w:val="auto"/>
          <w:kern w:val="0"/>
          <w:sz w:val="21"/>
          <w:szCs w:val="21"/>
          <w:lang w:val="en-US" w:eastAsia="zh-CN" w:bidi="zh-CN"/>
        </w:rPr>
      </w:pPr>
      <w:r>
        <w:rPr>
          <w:rFonts w:ascii="Times New Roman" w:hAnsi="Times New Roman" w:eastAsia="仿宋_GB2312"/>
          <w:bCs/>
          <w:color w:val="auto"/>
          <w:sz w:val="28"/>
          <w:szCs w:val="28"/>
        </w:rPr>
        <w:t>按照“巩固高产田、提高中产田、改造低产田”的思路，统筹整合资金，大力推进高标准农田建设，规划期内提质改造高标准农田</w:t>
      </w:r>
      <w:r>
        <w:rPr>
          <w:rFonts w:hint="eastAsia" w:ascii="Times New Roman" w:hAnsi="Times New Roman" w:eastAsia="仿宋_GB2312"/>
          <w:bCs/>
          <w:color w:val="auto"/>
          <w:sz w:val="28"/>
          <w:szCs w:val="28"/>
          <w:lang w:val="en-US" w:eastAsia="zh-CN"/>
        </w:rPr>
        <w:t>53.84</w:t>
      </w:r>
      <w:r>
        <w:rPr>
          <w:rFonts w:ascii="Times New Roman" w:hAnsi="Times New Roman" w:eastAsia="仿宋_GB2312"/>
          <w:bCs/>
          <w:color w:val="auto"/>
          <w:sz w:val="28"/>
          <w:szCs w:val="28"/>
        </w:rPr>
        <w:t>公顷。</w:t>
      </w:r>
    </w:p>
    <w:p>
      <w:pPr>
        <w:pStyle w:val="17"/>
        <w:pageBreakBefore w:val="0"/>
        <w:kinsoku/>
        <w:wordWrap/>
        <w:overflowPunct/>
        <w:topLinePunct w:val="0"/>
        <w:bidi w:val="0"/>
        <w:spacing w:after="0" w:line="480" w:lineRule="exact"/>
        <w:ind w:left="0" w:leftChars="0" w:firstLine="0" w:firstLineChars="0"/>
        <w:jc w:val="center"/>
        <w:rPr>
          <w:rFonts w:hint="eastAsia"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表10-3 十四五期内提质改造高标准农田</w:t>
      </w:r>
    </w:p>
    <w:p>
      <w:pPr>
        <w:pStyle w:val="17"/>
        <w:pageBreakBefore w:val="0"/>
        <w:kinsoku/>
        <w:wordWrap/>
        <w:overflowPunct/>
        <w:topLinePunct w:val="0"/>
        <w:bidi w:val="0"/>
        <w:spacing w:after="0" w:line="480" w:lineRule="exact"/>
        <w:ind w:left="0" w:leftChars="0" w:firstLine="0" w:firstLineChars="0"/>
        <w:jc w:val="right"/>
        <w:rPr>
          <w:rFonts w:hint="default"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单位：公顷</w:t>
      </w:r>
    </w:p>
    <w:tbl>
      <w:tblPr>
        <w:tblStyle w:val="19"/>
        <w:tblW w:w="4998" w:type="pct"/>
        <w:jc w:val="center"/>
        <w:tblLayout w:type="autofit"/>
        <w:tblCellMar>
          <w:top w:w="0" w:type="dxa"/>
          <w:left w:w="108" w:type="dxa"/>
          <w:bottom w:w="0" w:type="dxa"/>
          <w:right w:w="108" w:type="dxa"/>
        </w:tblCellMar>
      </w:tblPr>
      <w:tblGrid>
        <w:gridCol w:w="4442"/>
        <w:gridCol w:w="1989"/>
        <w:gridCol w:w="2088"/>
      </w:tblGrid>
      <w:tr>
        <w:tblPrEx>
          <w:tblCellMar>
            <w:top w:w="0" w:type="dxa"/>
            <w:left w:w="108" w:type="dxa"/>
            <w:bottom w:w="0" w:type="dxa"/>
            <w:right w:w="108" w:type="dxa"/>
          </w:tblCellMar>
        </w:tblPrEx>
        <w:trPr>
          <w:trHeight w:val="255" w:hRule="atLeast"/>
          <w:tblHeader/>
          <w:jc w:val="center"/>
        </w:trPr>
        <w:tc>
          <w:tcPr>
            <w:tcW w:w="260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行政区名称</w:t>
            </w:r>
          </w:p>
        </w:tc>
        <w:tc>
          <w:tcPr>
            <w:tcW w:w="116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面积</w:t>
            </w:r>
          </w:p>
        </w:tc>
        <w:tc>
          <w:tcPr>
            <w:tcW w:w="122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占比</w:t>
            </w:r>
          </w:p>
        </w:tc>
      </w:tr>
      <w:tr>
        <w:tblPrEx>
          <w:tblCellMar>
            <w:top w:w="0" w:type="dxa"/>
            <w:left w:w="108" w:type="dxa"/>
            <w:bottom w:w="0" w:type="dxa"/>
            <w:right w:w="108" w:type="dxa"/>
          </w:tblCellMar>
        </w:tblPrEx>
        <w:trPr>
          <w:trHeight w:val="255" w:hRule="atLeast"/>
          <w:jc w:val="center"/>
        </w:trPr>
        <w:tc>
          <w:tcPr>
            <w:tcW w:w="260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Times New Roman" w:hAnsi="Times New Roman" w:eastAsia="仿宋_GB2312" w:cs="微软雅黑"/>
                <w:b w:val="0"/>
                <w:bCs/>
                <w:color w:val="auto"/>
                <w:kern w:val="0"/>
                <w:sz w:val="21"/>
                <w:szCs w:val="21"/>
                <w:lang w:val="en-US" w:eastAsia="zh-CN" w:bidi="zh-CN"/>
              </w:rPr>
            </w:pPr>
            <w:r>
              <w:rPr>
                <w:rFonts w:hint="eastAsia" w:ascii="仿宋_GB2312" w:hAnsi="仿宋_GB2312" w:eastAsia="仿宋_GB2312" w:cs="仿宋_GB2312"/>
                <w:i w:val="0"/>
                <w:iCs w:val="0"/>
                <w:color w:val="000000"/>
                <w:kern w:val="0"/>
                <w:sz w:val="21"/>
                <w:szCs w:val="21"/>
                <w:u w:val="none"/>
                <w:lang w:val="en-US" w:eastAsia="zh-CN" w:bidi="ar"/>
              </w:rPr>
              <w:t>平富乡大潭村委会</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0.00</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0.00%</w:t>
            </w:r>
          </w:p>
        </w:tc>
      </w:tr>
      <w:tr>
        <w:tblPrEx>
          <w:tblCellMar>
            <w:top w:w="0" w:type="dxa"/>
            <w:left w:w="108" w:type="dxa"/>
            <w:bottom w:w="0" w:type="dxa"/>
            <w:right w:w="108" w:type="dxa"/>
          </w:tblCellMar>
        </w:tblPrEx>
        <w:trPr>
          <w:trHeight w:val="255" w:hRule="atLeast"/>
          <w:jc w:val="center"/>
        </w:trPr>
        <w:tc>
          <w:tcPr>
            <w:tcW w:w="260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Times New Roman" w:hAnsi="Times New Roman" w:eastAsia="仿宋_GB2312" w:cs="微软雅黑"/>
                <w:b w:val="0"/>
                <w:bCs/>
                <w:color w:val="auto"/>
                <w:kern w:val="0"/>
                <w:sz w:val="21"/>
                <w:szCs w:val="21"/>
                <w:lang w:val="en-US" w:eastAsia="zh-CN" w:bidi="zh-CN"/>
              </w:rPr>
            </w:pPr>
            <w:r>
              <w:rPr>
                <w:rFonts w:hint="eastAsia" w:ascii="仿宋_GB2312" w:hAnsi="仿宋_GB2312" w:eastAsia="仿宋_GB2312" w:cs="仿宋_GB2312"/>
                <w:i w:val="0"/>
                <w:iCs w:val="0"/>
                <w:color w:val="000000"/>
                <w:kern w:val="0"/>
                <w:sz w:val="21"/>
                <w:szCs w:val="21"/>
                <w:u w:val="none"/>
                <w:lang w:val="en-US" w:eastAsia="zh-CN" w:bidi="ar"/>
              </w:rPr>
              <w:t>平富乡横坑村委会</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21.19</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39.36%</w:t>
            </w:r>
          </w:p>
        </w:tc>
      </w:tr>
      <w:tr>
        <w:tblPrEx>
          <w:tblCellMar>
            <w:top w:w="0" w:type="dxa"/>
            <w:left w:w="108" w:type="dxa"/>
            <w:bottom w:w="0" w:type="dxa"/>
            <w:right w:w="108" w:type="dxa"/>
          </w:tblCellMar>
        </w:tblPrEx>
        <w:trPr>
          <w:trHeight w:val="255" w:hRule="atLeast"/>
          <w:jc w:val="center"/>
        </w:trPr>
        <w:tc>
          <w:tcPr>
            <w:tcW w:w="260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Times New Roman" w:hAnsi="Times New Roman" w:eastAsia="仿宋_GB2312" w:cs="微软雅黑"/>
                <w:b w:val="0"/>
                <w:bCs/>
                <w:color w:val="auto"/>
                <w:kern w:val="0"/>
                <w:sz w:val="21"/>
                <w:szCs w:val="21"/>
                <w:lang w:val="en-US" w:eastAsia="zh-CN" w:bidi="zh-CN"/>
              </w:rPr>
            </w:pPr>
            <w:r>
              <w:rPr>
                <w:rFonts w:hint="eastAsia" w:ascii="仿宋_GB2312" w:hAnsi="仿宋_GB2312" w:eastAsia="仿宋_GB2312" w:cs="仿宋_GB2312"/>
                <w:i w:val="0"/>
                <w:iCs w:val="0"/>
                <w:color w:val="000000"/>
                <w:kern w:val="0"/>
                <w:sz w:val="21"/>
                <w:szCs w:val="21"/>
                <w:u w:val="none"/>
                <w:lang w:val="en-US" w:eastAsia="zh-CN" w:bidi="ar"/>
              </w:rPr>
              <w:t>平富乡平富村委会</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0.00</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0.00%</w:t>
            </w:r>
          </w:p>
        </w:tc>
      </w:tr>
      <w:tr>
        <w:tblPrEx>
          <w:tblCellMar>
            <w:top w:w="0" w:type="dxa"/>
            <w:left w:w="108" w:type="dxa"/>
            <w:bottom w:w="0" w:type="dxa"/>
            <w:right w:w="108" w:type="dxa"/>
          </w:tblCellMar>
        </w:tblPrEx>
        <w:trPr>
          <w:trHeight w:val="255" w:hRule="atLeast"/>
          <w:jc w:val="center"/>
        </w:trPr>
        <w:tc>
          <w:tcPr>
            <w:tcW w:w="260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Times New Roman" w:hAnsi="Times New Roman" w:eastAsia="仿宋_GB2312" w:cs="微软雅黑"/>
                <w:b w:val="0"/>
                <w:bCs/>
                <w:color w:val="auto"/>
                <w:kern w:val="0"/>
                <w:sz w:val="21"/>
                <w:szCs w:val="21"/>
                <w:lang w:val="en-US" w:eastAsia="zh-CN" w:bidi="zh-CN"/>
              </w:rPr>
            </w:pPr>
            <w:r>
              <w:rPr>
                <w:rFonts w:hint="eastAsia" w:ascii="仿宋_GB2312" w:hAnsi="仿宋_GB2312" w:eastAsia="仿宋_GB2312" w:cs="仿宋_GB2312"/>
                <w:i w:val="0"/>
                <w:iCs w:val="0"/>
                <w:color w:val="000000"/>
                <w:kern w:val="0"/>
                <w:sz w:val="21"/>
                <w:szCs w:val="21"/>
                <w:u w:val="none"/>
                <w:lang w:val="en-US" w:eastAsia="zh-CN" w:bidi="ar"/>
              </w:rPr>
              <w:t>平富乡上寨村委会</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5.51</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10.23%</w:t>
            </w:r>
          </w:p>
        </w:tc>
      </w:tr>
      <w:tr>
        <w:tblPrEx>
          <w:tblCellMar>
            <w:top w:w="0" w:type="dxa"/>
            <w:left w:w="108" w:type="dxa"/>
            <w:bottom w:w="0" w:type="dxa"/>
            <w:right w:w="108" w:type="dxa"/>
          </w:tblCellMar>
        </w:tblPrEx>
        <w:trPr>
          <w:trHeight w:val="255" w:hRule="atLeast"/>
          <w:jc w:val="center"/>
        </w:trPr>
        <w:tc>
          <w:tcPr>
            <w:tcW w:w="260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Times New Roman" w:hAnsi="Times New Roman" w:eastAsia="仿宋_GB2312" w:cs="微软雅黑"/>
                <w:b w:val="0"/>
                <w:bCs/>
                <w:color w:val="auto"/>
                <w:kern w:val="0"/>
                <w:sz w:val="21"/>
                <w:szCs w:val="21"/>
                <w:lang w:val="en-US" w:eastAsia="zh-CN" w:bidi="zh-CN"/>
              </w:rPr>
            </w:pPr>
            <w:r>
              <w:rPr>
                <w:rFonts w:hint="eastAsia" w:ascii="仿宋_GB2312" w:hAnsi="仿宋_GB2312" w:eastAsia="仿宋_GB2312" w:cs="仿宋_GB2312"/>
                <w:i w:val="0"/>
                <w:iCs w:val="0"/>
                <w:color w:val="000000"/>
                <w:kern w:val="0"/>
                <w:sz w:val="21"/>
                <w:szCs w:val="21"/>
                <w:u w:val="none"/>
                <w:lang w:val="en-US" w:eastAsia="zh-CN" w:bidi="ar"/>
              </w:rPr>
              <w:t>平富乡向前村委会</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0.00</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0.00%</w:t>
            </w:r>
          </w:p>
        </w:tc>
      </w:tr>
      <w:tr>
        <w:tblPrEx>
          <w:tblCellMar>
            <w:top w:w="0" w:type="dxa"/>
            <w:left w:w="108" w:type="dxa"/>
            <w:bottom w:w="0" w:type="dxa"/>
            <w:right w:w="108" w:type="dxa"/>
          </w:tblCellMar>
        </w:tblPrEx>
        <w:trPr>
          <w:trHeight w:val="255" w:hRule="atLeast"/>
          <w:jc w:val="center"/>
        </w:trPr>
        <w:tc>
          <w:tcPr>
            <w:tcW w:w="260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Times New Roman" w:hAnsi="Times New Roman" w:eastAsia="仿宋_GB2312" w:cs="微软雅黑"/>
                <w:b w:val="0"/>
                <w:bCs/>
                <w:color w:val="auto"/>
                <w:kern w:val="0"/>
                <w:sz w:val="21"/>
                <w:szCs w:val="21"/>
                <w:lang w:val="en-US" w:eastAsia="zh-CN" w:bidi="zh-CN"/>
              </w:rPr>
            </w:pPr>
            <w:r>
              <w:rPr>
                <w:rFonts w:hint="eastAsia" w:ascii="仿宋_GB2312" w:hAnsi="仿宋_GB2312" w:eastAsia="仿宋_GB2312" w:cs="仿宋_GB2312"/>
                <w:i w:val="0"/>
                <w:iCs w:val="0"/>
                <w:color w:val="000000"/>
                <w:kern w:val="0"/>
                <w:sz w:val="21"/>
                <w:szCs w:val="21"/>
                <w:u w:val="none"/>
                <w:lang w:val="en-US" w:eastAsia="zh-CN" w:bidi="ar"/>
              </w:rPr>
              <w:t>平富乡信地村委会</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24.80</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46.06%</w:t>
            </w:r>
          </w:p>
        </w:tc>
      </w:tr>
      <w:tr>
        <w:tblPrEx>
          <w:tblCellMar>
            <w:top w:w="0" w:type="dxa"/>
            <w:left w:w="108" w:type="dxa"/>
            <w:bottom w:w="0" w:type="dxa"/>
            <w:right w:w="108" w:type="dxa"/>
          </w:tblCellMar>
        </w:tblPrEx>
        <w:trPr>
          <w:trHeight w:val="255" w:hRule="atLeast"/>
          <w:jc w:val="center"/>
        </w:trPr>
        <w:tc>
          <w:tcPr>
            <w:tcW w:w="260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Times New Roman" w:hAnsi="Times New Roman" w:eastAsia="仿宋_GB2312" w:cs="微软雅黑"/>
                <w:b w:val="0"/>
                <w:bCs/>
                <w:color w:val="auto"/>
                <w:kern w:val="0"/>
                <w:sz w:val="21"/>
                <w:szCs w:val="21"/>
                <w:lang w:val="en-US" w:eastAsia="zh-CN" w:bidi="zh-CN"/>
              </w:rPr>
            </w:pPr>
            <w:r>
              <w:rPr>
                <w:rFonts w:hint="eastAsia" w:ascii="仿宋_GB2312" w:hAnsi="仿宋_GB2312" w:eastAsia="仿宋_GB2312" w:cs="仿宋_GB2312"/>
                <w:i w:val="0"/>
                <w:iCs w:val="0"/>
                <w:color w:val="000000"/>
                <w:kern w:val="0"/>
                <w:sz w:val="21"/>
                <w:szCs w:val="21"/>
                <w:u w:val="none"/>
                <w:lang w:val="en-US" w:eastAsia="zh-CN" w:bidi="ar"/>
              </w:rPr>
              <w:t>平富乡庄坑村委会</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2.34</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4.35%</w:t>
            </w:r>
          </w:p>
        </w:tc>
      </w:tr>
      <w:tr>
        <w:tblPrEx>
          <w:tblCellMar>
            <w:top w:w="0" w:type="dxa"/>
            <w:left w:w="108" w:type="dxa"/>
            <w:bottom w:w="0" w:type="dxa"/>
            <w:right w:w="108" w:type="dxa"/>
          </w:tblCellMar>
        </w:tblPrEx>
        <w:trPr>
          <w:trHeight w:val="255" w:hRule="atLeast"/>
          <w:jc w:val="center"/>
        </w:trPr>
        <w:tc>
          <w:tcPr>
            <w:tcW w:w="260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left"/>
              <w:textAlignment w:val="bottom"/>
              <w:rPr>
                <w:rFonts w:hint="eastAsia" w:ascii="Times New Roman" w:hAnsi="Times New Roman" w:eastAsia="仿宋_GB2312" w:cs="微软雅黑"/>
                <w:b w:val="0"/>
                <w:bCs/>
                <w:color w:val="auto"/>
                <w:kern w:val="0"/>
                <w:sz w:val="21"/>
                <w:szCs w:val="21"/>
                <w:lang w:val="en-US" w:eastAsia="zh-CN" w:bidi="zh-CN"/>
              </w:rPr>
            </w:pPr>
            <w:r>
              <w:rPr>
                <w:rFonts w:hint="eastAsia" w:ascii="仿宋_GB2312" w:hAnsi="仿宋_GB2312" w:eastAsia="仿宋_GB2312" w:cs="仿宋_GB2312"/>
                <w:i w:val="0"/>
                <w:iCs w:val="0"/>
                <w:color w:val="000000"/>
                <w:kern w:val="0"/>
                <w:sz w:val="21"/>
                <w:szCs w:val="21"/>
                <w:u w:val="none"/>
                <w:lang w:val="en-US" w:eastAsia="zh-CN" w:bidi="ar"/>
              </w:rPr>
              <w:t>平富乡庄前村委会</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0.00</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0.00%</w:t>
            </w:r>
          </w:p>
        </w:tc>
      </w:tr>
      <w:tr>
        <w:tblPrEx>
          <w:tblCellMar>
            <w:top w:w="0" w:type="dxa"/>
            <w:left w:w="108" w:type="dxa"/>
            <w:bottom w:w="0" w:type="dxa"/>
            <w:right w:w="108" w:type="dxa"/>
          </w:tblCellMar>
        </w:tblPrEx>
        <w:trPr>
          <w:trHeight w:val="255" w:hRule="atLeast"/>
          <w:jc w:val="center"/>
        </w:trPr>
        <w:tc>
          <w:tcPr>
            <w:tcW w:w="26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微软雅黑"/>
                <w:b w:val="0"/>
                <w:bCs/>
                <w:color w:val="auto"/>
                <w:kern w:val="0"/>
                <w:sz w:val="21"/>
                <w:szCs w:val="21"/>
                <w:lang w:val="en-US" w:eastAsia="zh-CN" w:bidi="zh-CN"/>
              </w:rPr>
            </w:pPr>
            <w:r>
              <w:rPr>
                <w:rFonts w:hint="eastAsia" w:ascii="仿宋_GB2312" w:hAnsi="仿宋_GB2312" w:eastAsia="仿宋_GB2312" w:cs="仿宋_GB2312"/>
                <w:b w:val="0"/>
                <w:bCs/>
                <w:color w:val="auto"/>
                <w:kern w:val="0"/>
                <w:sz w:val="21"/>
                <w:szCs w:val="21"/>
                <w:lang w:val="en-US" w:eastAsia="zh-CN" w:bidi="zh-CN"/>
              </w:rPr>
              <w:t>总计</w:t>
            </w:r>
          </w:p>
        </w:tc>
        <w:tc>
          <w:tcPr>
            <w:tcW w:w="19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53.84</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firstLine="420" w:firstLineChars="200"/>
              <w:jc w:val="left"/>
              <w:textAlignment w:val="bottom"/>
              <w:rPr>
                <w:rFonts w:hint="eastAsia" w:ascii="仿宋_GB2312" w:hAnsi="仿宋_GB2312" w:eastAsia="仿宋_GB2312" w:cs="仿宋_GB2312"/>
                <w:i w:val="0"/>
                <w:iCs w:val="0"/>
                <w:color w:val="000000"/>
                <w:kern w:val="0"/>
                <w:sz w:val="21"/>
                <w:szCs w:val="21"/>
                <w:u w:val="none"/>
                <w:lang w:val="en-US" w:eastAsia="zh-CN" w:bidi="ar"/>
              </w:rPr>
            </w:pPr>
            <w:r>
              <w:rPr>
                <w:rFonts w:hint="eastAsia" w:ascii="仿宋_GB2312" w:hAnsi="仿宋_GB2312" w:eastAsia="仿宋_GB2312" w:cs="仿宋_GB2312"/>
                <w:i w:val="0"/>
                <w:iCs w:val="0"/>
                <w:color w:val="000000"/>
                <w:kern w:val="0"/>
                <w:sz w:val="21"/>
                <w:szCs w:val="21"/>
                <w:u w:val="none"/>
                <w:lang w:val="en-US" w:eastAsia="zh-CN" w:bidi="ar"/>
              </w:rPr>
              <w:t>100.00%</w:t>
            </w:r>
          </w:p>
        </w:tc>
      </w:tr>
    </w:tbl>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规划将</w:t>
      </w:r>
      <w:r>
        <w:rPr>
          <w:rFonts w:hint="eastAsia" w:ascii="Times New Roman" w:hAnsi="Times New Roman" w:eastAsia="仿宋_GB2312"/>
          <w:bCs/>
          <w:color w:val="auto"/>
          <w:sz w:val="28"/>
          <w:szCs w:val="28"/>
          <w:lang w:eastAsia="zh-CN"/>
        </w:rPr>
        <w:t>平富乡</w:t>
      </w:r>
      <w:r>
        <w:rPr>
          <w:rFonts w:ascii="Times New Roman" w:hAnsi="Times New Roman" w:eastAsia="仿宋_GB2312"/>
          <w:bCs/>
          <w:color w:val="auto"/>
          <w:sz w:val="28"/>
          <w:szCs w:val="28"/>
        </w:rPr>
        <w:t>域内划定的永久基本农田优先作为高标准农田建设区，重点对低产田质量进行提升。通过高标准农田建设工程，提高</w:t>
      </w:r>
      <w:r>
        <w:rPr>
          <w:rFonts w:hint="eastAsia" w:ascii="Times New Roman" w:hAnsi="Times New Roman" w:eastAsia="仿宋_GB2312"/>
          <w:bCs/>
          <w:color w:val="auto"/>
          <w:sz w:val="28"/>
          <w:szCs w:val="28"/>
          <w:lang w:eastAsia="zh-CN"/>
        </w:rPr>
        <w:t>上犹县</w:t>
      </w:r>
      <w:r>
        <w:rPr>
          <w:rFonts w:ascii="Times New Roman" w:hAnsi="Times New Roman" w:eastAsia="仿宋_GB2312"/>
          <w:bCs/>
          <w:color w:val="auto"/>
          <w:sz w:val="28"/>
          <w:szCs w:val="28"/>
        </w:rPr>
        <w:t>内耕地生产效率，提升农业综合生产能力，促进粮食产业规模化经营，实现农业可持续发展。因地制宜推进</w:t>
      </w:r>
      <w:r>
        <w:rPr>
          <w:rFonts w:hint="eastAsia" w:ascii="Times New Roman" w:hAnsi="Times New Roman" w:eastAsia="仿宋_GB2312"/>
          <w:bCs/>
          <w:color w:val="auto"/>
          <w:sz w:val="28"/>
          <w:szCs w:val="28"/>
          <w:lang w:eastAsia="zh-CN"/>
        </w:rPr>
        <w:t>平富乡</w:t>
      </w:r>
      <w:r>
        <w:rPr>
          <w:rFonts w:ascii="Times New Roman" w:hAnsi="Times New Roman" w:eastAsia="仿宋_GB2312"/>
          <w:bCs/>
          <w:color w:val="auto"/>
          <w:sz w:val="28"/>
          <w:szCs w:val="28"/>
        </w:rPr>
        <w:t>高标准农田建设，主要通过平整土地，建设改善田间道路、水利等生产设施，提升生产条件；通过施用绿肥、商品有机肥，测土配方施肥、水稻秸秆还田等方式提升土壤有机质、改善农田耕作层、平衡土壤养分，提高耕地质量，更好地提升高标准农田综合生产功能。</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hint="eastAsia" w:ascii="Times New Roman" w:hAnsi="Times New Roman" w:eastAsia="仿宋_GB2312"/>
          <w:bCs/>
          <w:color w:val="auto"/>
          <w:sz w:val="28"/>
          <w:szCs w:val="28"/>
          <w:lang w:val="en-US" w:eastAsia="zh-CN"/>
        </w:rPr>
        <w:t>2</w:t>
      </w:r>
      <w:r>
        <w:rPr>
          <w:rFonts w:ascii="Times New Roman" w:hAnsi="Times New Roman" w:eastAsia="仿宋_GB2312"/>
          <w:bCs/>
          <w:color w:val="auto"/>
          <w:sz w:val="28"/>
          <w:szCs w:val="28"/>
        </w:rPr>
        <w:t>、合理引导农业结构调整</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发挥国土综合整治对农业结构调整的引导作用，在保证稳定和增加耕地面积的基础上，提高土地的综合生产能力。在严格保护生态环境的前提下，合理配置其他农用地，为优势农产品发展提供有力支撑。大力发展现代城郊型、集约型、立体型农业、农产品加工和休闲农业，提高农用地利用效率和整体效益。发展节水、旱作农业、林果种植业等环境友好型特色农业。</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hint="eastAsia" w:ascii="Times New Roman" w:hAnsi="Times New Roman" w:eastAsia="仿宋_GB2312"/>
          <w:bCs/>
          <w:color w:val="auto"/>
          <w:sz w:val="28"/>
          <w:szCs w:val="28"/>
          <w:lang w:val="en-US" w:eastAsia="zh-CN"/>
        </w:rPr>
        <w:t>3</w:t>
      </w:r>
      <w:r>
        <w:rPr>
          <w:rFonts w:ascii="Times New Roman" w:hAnsi="Times New Roman" w:eastAsia="仿宋_GB2312"/>
          <w:bCs/>
          <w:color w:val="auto"/>
          <w:sz w:val="28"/>
          <w:szCs w:val="28"/>
        </w:rPr>
        <w:t>、推进园地整治提效</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积极开展园地的整治，引导新建园地集中布局，完善配套基础设施，稳步提高园地单产和效益；对于恢复为耕地的园地，坚持因地制宜原则，按照高标准农田建设标准进行整治，强化园地整治后期管护；鼓励发展特色果品生产基地，促进特色果园用地进一步规模经营；强化园地的生态性效应，注重生产同时加强园地生态建设与保护。</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hint="eastAsia" w:ascii="Times New Roman" w:hAnsi="Times New Roman" w:eastAsia="仿宋_GB2312"/>
          <w:bCs/>
          <w:color w:val="auto"/>
          <w:sz w:val="28"/>
          <w:szCs w:val="28"/>
          <w:lang w:val="en-US" w:eastAsia="zh-CN"/>
        </w:rPr>
        <w:t>4</w:t>
      </w:r>
      <w:r>
        <w:rPr>
          <w:rFonts w:ascii="Times New Roman" w:hAnsi="Times New Roman" w:eastAsia="仿宋_GB2312"/>
          <w:bCs/>
          <w:color w:val="auto"/>
          <w:sz w:val="28"/>
          <w:szCs w:val="28"/>
        </w:rPr>
        <w:t>、注重绿色林地建设</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创新造林机制，充分利用宜林荒山、荒地植树造林，扩大有林地面积；加强低效林地改造，加快受损林地恢复和重建，优化林分结构，减缓森林的逆向演替；区分不同区域和类型林地的保护，在低山丘陵森林覆盖率较高、林木生长较好的林区推进生态保育，滨水林带强化建设和保护，推进城乡建设区的林地布设，构建路网、水网林带。</w:t>
      </w:r>
    </w:p>
    <w:p>
      <w:pPr>
        <w:pStyle w:val="17"/>
        <w:pageBreakBefore w:val="0"/>
        <w:kinsoku/>
        <w:wordWrap/>
        <w:overflowPunct/>
        <w:topLinePunct w:val="0"/>
        <w:bidi w:val="0"/>
        <w:spacing w:after="0" w:line="480" w:lineRule="exact"/>
        <w:ind w:left="0" w:leftChars="0" w:firstLine="0" w:firstLineChars="0"/>
        <w:rPr>
          <w:rFonts w:hint="default" w:ascii="Times New Roman" w:hAnsi="Times New Roman" w:eastAsia="仿宋_GB2312"/>
          <w:bCs/>
          <w:color w:val="auto"/>
          <w:sz w:val="28"/>
          <w:szCs w:val="28"/>
        </w:rPr>
      </w:pPr>
      <w:r>
        <w:rPr>
          <w:rFonts w:hint="eastAsia" w:ascii="Times New Roman" w:hAnsi="Times New Roman" w:eastAsia="仿宋_GB2312"/>
          <w:bCs/>
          <w:color w:val="auto"/>
          <w:sz w:val="28"/>
          <w:szCs w:val="28"/>
          <w:lang w:val="en-US" w:eastAsia="zh-CN"/>
        </w:rPr>
        <w:t>5</w:t>
      </w:r>
      <w:r>
        <w:rPr>
          <w:rFonts w:ascii="Times New Roman" w:hAnsi="Times New Roman" w:eastAsia="仿宋_GB2312"/>
          <w:bCs/>
          <w:color w:val="auto"/>
          <w:sz w:val="28"/>
          <w:szCs w:val="28"/>
        </w:rPr>
        <w:t>、积极整治其他农用地</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按照现代农业发展的需要，以城郊蔬菜生产基地、畜禽养殖生产等生产基地为重点，合理布设设施农用地等其他农用地整治项目，积极推进其他农用地整治，提高其他农用地的综合生产能力。</w:t>
      </w:r>
    </w:p>
    <w:p>
      <w:pPr>
        <w:snapToGrid w:val="0"/>
        <w:spacing w:line="480" w:lineRule="exact"/>
        <w:ind w:firstLine="562"/>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二、宜耕后备土地资源开发</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适度开发宜耕后备土地，增加耕地后备资源；按照全县粮食生产布局安排和耕地占补平衡的总体要求，统筹规划宜耕后备土地开垦，合理划定土地开垦重点区域，以保护和改善生态环境为前提，经科学论证后，有计划地推进实施后备土地资源的开发与利用。对于有条件的地区，在符合水土保持要求的前提下，积极组织实施被占用耕地耕作层剥离工程，鼓励被占用耕地耕作层剥离后异地再利用于新开垦耕地改土培肥建设。</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hint="eastAsia" w:ascii="Times New Roman" w:hAnsi="Times New Roman" w:eastAsia="仿宋_GB2312"/>
          <w:bCs/>
          <w:color w:val="auto"/>
          <w:sz w:val="28"/>
          <w:szCs w:val="28"/>
          <w:lang w:val="en-US" w:eastAsia="zh-CN"/>
        </w:rPr>
        <w:t>1</w:t>
      </w:r>
      <w:r>
        <w:rPr>
          <w:rFonts w:ascii="Times New Roman" w:hAnsi="Times New Roman" w:eastAsia="仿宋_GB2312"/>
          <w:bCs/>
          <w:color w:val="auto"/>
          <w:sz w:val="28"/>
          <w:szCs w:val="28"/>
        </w:rPr>
        <w:t>、宜耕后备土地资源开发</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根据</w:t>
      </w:r>
      <w:r>
        <w:rPr>
          <w:rFonts w:hint="eastAsia" w:ascii="Times New Roman" w:hAnsi="Times New Roman" w:eastAsia="仿宋_GB2312"/>
          <w:bCs/>
          <w:color w:val="auto"/>
          <w:sz w:val="28"/>
          <w:szCs w:val="28"/>
          <w:lang w:eastAsia="zh-CN"/>
        </w:rPr>
        <w:t>平富乡</w:t>
      </w:r>
      <w:r>
        <w:rPr>
          <w:rFonts w:ascii="Times New Roman" w:hAnsi="Times New Roman" w:eastAsia="仿宋_GB2312"/>
          <w:bCs/>
          <w:color w:val="auto"/>
          <w:sz w:val="28"/>
          <w:szCs w:val="28"/>
        </w:rPr>
        <w:t>2020年</w:t>
      </w:r>
      <w:r>
        <w:rPr>
          <w:rFonts w:hint="eastAsia" w:ascii="Times New Roman" w:hAnsi="Times New Roman" w:eastAsia="仿宋_GB2312"/>
          <w:bCs/>
          <w:color w:val="auto"/>
          <w:sz w:val="28"/>
          <w:szCs w:val="28"/>
          <w:lang w:val="en-US" w:eastAsia="zh-CN"/>
        </w:rPr>
        <w:t>国土</w:t>
      </w:r>
      <w:r>
        <w:rPr>
          <w:rFonts w:ascii="Times New Roman" w:hAnsi="Times New Roman" w:eastAsia="仿宋_GB2312"/>
          <w:bCs/>
          <w:color w:val="auto"/>
          <w:sz w:val="28"/>
          <w:szCs w:val="28"/>
        </w:rPr>
        <w:t>变更调查数据成果，可作为耕地后备资源的地类均为其他草地。利用宜耕图斑，同时结合实地调查情况，确定</w:t>
      </w:r>
      <w:r>
        <w:rPr>
          <w:rFonts w:hint="eastAsia" w:ascii="Times New Roman" w:hAnsi="Times New Roman" w:eastAsia="仿宋_GB2312"/>
          <w:bCs/>
          <w:color w:val="auto"/>
          <w:sz w:val="28"/>
          <w:szCs w:val="28"/>
          <w:lang w:eastAsia="zh-CN"/>
        </w:rPr>
        <w:t>平富乡</w:t>
      </w:r>
      <w:r>
        <w:rPr>
          <w:rFonts w:ascii="Times New Roman" w:hAnsi="Times New Roman" w:eastAsia="仿宋_GB2312"/>
          <w:bCs/>
          <w:color w:val="auto"/>
          <w:sz w:val="28"/>
          <w:szCs w:val="28"/>
        </w:rPr>
        <w:t>可作为耕地后备资源面积为</w:t>
      </w:r>
      <w:r>
        <w:rPr>
          <w:rFonts w:hint="eastAsia" w:ascii="Times New Roman" w:hAnsi="Times New Roman" w:eastAsia="仿宋_GB2312" w:cs="Times New Roman"/>
          <w:b w:val="0"/>
          <w:bCs w:val="0"/>
          <w:color w:val="auto"/>
          <w:kern w:val="2"/>
          <w:sz w:val="28"/>
          <w:szCs w:val="28"/>
          <w:highlight w:val="none"/>
          <w:u w:val="none"/>
          <w:lang w:val="en-US" w:eastAsia="zh-CN" w:bidi="ar-SA"/>
        </w:rPr>
        <w:t>24.03</w:t>
      </w:r>
      <w:r>
        <w:rPr>
          <w:rFonts w:ascii="Times New Roman" w:hAnsi="Times New Roman" w:eastAsia="仿宋_GB2312"/>
          <w:bCs/>
          <w:color w:val="auto"/>
          <w:sz w:val="28"/>
          <w:szCs w:val="28"/>
        </w:rPr>
        <w:t>公顷，</w:t>
      </w:r>
      <w:r>
        <w:rPr>
          <w:rFonts w:hint="eastAsia" w:ascii="Times New Roman" w:hAnsi="Times New Roman" w:eastAsia="仿宋_GB2312"/>
          <w:bCs/>
          <w:color w:val="auto"/>
          <w:sz w:val="28"/>
          <w:szCs w:val="28"/>
          <w:lang w:val="en-US" w:eastAsia="zh-CN"/>
        </w:rPr>
        <w:t>可增加耕地19.22公顷，</w:t>
      </w:r>
      <w:r>
        <w:rPr>
          <w:rFonts w:ascii="Times New Roman" w:hAnsi="Times New Roman" w:eastAsia="仿宋_GB2312"/>
          <w:bCs/>
          <w:color w:val="auto"/>
          <w:sz w:val="28"/>
          <w:szCs w:val="28"/>
        </w:rPr>
        <w:t>如表10-4所示：</w:t>
      </w:r>
    </w:p>
    <w:p>
      <w:pPr>
        <w:keepNext/>
        <w:pageBreakBefore w:val="0"/>
        <w:kinsoku/>
        <w:wordWrap/>
        <w:overflowPunct/>
        <w:topLinePunct w:val="0"/>
        <w:bidi w:val="0"/>
        <w:snapToGrid w:val="0"/>
        <w:spacing w:line="480" w:lineRule="exact"/>
        <w:ind w:firstLine="0" w:firstLineChars="0"/>
        <w:jc w:val="center"/>
        <w:rPr>
          <w:rFonts w:ascii="黑体" w:hAnsi="黑体" w:eastAsia="黑体" w:cs="黑体"/>
          <w:bCs/>
          <w:color w:val="auto"/>
          <w:sz w:val="30"/>
          <w:szCs w:val="30"/>
        </w:rPr>
      </w:pPr>
      <w:r>
        <w:rPr>
          <w:rFonts w:hint="eastAsia" w:ascii="Times New Roman" w:hAnsi="Times New Roman" w:eastAsia="仿宋_GB2312" w:cs="微软雅黑"/>
          <w:b/>
          <w:bCs w:val="0"/>
          <w:color w:val="auto"/>
          <w:kern w:val="0"/>
          <w:sz w:val="21"/>
          <w:szCs w:val="21"/>
          <w:lang w:val="en-US" w:eastAsia="zh-CN" w:bidi="zh-CN"/>
        </w:rPr>
        <w:t>表10-4 平富乡宜耕后备资源开发面积统计表</w:t>
      </w:r>
    </w:p>
    <w:p>
      <w:pPr>
        <w:pStyle w:val="26"/>
        <w:pageBreakBefore w:val="0"/>
        <w:kinsoku/>
        <w:wordWrap/>
        <w:overflowPunct/>
        <w:topLinePunct w:val="0"/>
        <w:bidi w:val="0"/>
        <w:spacing w:line="480" w:lineRule="exact"/>
        <w:ind w:firstLine="482"/>
        <w:jc w:val="right"/>
        <w:rPr>
          <w:rFonts w:hint="default" w:ascii="Times New Roman" w:hAnsi="Times New Roman" w:eastAsia="仿宋_GB2312" w:cs="Times New Roman"/>
          <w:b/>
          <w:color w:val="auto"/>
          <w:sz w:val="24"/>
          <w:szCs w:val="24"/>
        </w:rPr>
      </w:pPr>
      <w:r>
        <w:rPr>
          <w:rFonts w:ascii="Times New Roman" w:hAnsi="Times New Roman" w:eastAsia="仿宋_GB2312" w:cs="Times New Roman"/>
          <w:b/>
          <w:color w:val="auto"/>
          <w:sz w:val="24"/>
          <w:szCs w:val="24"/>
        </w:rPr>
        <w:t xml:space="preserve">                                            </w:t>
      </w:r>
      <w:r>
        <w:rPr>
          <w:rFonts w:hint="eastAsia" w:ascii="Times New Roman" w:hAnsi="Times New Roman" w:eastAsia="仿宋_GB2312" w:cs="微软雅黑"/>
          <w:b/>
          <w:bCs w:val="0"/>
          <w:color w:val="auto"/>
          <w:kern w:val="0"/>
          <w:sz w:val="21"/>
          <w:szCs w:val="21"/>
          <w:lang w:val="en-US" w:eastAsia="zh-CN" w:bidi="zh-CN"/>
        </w:rPr>
        <w:t>单位：公顷、%</w:t>
      </w:r>
    </w:p>
    <w:tbl>
      <w:tblPr>
        <w:tblStyle w:val="19"/>
        <w:tblW w:w="4998" w:type="pct"/>
        <w:tblInd w:w="0" w:type="dxa"/>
        <w:tblLayout w:type="autofit"/>
        <w:tblCellMar>
          <w:top w:w="0" w:type="dxa"/>
          <w:left w:w="108" w:type="dxa"/>
          <w:bottom w:w="0" w:type="dxa"/>
          <w:right w:w="108" w:type="dxa"/>
        </w:tblCellMar>
      </w:tblPr>
      <w:tblGrid>
        <w:gridCol w:w="2530"/>
        <w:gridCol w:w="1914"/>
        <w:gridCol w:w="2326"/>
        <w:gridCol w:w="1749"/>
      </w:tblGrid>
      <w:tr>
        <w:tblPrEx>
          <w:tblCellMar>
            <w:top w:w="0" w:type="dxa"/>
            <w:left w:w="108" w:type="dxa"/>
            <w:bottom w:w="0" w:type="dxa"/>
            <w:right w:w="108" w:type="dxa"/>
          </w:tblCellMar>
        </w:tblPrEx>
        <w:trPr>
          <w:trHeight w:val="472" w:hRule="atLeast"/>
          <w:tblHeader/>
        </w:trPr>
        <w:tc>
          <w:tcPr>
            <w:tcW w:w="1654" w:type="pct"/>
            <w:tcBorders>
              <w:top w:val="single" w:color="000000" w:sz="4" w:space="0"/>
              <w:left w:val="single" w:color="000000" w:sz="4" w:space="0"/>
              <w:bottom w:val="single" w:color="auto"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行政区名称</w:t>
            </w:r>
          </w:p>
        </w:tc>
        <w:tc>
          <w:tcPr>
            <w:tcW w:w="1293" w:type="pct"/>
            <w:tcBorders>
              <w:top w:val="single" w:color="000000" w:sz="4" w:space="0"/>
              <w:left w:val="single" w:color="000000" w:sz="4" w:space="0"/>
              <w:bottom w:val="single" w:color="auto"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hint="default"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开发面积（公顷）</w:t>
            </w:r>
          </w:p>
        </w:tc>
        <w:tc>
          <w:tcPr>
            <w:tcW w:w="1025"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hint="default"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增加耕地面积（公顷）</w:t>
            </w:r>
          </w:p>
        </w:tc>
        <w:tc>
          <w:tcPr>
            <w:tcW w:w="1025" w:type="pct"/>
            <w:tcBorders>
              <w:top w:val="single" w:color="000000" w:sz="4" w:space="0"/>
              <w:left w:val="single" w:color="auto"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hint="default"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占比</w:t>
            </w:r>
          </w:p>
        </w:tc>
      </w:tr>
      <w:tr>
        <w:tblPrEx>
          <w:tblCellMar>
            <w:top w:w="0" w:type="dxa"/>
            <w:left w:w="108" w:type="dxa"/>
            <w:bottom w:w="0" w:type="dxa"/>
            <w:right w:w="108" w:type="dxa"/>
          </w:tblCellMar>
        </w:tblPrEx>
        <w:trPr>
          <w:trHeight w:val="392" w:hRule="atLeast"/>
        </w:trPr>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00" w:firstLineChars="200"/>
              <w:jc w:val="left"/>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Arial" w:hAnsi="Arial" w:eastAsia="宋体" w:cs="Arial"/>
                <w:i w:val="0"/>
                <w:iCs w:val="0"/>
                <w:color w:val="000000"/>
                <w:kern w:val="0"/>
                <w:sz w:val="20"/>
                <w:szCs w:val="20"/>
                <w:u w:val="none"/>
                <w:lang w:val="en-US" w:eastAsia="zh-CN" w:bidi="ar"/>
              </w:rPr>
              <w:t>平富乡大潭村委会</w:t>
            </w:r>
          </w:p>
        </w:tc>
        <w:tc>
          <w:tcPr>
            <w:tcW w:w="12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0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Arial" w:hAnsi="Arial" w:eastAsia="宋体" w:cs="Arial"/>
                <w:i w:val="0"/>
                <w:iCs w:val="0"/>
                <w:color w:val="000000"/>
                <w:kern w:val="0"/>
                <w:sz w:val="20"/>
                <w:szCs w:val="20"/>
                <w:u w:val="none"/>
                <w:lang w:val="en-US" w:eastAsia="zh-CN" w:bidi="ar"/>
              </w:rPr>
              <w:t>1.68</w:t>
            </w:r>
          </w:p>
        </w:tc>
        <w:tc>
          <w:tcPr>
            <w:tcW w:w="17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00" w:firstLineChars="200"/>
              <w:jc w:val="center"/>
              <w:textAlignment w:val="bottom"/>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1.35</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00" w:firstLineChars="200"/>
              <w:jc w:val="right"/>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Arial" w:hAnsi="Arial" w:eastAsia="宋体" w:cs="Arial"/>
                <w:i w:val="0"/>
                <w:iCs w:val="0"/>
                <w:color w:val="000000"/>
                <w:kern w:val="0"/>
                <w:sz w:val="20"/>
                <w:szCs w:val="20"/>
                <w:u w:val="none"/>
                <w:lang w:val="en-US" w:eastAsia="zh-CN" w:bidi="ar"/>
              </w:rPr>
              <w:t>6.96%</w:t>
            </w:r>
          </w:p>
        </w:tc>
      </w:tr>
      <w:tr>
        <w:tblPrEx>
          <w:tblCellMar>
            <w:top w:w="0" w:type="dxa"/>
            <w:left w:w="108" w:type="dxa"/>
            <w:bottom w:w="0" w:type="dxa"/>
            <w:right w:w="108" w:type="dxa"/>
          </w:tblCellMar>
        </w:tblPrEx>
        <w:trPr>
          <w:trHeight w:val="392" w:hRule="atLeast"/>
        </w:trPr>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00" w:firstLineChars="200"/>
              <w:jc w:val="left"/>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Arial" w:hAnsi="Arial" w:eastAsia="宋体" w:cs="Arial"/>
                <w:i w:val="0"/>
                <w:iCs w:val="0"/>
                <w:color w:val="000000"/>
                <w:kern w:val="0"/>
                <w:sz w:val="20"/>
                <w:szCs w:val="20"/>
                <w:u w:val="none"/>
                <w:lang w:val="en-US" w:eastAsia="zh-CN" w:bidi="ar"/>
              </w:rPr>
              <w:t>平富乡横坑村委会</w:t>
            </w:r>
          </w:p>
        </w:tc>
        <w:tc>
          <w:tcPr>
            <w:tcW w:w="12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0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Arial" w:hAnsi="Arial" w:eastAsia="宋体" w:cs="Arial"/>
                <w:i w:val="0"/>
                <w:iCs w:val="0"/>
                <w:color w:val="000000"/>
                <w:kern w:val="0"/>
                <w:sz w:val="20"/>
                <w:szCs w:val="20"/>
                <w:u w:val="none"/>
                <w:lang w:val="en-US" w:eastAsia="zh-CN" w:bidi="ar"/>
              </w:rPr>
              <w:t>3.57</w:t>
            </w:r>
          </w:p>
        </w:tc>
        <w:tc>
          <w:tcPr>
            <w:tcW w:w="17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00" w:firstLineChars="200"/>
              <w:jc w:val="center"/>
              <w:textAlignment w:val="bottom"/>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2.85</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00" w:firstLineChars="200"/>
              <w:jc w:val="right"/>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Arial" w:hAnsi="Arial" w:eastAsia="宋体" w:cs="Arial"/>
                <w:i w:val="0"/>
                <w:iCs w:val="0"/>
                <w:color w:val="000000"/>
                <w:kern w:val="0"/>
                <w:sz w:val="20"/>
                <w:szCs w:val="20"/>
                <w:u w:val="none"/>
                <w:lang w:val="en-US" w:eastAsia="zh-CN" w:bidi="ar"/>
              </w:rPr>
              <w:t>14.76%</w:t>
            </w:r>
          </w:p>
        </w:tc>
      </w:tr>
      <w:tr>
        <w:tblPrEx>
          <w:tblCellMar>
            <w:top w:w="0" w:type="dxa"/>
            <w:left w:w="108" w:type="dxa"/>
            <w:bottom w:w="0" w:type="dxa"/>
            <w:right w:w="108" w:type="dxa"/>
          </w:tblCellMar>
        </w:tblPrEx>
        <w:trPr>
          <w:trHeight w:val="392" w:hRule="atLeast"/>
        </w:trPr>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00" w:firstLineChars="200"/>
              <w:jc w:val="left"/>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Arial" w:hAnsi="Arial" w:eastAsia="宋体" w:cs="Arial"/>
                <w:i w:val="0"/>
                <w:iCs w:val="0"/>
                <w:color w:val="000000"/>
                <w:kern w:val="0"/>
                <w:sz w:val="20"/>
                <w:szCs w:val="20"/>
                <w:u w:val="none"/>
                <w:lang w:val="en-US" w:eastAsia="zh-CN" w:bidi="ar"/>
              </w:rPr>
              <w:t>平富乡平富村委会</w:t>
            </w:r>
          </w:p>
        </w:tc>
        <w:tc>
          <w:tcPr>
            <w:tcW w:w="12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00" w:firstLineChars="200"/>
              <w:jc w:val="center"/>
              <w:textAlignment w:val="bottom"/>
              <w:rPr>
                <w:rFonts w:hint="default" w:ascii="Times New Roman" w:hAnsi="Times New Roman" w:eastAsia="仿宋_GB2312" w:cs="微软雅黑"/>
                <w:b w:val="0"/>
                <w:bCs/>
                <w:color w:val="auto"/>
                <w:kern w:val="0"/>
                <w:sz w:val="21"/>
                <w:szCs w:val="21"/>
                <w:lang w:val="en-US" w:eastAsia="zh-CN" w:bidi="zh-CN"/>
              </w:rPr>
            </w:pPr>
            <w:r>
              <w:rPr>
                <w:rFonts w:hint="default" w:ascii="Arial" w:hAnsi="Arial" w:eastAsia="宋体" w:cs="Arial"/>
                <w:i w:val="0"/>
                <w:iCs w:val="0"/>
                <w:color w:val="000000"/>
                <w:kern w:val="0"/>
                <w:sz w:val="20"/>
                <w:szCs w:val="20"/>
                <w:u w:val="none"/>
                <w:lang w:val="en-US" w:eastAsia="zh-CN" w:bidi="ar"/>
              </w:rPr>
              <w:t>4.</w:t>
            </w:r>
            <w:r>
              <w:rPr>
                <w:rFonts w:hint="eastAsia" w:ascii="Arial" w:hAnsi="Arial" w:cs="Arial"/>
                <w:i w:val="0"/>
                <w:iCs w:val="0"/>
                <w:color w:val="000000"/>
                <w:kern w:val="0"/>
                <w:sz w:val="20"/>
                <w:szCs w:val="20"/>
                <w:u w:val="none"/>
                <w:lang w:val="en-US" w:eastAsia="zh-CN" w:bidi="ar"/>
              </w:rPr>
              <w:t>51</w:t>
            </w:r>
          </w:p>
        </w:tc>
        <w:tc>
          <w:tcPr>
            <w:tcW w:w="17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00" w:firstLineChars="200"/>
              <w:jc w:val="center"/>
              <w:textAlignment w:val="bottom"/>
              <w:rPr>
                <w:rFonts w:hint="default" w:ascii="Arial" w:hAnsi="Arial" w:eastAsia="宋体" w:cs="Arial"/>
                <w:i w:val="0"/>
                <w:iCs w:val="0"/>
                <w:color w:val="000000"/>
                <w:kern w:val="0"/>
                <w:sz w:val="20"/>
                <w:szCs w:val="20"/>
                <w:u w:val="none"/>
                <w:lang w:val="en-US" w:eastAsia="zh-CN" w:bidi="ar"/>
              </w:rPr>
            </w:pPr>
            <w:r>
              <w:rPr>
                <w:rFonts w:hint="eastAsia" w:ascii="Arial" w:hAnsi="Arial" w:cs="Arial"/>
                <w:i w:val="0"/>
                <w:iCs w:val="0"/>
                <w:color w:val="000000"/>
                <w:kern w:val="0"/>
                <w:sz w:val="20"/>
                <w:szCs w:val="20"/>
                <w:u w:val="none"/>
                <w:lang w:val="en-US" w:eastAsia="zh-CN" w:bidi="ar"/>
              </w:rPr>
              <w:t>3.61</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00" w:firstLineChars="200"/>
              <w:jc w:val="right"/>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Arial" w:hAnsi="Arial" w:eastAsia="宋体" w:cs="Arial"/>
                <w:i w:val="0"/>
                <w:iCs w:val="0"/>
                <w:color w:val="000000"/>
                <w:kern w:val="0"/>
                <w:sz w:val="20"/>
                <w:szCs w:val="20"/>
                <w:u w:val="none"/>
                <w:lang w:val="en-US" w:eastAsia="zh-CN" w:bidi="ar"/>
              </w:rPr>
              <w:t>18.65%</w:t>
            </w:r>
          </w:p>
        </w:tc>
      </w:tr>
      <w:tr>
        <w:tblPrEx>
          <w:tblCellMar>
            <w:top w:w="0" w:type="dxa"/>
            <w:left w:w="108" w:type="dxa"/>
            <w:bottom w:w="0" w:type="dxa"/>
            <w:right w:w="108" w:type="dxa"/>
          </w:tblCellMar>
        </w:tblPrEx>
        <w:trPr>
          <w:trHeight w:val="392" w:hRule="atLeast"/>
        </w:trPr>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00" w:firstLineChars="200"/>
              <w:jc w:val="left"/>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Arial" w:hAnsi="Arial" w:eastAsia="宋体" w:cs="Arial"/>
                <w:i w:val="0"/>
                <w:iCs w:val="0"/>
                <w:color w:val="000000"/>
                <w:kern w:val="0"/>
                <w:sz w:val="20"/>
                <w:szCs w:val="20"/>
                <w:u w:val="none"/>
                <w:lang w:val="en-US" w:eastAsia="zh-CN" w:bidi="ar"/>
              </w:rPr>
              <w:t>平富乡上寨村委会</w:t>
            </w:r>
          </w:p>
        </w:tc>
        <w:tc>
          <w:tcPr>
            <w:tcW w:w="12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0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Arial" w:hAnsi="Arial" w:eastAsia="宋体" w:cs="Arial"/>
                <w:i w:val="0"/>
                <w:iCs w:val="0"/>
                <w:color w:val="000000"/>
                <w:kern w:val="0"/>
                <w:sz w:val="20"/>
                <w:szCs w:val="20"/>
                <w:u w:val="none"/>
                <w:lang w:val="en-US" w:eastAsia="zh-CN" w:bidi="ar"/>
              </w:rPr>
              <w:t>5.27</w:t>
            </w:r>
          </w:p>
        </w:tc>
        <w:tc>
          <w:tcPr>
            <w:tcW w:w="17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00" w:firstLineChars="200"/>
              <w:jc w:val="center"/>
              <w:textAlignment w:val="bottom"/>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4.21</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00" w:firstLineChars="200"/>
              <w:jc w:val="right"/>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Arial" w:hAnsi="Arial" w:eastAsia="宋体" w:cs="Arial"/>
                <w:i w:val="0"/>
                <w:iCs w:val="0"/>
                <w:color w:val="000000"/>
                <w:kern w:val="0"/>
                <w:sz w:val="20"/>
                <w:szCs w:val="20"/>
                <w:u w:val="none"/>
                <w:lang w:val="en-US" w:eastAsia="zh-CN" w:bidi="ar"/>
              </w:rPr>
              <w:t>21.78%</w:t>
            </w:r>
          </w:p>
        </w:tc>
      </w:tr>
      <w:tr>
        <w:tblPrEx>
          <w:tblCellMar>
            <w:top w:w="0" w:type="dxa"/>
            <w:left w:w="108" w:type="dxa"/>
            <w:bottom w:w="0" w:type="dxa"/>
            <w:right w:w="108" w:type="dxa"/>
          </w:tblCellMar>
        </w:tblPrEx>
        <w:trPr>
          <w:trHeight w:val="400" w:hRule="atLeast"/>
        </w:trPr>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00" w:firstLineChars="200"/>
              <w:jc w:val="left"/>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Arial" w:hAnsi="Arial" w:eastAsia="宋体" w:cs="Arial"/>
                <w:i w:val="0"/>
                <w:iCs w:val="0"/>
                <w:color w:val="000000"/>
                <w:kern w:val="0"/>
                <w:sz w:val="20"/>
                <w:szCs w:val="20"/>
                <w:u w:val="none"/>
                <w:lang w:val="en-US" w:eastAsia="zh-CN" w:bidi="ar"/>
              </w:rPr>
              <w:t>平富乡向前村委会</w:t>
            </w:r>
          </w:p>
        </w:tc>
        <w:tc>
          <w:tcPr>
            <w:tcW w:w="12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0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Arial" w:hAnsi="Arial" w:eastAsia="宋体" w:cs="Arial"/>
                <w:i w:val="0"/>
                <w:iCs w:val="0"/>
                <w:color w:val="000000"/>
                <w:kern w:val="0"/>
                <w:sz w:val="20"/>
                <w:szCs w:val="20"/>
                <w:u w:val="none"/>
                <w:lang w:val="en-US" w:eastAsia="zh-CN" w:bidi="ar"/>
              </w:rPr>
              <w:t>5.63</w:t>
            </w:r>
          </w:p>
        </w:tc>
        <w:tc>
          <w:tcPr>
            <w:tcW w:w="17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00" w:firstLineChars="200"/>
              <w:jc w:val="center"/>
              <w:textAlignment w:val="bottom"/>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4.51</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00" w:firstLineChars="200"/>
              <w:jc w:val="right"/>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Arial" w:hAnsi="Arial" w:eastAsia="宋体" w:cs="Arial"/>
                <w:i w:val="0"/>
                <w:iCs w:val="0"/>
                <w:color w:val="000000"/>
                <w:kern w:val="0"/>
                <w:sz w:val="20"/>
                <w:szCs w:val="20"/>
                <w:u w:val="none"/>
                <w:lang w:val="en-US" w:eastAsia="zh-CN" w:bidi="ar"/>
              </w:rPr>
              <w:t>23.29%</w:t>
            </w:r>
          </w:p>
        </w:tc>
      </w:tr>
      <w:tr>
        <w:tblPrEx>
          <w:tblCellMar>
            <w:top w:w="0" w:type="dxa"/>
            <w:left w:w="108" w:type="dxa"/>
            <w:bottom w:w="0" w:type="dxa"/>
            <w:right w:w="108" w:type="dxa"/>
          </w:tblCellMar>
        </w:tblPrEx>
        <w:trPr>
          <w:trHeight w:val="400" w:hRule="atLeast"/>
        </w:trPr>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00" w:firstLineChars="200"/>
              <w:jc w:val="left"/>
              <w:textAlignment w:val="bottom"/>
              <w:rPr>
                <w:rFonts w:hint="default" w:ascii="Arial" w:hAnsi="Arial" w:eastAsia="宋体" w:cs="Arial"/>
                <w:i w:val="0"/>
                <w:iCs w:val="0"/>
                <w:color w:val="000000"/>
                <w:kern w:val="2"/>
                <w:sz w:val="20"/>
                <w:szCs w:val="20"/>
                <w:u w:val="none"/>
                <w:lang w:val="en-US" w:eastAsia="zh-CN" w:bidi="ar-SA"/>
              </w:rPr>
            </w:pPr>
            <w:r>
              <w:rPr>
                <w:rFonts w:hint="default" w:ascii="Arial" w:hAnsi="Arial" w:eastAsia="宋体" w:cs="Arial"/>
                <w:i w:val="0"/>
                <w:iCs w:val="0"/>
                <w:color w:val="000000"/>
                <w:kern w:val="0"/>
                <w:sz w:val="20"/>
                <w:szCs w:val="20"/>
                <w:u w:val="none"/>
                <w:lang w:val="en-US" w:eastAsia="zh-CN" w:bidi="ar"/>
              </w:rPr>
              <w:t>平富乡庄前村委会</w:t>
            </w:r>
          </w:p>
        </w:tc>
        <w:tc>
          <w:tcPr>
            <w:tcW w:w="12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00" w:firstLineChars="200"/>
              <w:jc w:val="center"/>
              <w:textAlignment w:val="bottom"/>
              <w:rPr>
                <w:rFonts w:hint="default" w:ascii="Times New Roman" w:hAnsi="Times New Roman" w:eastAsia="仿宋_GB2312" w:cs="微软雅黑"/>
                <w:b w:val="0"/>
                <w:bCs/>
                <w:color w:val="auto"/>
                <w:kern w:val="0"/>
                <w:sz w:val="21"/>
                <w:szCs w:val="21"/>
                <w:lang w:val="en-US" w:eastAsia="zh-CN" w:bidi="zh-CN"/>
              </w:rPr>
            </w:pPr>
            <w:r>
              <w:rPr>
                <w:rFonts w:hint="default" w:ascii="Arial" w:hAnsi="Arial" w:eastAsia="宋体" w:cs="Arial"/>
                <w:i w:val="0"/>
                <w:iCs w:val="0"/>
                <w:color w:val="000000"/>
                <w:kern w:val="0"/>
                <w:sz w:val="20"/>
                <w:szCs w:val="20"/>
                <w:u w:val="none"/>
                <w:lang w:val="en-US" w:eastAsia="zh-CN" w:bidi="ar"/>
              </w:rPr>
              <w:t>3.37</w:t>
            </w:r>
          </w:p>
        </w:tc>
        <w:tc>
          <w:tcPr>
            <w:tcW w:w="17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00" w:firstLineChars="200"/>
              <w:jc w:val="center"/>
              <w:textAlignment w:val="bottom"/>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2.70</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00" w:firstLineChars="200"/>
              <w:jc w:val="right"/>
              <w:textAlignment w:val="bottom"/>
              <w:rPr>
                <w:rFonts w:hint="default" w:ascii="Times New Roman" w:hAnsi="Times New Roman" w:eastAsia="仿宋_GB2312" w:cs="微软雅黑"/>
                <w:b w:val="0"/>
                <w:bCs/>
                <w:color w:val="auto"/>
                <w:kern w:val="0"/>
                <w:sz w:val="21"/>
                <w:szCs w:val="21"/>
                <w:lang w:val="en-US" w:eastAsia="zh-CN" w:bidi="zh-CN"/>
              </w:rPr>
            </w:pPr>
            <w:r>
              <w:rPr>
                <w:rFonts w:hint="default" w:ascii="Arial" w:hAnsi="Arial" w:eastAsia="宋体" w:cs="Arial"/>
                <w:i w:val="0"/>
                <w:iCs w:val="0"/>
                <w:color w:val="000000"/>
                <w:kern w:val="0"/>
                <w:sz w:val="20"/>
                <w:szCs w:val="20"/>
                <w:u w:val="none"/>
                <w:lang w:val="en-US" w:eastAsia="zh-CN" w:bidi="ar"/>
              </w:rPr>
              <w:t>13.95%</w:t>
            </w:r>
          </w:p>
        </w:tc>
      </w:tr>
      <w:tr>
        <w:tblPrEx>
          <w:tblCellMar>
            <w:top w:w="0" w:type="dxa"/>
            <w:left w:w="108" w:type="dxa"/>
            <w:bottom w:w="0" w:type="dxa"/>
            <w:right w:w="108" w:type="dxa"/>
          </w:tblCellMar>
        </w:tblPrEx>
        <w:trPr>
          <w:trHeight w:val="400" w:hRule="atLeast"/>
        </w:trPr>
        <w:tc>
          <w:tcPr>
            <w:tcW w:w="165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00" w:firstLineChars="200"/>
              <w:jc w:val="left"/>
              <w:textAlignment w:val="bottom"/>
              <w:rPr>
                <w:rFonts w:hint="default" w:ascii="Arial" w:hAnsi="Arial" w:eastAsia="宋体" w:cs="Arial"/>
                <w:i w:val="0"/>
                <w:iCs w:val="0"/>
                <w:color w:val="000000"/>
                <w:kern w:val="0"/>
                <w:sz w:val="20"/>
                <w:szCs w:val="20"/>
                <w:u w:val="none"/>
                <w:lang w:val="en-US" w:eastAsia="zh-CN" w:bidi="ar"/>
              </w:rPr>
            </w:pPr>
            <w:r>
              <w:rPr>
                <w:rFonts w:hint="eastAsia" w:ascii="Arial" w:hAnsi="Arial" w:cs="Arial"/>
                <w:i w:val="0"/>
                <w:iCs w:val="0"/>
                <w:color w:val="000000"/>
                <w:kern w:val="0"/>
                <w:sz w:val="20"/>
                <w:szCs w:val="20"/>
                <w:u w:val="none"/>
                <w:lang w:val="en-US" w:eastAsia="zh-CN" w:bidi="ar"/>
              </w:rPr>
              <w:t>合计</w:t>
            </w:r>
          </w:p>
        </w:tc>
        <w:tc>
          <w:tcPr>
            <w:tcW w:w="1293"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00" w:firstLineChars="200"/>
              <w:jc w:val="center"/>
              <w:textAlignment w:val="bottom"/>
              <w:rPr>
                <w:rFonts w:hint="default" w:ascii="Times New Roman" w:hAnsi="Times New Roman" w:eastAsia="仿宋_GB2312" w:cs="微软雅黑"/>
                <w:b w:val="0"/>
                <w:bCs/>
                <w:color w:val="auto"/>
                <w:kern w:val="0"/>
                <w:sz w:val="21"/>
                <w:szCs w:val="21"/>
                <w:lang w:val="en-US" w:eastAsia="zh-CN" w:bidi="zh-CN"/>
              </w:rPr>
            </w:pPr>
            <w:r>
              <w:rPr>
                <w:rFonts w:hint="default" w:ascii="Arial" w:hAnsi="Arial" w:eastAsia="宋体" w:cs="Arial"/>
                <w:i w:val="0"/>
                <w:iCs w:val="0"/>
                <w:color w:val="000000"/>
                <w:kern w:val="0"/>
                <w:sz w:val="20"/>
                <w:szCs w:val="20"/>
                <w:u w:val="none"/>
                <w:lang w:val="en-US" w:eastAsia="zh-CN" w:bidi="ar"/>
              </w:rPr>
              <w:t>24.</w:t>
            </w:r>
            <w:r>
              <w:rPr>
                <w:rFonts w:hint="eastAsia" w:ascii="Arial" w:hAnsi="Arial" w:cs="Arial"/>
                <w:i w:val="0"/>
                <w:iCs w:val="0"/>
                <w:color w:val="000000"/>
                <w:kern w:val="0"/>
                <w:sz w:val="20"/>
                <w:szCs w:val="20"/>
                <w:u w:val="none"/>
                <w:lang w:val="en-US" w:eastAsia="zh-CN" w:bidi="ar"/>
              </w:rPr>
              <w:t>03</w:t>
            </w:r>
          </w:p>
        </w:tc>
        <w:tc>
          <w:tcPr>
            <w:tcW w:w="174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00" w:firstLineChars="200"/>
              <w:jc w:val="center"/>
              <w:textAlignment w:val="bottom"/>
              <w:rPr>
                <w:rFonts w:hint="default" w:ascii="Arial" w:hAnsi="Arial" w:eastAsia="宋体" w:cs="Arial"/>
                <w:i w:val="0"/>
                <w:iCs w:val="0"/>
                <w:color w:val="000000"/>
                <w:kern w:val="0"/>
                <w:sz w:val="20"/>
                <w:szCs w:val="20"/>
                <w:u w:val="none"/>
                <w:lang w:val="en-US" w:eastAsia="zh-CN" w:bidi="ar"/>
              </w:rPr>
            </w:pPr>
            <w:r>
              <w:rPr>
                <w:rFonts w:hint="default" w:ascii="Arial" w:hAnsi="Arial" w:eastAsia="宋体" w:cs="Arial"/>
                <w:i w:val="0"/>
                <w:iCs w:val="0"/>
                <w:color w:val="000000"/>
                <w:kern w:val="0"/>
                <w:sz w:val="20"/>
                <w:szCs w:val="20"/>
                <w:u w:val="none"/>
                <w:lang w:val="en-US" w:eastAsia="zh-CN" w:bidi="ar"/>
              </w:rPr>
              <w:t>19.</w:t>
            </w:r>
            <w:r>
              <w:rPr>
                <w:rFonts w:hint="eastAsia" w:ascii="Arial" w:hAnsi="Arial" w:cs="Arial"/>
                <w:i w:val="0"/>
                <w:iCs w:val="0"/>
                <w:color w:val="000000"/>
                <w:kern w:val="0"/>
                <w:sz w:val="20"/>
                <w:szCs w:val="20"/>
                <w:u w:val="none"/>
                <w:lang w:val="en-US" w:eastAsia="zh-CN" w:bidi="ar"/>
              </w:rPr>
              <w:t>22</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00" w:firstLineChars="200"/>
              <w:jc w:val="right"/>
              <w:textAlignment w:val="bottom"/>
              <w:rPr>
                <w:rFonts w:hint="default" w:ascii="Times New Roman" w:hAnsi="Times New Roman" w:eastAsia="仿宋_GB2312" w:cs="微软雅黑"/>
                <w:b w:val="0"/>
                <w:bCs/>
                <w:color w:val="auto"/>
                <w:kern w:val="0"/>
                <w:sz w:val="21"/>
                <w:szCs w:val="21"/>
                <w:lang w:val="en-US" w:eastAsia="zh-CN" w:bidi="zh-CN"/>
              </w:rPr>
            </w:pPr>
            <w:r>
              <w:rPr>
                <w:rFonts w:hint="default" w:ascii="Arial" w:hAnsi="Arial" w:eastAsia="宋体" w:cs="Arial"/>
                <w:i w:val="0"/>
                <w:iCs w:val="0"/>
                <w:color w:val="000000"/>
                <w:kern w:val="0"/>
                <w:sz w:val="20"/>
                <w:szCs w:val="20"/>
                <w:u w:val="none"/>
                <w:lang w:val="en-US" w:eastAsia="zh-CN" w:bidi="ar"/>
              </w:rPr>
              <w:t>100.00%</w:t>
            </w:r>
          </w:p>
        </w:tc>
      </w:tr>
    </w:tbl>
    <w:p>
      <w:pPr>
        <w:snapToGrid w:val="0"/>
        <w:spacing w:line="480" w:lineRule="exact"/>
        <w:ind w:firstLine="562"/>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三、农村建设用地整治</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hint="eastAsia" w:ascii="Times New Roman" w:hAnsi="Times New Roman" w:eastAsia="仿宋_GB2312"/>
          <w:bCs/>
          <w:color w:val="auto"/>
          <w:sz w:val="28"/>
          <w:szCs w:val="28"/>
          <w:lang w:val="en-US" w:eastAsia="zh-CN"/>
        </w:rPr>
        <w:t>1</w:t>
      </w:r>
      <w:r>
        <w:rPr>
          <w:rFonts w:ascii="Times New Roman" w:hAnsi="Times New Roman" w:eastAsia="仿宋_GB2312"/>
          <w:bCs/>
          <w:color w:val="auto"/>
          <w:sz w:val="28"/>
          <w:szCs w:val="28"/>
        </w:rPr>
        <w:t>、农村居民点整理</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根据</w:t>
      </w:r>
      <w:r>
        <w:rPr>
          <w:rFonts w:hint="eastAsia" w:ascii="Times New Roman" w:hAnsi="Times New Roman" w:eastAsia="仿宋_GB2312"/>
          <w:bCs/>
          <w:color w:val="auto"/>
          <w:sz w:val="28"/>
          <w:szCs w:val="28"/>
          <w:lang w:eastAsia="zh-CN"/>
        </w:rPr>
        <w:t>平富乡</w:t>
      </w:r>
      <w:r>
        <w:rPr>
          <w:rFonts w:ascii="Times New Roman" w:hAnsi="Times New Roman" w:eastAsia="仿宋_GB2312"/>
          <w:bCs/>
          <w:color w:val="auto"/>
          <w:sz w:val="28"/>
          <w:szCs w:val="28"/>
        </w:rPr>
        <w:t>2020年</w:t>
      </w:r>
      <w:r>
        <w:rPr>
          <w:rFonts w:hint="eastAsia" w:ascii="Times New Roman" w:hAnsi="Times New Roman" w:eastAsia="仿宋_GB2312"/>
          <w:bCs/>
          <w:color w:val="auto"/>
          <w:sz w:val="28"/>
          <w:szCs w:val="28"/>
          <w:lang w:val="en-US" w:eastAsia="zh-CN"/>
        </w:rPr>
        <w:t>国土</w:t>
      </w:r>
      <w:r>
        <w:rPr>
          <w:rFonts w:ascii="Times New Roman" w:hAnsi="Times New Roman" w:eastAsia="仿宋_GB2312"/>
          <w:bCs/>
          <w:color w:val="auto"/>
          <w:sz w:val="28"/>
          <w:szCs w:val="28"/>
        </w:rPr>
        <w:t>变更调查数据成果结合乡镇农村居民点现状，通过分析规划乡镇发展方向，农村居民建房需求等情况，分析得出</w:t>
      </w:r>
      <w:r>
        <w:rPr>
          <w:rFonts w:hint="eastAsia" w:ascii="Times New Roman" w:hAnsi="Times New Roman" w:eastAsia="仿宋_GB2312"/>
          <w:bCs/>
          <w:color w:val="auto"/>
          <w:sz w:val="28"/>
          <w:szCs w:val="28"/>
          <w:lang w:eastAsia="zh-CN"/>
        </w:rPr>
        <w:t>平富乡</w:t>
      </w:r>
      <w:r>
        <w:rPr>
          <w:rFonts w:ascii="Times New Roman" w:hAnsi="Times New Roman" w:eastAsia="仿宋_GB2312"/>
          <w:bCs/>
          <w:color w:val="auto"/>
          <w:sz w:val="28"/>
          <w:szCs w:val="28"/>
        </w:rPr>
        <w:t>农村居民点整理范围。</w:t>
      </w:r>
    </w:p>
    <w:p>
      <w:pPr>
        <w:pStyle w:val="17"/>
        <w:pageBreakBefore w:val="0"/>
        <w:kinsoku/>
        <w:wordWrap/>
        <w:overflowPunct/>
        <w:topLinePunct w:val="0"/>
        <w:bidi w:val="0"/>
        <w:spacing w:after="0" w:line="480" w:lineRule="exact"/>
        <w:ind w:firstLine="560" w:firstLineChars="200"/>
        <w:rPr>
          <w:rFonts w:ascii="Times New Roman" w:hAnsi="Times New Roman" w:eastAsia="仿宋_GB2312"/>
          <w:bCs/>
          <w:color w:val="auto"/>
          <w:sz w:val="28"/>
          <w:szCs w:val="28"/>
        </w:rPr>
      </w:pPr>
      <w:r>
        <w:rPr>
          <w:rFonts w:hint="eastAsia" w:ascii="Times New Roman" w:hAnsi="Times New Roman" w:eastAsia="仿宋_GB2312"/>
          <w:bCs/>
          <w:color w:val="auto"/>
          <w:sz w:val="28"/>
          <w:szCs w:val="28"/>
          <w:lang w:eastAsia="zh-CN"/>
        </w:rPr>
        <w:t>平富乡</w:t>
      </w:r>
      <w:r>
        <w:rPr>
          <w:rFonts w:ascii="Times New Roman" w:hAnsi="Times New Roman" w:eastAsia="仿宋_GB2312"/>
          <w:bCs/>
          <w:color w:val="auto"/>
          <w:sz w:val="28"/>
          <w:szCs w:val="28"/>
        </w:rPr>
        <w:t>农村居民点整理范围共调出留白用地</w:t>
      </w:r>
      <w:r>
        <w:rPr>
          <w:rFonts w:hint="eastAsia" w:ascii="Times New Roman" w:hAnsi="Times New Roman" w:eastAsia="仿宋_GB2312"/>
          <w:bCs/>
          <w:color w:val="auto"/>
          <w:sz w:val="28"/>
          <w:szCs w:val="28"/>
          <w:lang w:val="en-US" w:eastAsia="zh-CN"/>
        </w:rPr>
        <w:t>23.56</w:t>
      </w:r>
      <w:r>
        <w:rPr>
          <w:rFonts w:ascii="Times New Roman" w:hAnsi="Times New Roman" w:eastAsia="仿宋_GB2312"/>
          <w:bCs/>
          <w:color w:val="auto"/>
          <w:sz w:val="28"/>
          <w:szCs w:val="28"/>
        </w:rPr>
        <w:t>公顷，留白用地转为乔木林地、果园、水田、旱地等地类面积较大</w:t>
      </w:r>
      <w:r>
        <w:rPr>
          <w:rFonts w:hint="eastAsia" w:ascii="Times New Roman" w:hAnsi="Times New Roman" w:eastAsia="仿宋_GB2312"/>
          <w:bCs/>
          <w:color w:val="auto"/>
          <w:sz w:val="28"/>
          <w:szCs w:val="28"/>
          <w:lang w:eastAsia="zh-CN"/>
        </w:rPr>
        <w:t>，</w:t>
      </w:r>
      <w:r>
        <w:rPr>
          <w:rFonts w:hint="eastAsia" w:ascii="Times New Roman" w:hAnsi="Times New Roman" w:eastAsia="仿宋_GB2312"/>
          <w:bCs/>
          <w:color w:val="auto"/>
          <w:sz w:val="28"/>
          <w:szCs w:val="28"/>
          <w:lang w:val="en-US" w:eastAsia="zh-CN"/>
        </w:rPr>
        <w:t>新增耕地7.90公顷</w:t>
      </w:r>
      <w:r>
        <w:rPr>
          <w:rFonts w:hint="eastAsia" w:ascii="Times New Roman" w:hAnsi="Times New Roman" w:eastAsia="仿宋_GB2312"/>
          <w:bCs/>
          <w:color w:val="auto"/>
          <w:sz w:val="28"/>
          <w:szCs w:val="28"/>
          <w:lang w:eastAsia="zh-CN"/>
        </w:rPr>
        <w:t>。</w:t>
      </w:r>
      <w:r>
        <w:rPr>
          <w:rFonts w:ascii="Times New Roman" w:hAnsi="Times New Roman" w:eastAsia="仿宋_GB2312"/>
          <w:bCs/>
          <w:color w:val="auto"/>
          <w:sz w:val="28"/>
          <w:szCs w:val="28"/>
        </w:rPr>
        <w:t>其中转为</w:t>
      </w:r>
      <w:r>
        <w:rPr>
          <w:rFonts w:hint="eastAsia" w:ascii="Times New Roman" w:hAnsi="Times New Roman" w:eastAsia="仿宋_GB2312"/>
          <w:bCs/>
          <w:color w:val="auto"/>
          <w:sz w:val="28"/>
          <w:szCs w:val="28"/>
          <w:lang w:val="en-US" w:eastAsia="zh-CN"/>
        </w:rPr>
        <w:t>水田4.77</w:t>
      </w:r>
      <w:r>
        <w:rPr>
          <w:rFonts w:ascii="Times New Roman" w:hAnsi="Times New Roman" w:eastAsia="仿宋_GB2312"/>
          <w:bCs/>
          <w:color w:val="auto"/>
          <w:sz w:val="28"/>
          <w:szCs w:val="28"/>
        </w:rPr>
        <w:t>公顷</w:t>
      </w:r>
      <w:r>
        <w:rPr>
          <w:rFonts w:hint="eastAsia" w:ascii="Times New Roman" w:hAnsi="Times New Roman" w:eastAsia="仿宋_GB2312"/>
          <w:bCs/>
          <w:color w:val="auto"/>
          <w:sz w:val="28"/>
          <w:szCs w:val="28"/>
          <w:lang w:eastAsia="zh-CN"/>
        </w:rPr>
        <w:t>，</w:t>
      </w:r>
      <w:r>
        <w:rPr>
          <w:rFonts w:ascii="Times New Roman" w:hAnsi="Times New Roman" w:eastAsia="仿宋_GB2312"/>
          <w:bCs/>
          <w:color w:val="auto"/>
          <w:sz w:val="28"/>
          <w:szCs w:val="28"/>
        </w:rPr>
        <w:t>占比</w:t>
      </w:r>
      <w:r>
        <w:rPr>
          <w:rFonts w:hint="eastAsia" w:ascii="Times New Roman" w:hAnsi="Times New Roman" w:eastAsia="仿宋_GB2312"/>
          <w:bCs/>
          <w:color w:val="auto"/>
          <w:sz w:val="28"/>
          <w:szCs w:val="28"/>
          <w:lang w:val="en-US" w:eastAsia="zh-CN"/>
        </w:rPr>
        <w:t>20.26</w:t>
      </w:r>
      <w:r>
        <w:rPr>
          <w:rFonts w:ascii="Times New Roman" w:hAnsi="Times New Roman" w:eastAsia="仿宋_GB2312"/>
          <w:bCs/>
          <w:color w:val="auto"/>
          <w:sz w:val="28"/>
          <w:szCs w:val="28"/>
        </w:rPr>
        <w:t>%</w:t>
      </w:r>
      <w:r>
        <w:rPr>
          <w:rFonts w:hint="eastAsia" w:ascii="Times New Roman" w:hAnsi="Times New Roman" w:eastAsia="仿宋_GB2312"/>
          <w:bCs/>
          <w:color w:val="auto"/>
          <w:sz w:val="28"/>
          <w:szCs w:val="28"/>
          <w:lang w:val="en-US" w:eastAsia="zh-CN"/>
        </w:rPr>
        <w:t>；</w:t>
      </w:r>
      <w:r>
        <w:rPr>
          <w:rFonts w:ascii="Times New Roman" w:hAnsi="Times New Roman" w:eastAsia="仿宋_GB2312"/>
          <w:bCs/>
          <w:color w:val="auto"/>
          <w:sz w:val="28"/>
          <w:szCs w:val="28"/>
        </w:rPr>
        <w:t>旱地</w:t>
      </w:r>
      <w:r>
        <w:rPr>
          <w:rFonts w:hint="eastAsia" w:ascii="Times New Roman" w:hAnsi="Times New Roman" w:eastAsia="仿宋_GB2312"/>
          <w:bCs/>
          <w:color w:val="auto"/>
          <w:sz w:val="28"/>
          <w:szCs w:val="28"/>
          <w:lang w:val="en-US" w:eastAsia="zh-CN"/>
        </w:rPr>
        <w:t>3.13</w:t>
      </w:r>
      <w:r>
        <w:rPr>
          <w:rFonts w:ascii="Times New Roman" w:hAnsi="Times New Roman" w:eastAsia="仿宋_GB2312"/>
          <w:bCs/>
          <w:color w:val="auto"/>
          <w:sz w:val="28"/>
          <w:szCs w:val="28"/>
        </w:rPr>
        <w:t>公顷</w:t>
      </w:r>
      <w:r>
        <w:rPr>
          <w:rFonts w:hint="eastAsia" w:ascii="Times New Roman" w:hAnsi="Times New Roman" w:eastAsia="仿宋_GB2312"/>
          <w:bCs/>
          <w:color w:val="auto"/>
          <w:sz w:val="28"/>
          <w:szCs w:val="28"/>
          <w:lang w:eastAsia="zh-CN"/>
        </w:rPr>
        <w:t>，</w:t>
      </w:r>
      <w:r>
        <w:rPr>
          <w:rFonts w:ascii="Times New Roman" w:hAnsi="Times New Roman" w:eastAsia="仿宋_GB2312"/>
          <w:bCs/>
          <w:color w:val="auto"/>
          <w:sz w:val="28"/>
          <w:szCs w:val="28"/>
        </w:rPr>
        <w:t>占比</w:t>
      </w:r>
      <w:r>
        <w:rPr>
          <w:rFonts w:hint="eastAsia" w:ascii="Times New Roman" w:hAnsi="Times New Roman" w:eastAsia="仿宋_GB2312"/>
          <w:bCs/>
          <w:color w:val="auto"/>
          <w:sz w:val="28"/>
          <w:szCs w:val="28"/>
          <w:lang w:val="en-US" w:eastAsia="zh-CN"/>
        </w:rPr>
        <w:t>13.29</w:t>
      </w:r>
      <w:r>
        <w:rPr>
          <w:rFonts w:ascii="Times New Roman" w:hAnsi="Times New Roman" w:eastAsia="仿宋_GB2312"/>
          <w:bCs/>
          <w:color w:val="auto"/>
          <w:sz w:val="28"/>
          <w:szCs w:val="28"/>
        </w:rPr>
        <w:t>%</w:t>
      </w:r>
      <w:r>
        <w:rPr>
          <w:rFonts w:hint="eastAsia" w:ascii="Times New Roman" w:hAnsi="Times New Roman" w:eastAsia="仿宋_GB2312"/>
          <w:bCs/>
          <w:color w:val="auto"/>
          <w:sz w:val="28"/>
          <w:szCs w:val="28"/>
          <w:lang w:val="en-US" w:eastAsia="zh-CN"/>
        </w:rPr>
        <w:t>；</w:t>
      </w:r>
      <w:r>
        <w:rPr>
          <w:rFonts w:ascii="Times New Roman" w:hAnsi="Times New Roman" w:eastAsia="仿宋_GB2312"/>
          <w:bCs/>
          <w:color w:val="auto"/>
          <w:sz w:val="28"/>
          <w:szCs w:val="28"/>
        </w:rPr>
        <w:t>乔木林地</w:t>
      </w:r>
      <w:r>
        <w:rPr>
          <w:rFonts w:hint="eastAsia" w:ascii="Times New Roman" w:hAnsi="Times New Roman" w:eastAsia="仿宋_GB2312"/>
          <w:bCs/>
          <w:color w:val="auto"/>
          <w:sz w:val="28"/>
          <w:szCs w:val="28"/>
          <w:lang w:val="en-US" w:eastAsia="zh-CN"/>
        </w:rPr>
        <w:t>9.14</w:t>
      </w:r>
      <w:r>
        <w:rPr>
          <w:rFonts w:ascii="Times New Roman" w:hAnsi="Times New Roman" w:eastAsia="仿宋_GB2312"/>
          <w:bCs/>
          <w:color w:val="auto"/>
          <w:sz w:val="28"/>
          <w:szCs w:val="28"/>
        </w:rPr>
        <w:t>公顷，占整治范围的</w:t>
      </w:r>
      <w:r>
        <w:rPr>
          <w:rFonts w:hint="eastAsia" w:ascii="Times New Roman" w:hAnsi="Times New Roman" w:eastAsia="仿宋_GB2312"/>
          <w:bCs/>
          <w:color w:val="auto"/>
          <w:sz w:val="28"/>
          <w:szCs w:val="28"/>
          <w:lang w:val="en-US" w:eastAsia="zh-CN"/>
        </w:rPr>
        <w:t>38.78%；</w:t>
      </w:r>
      <w:r>
        <w:rPr>
          <w:rFonts w:ascii="Times New Roman" w:hAnsi="Times New Roman" w:eastAsia="仿宋_GB2312"/>
          <w:bCs/>
          <w:color w:val="auto"/>
          <w:sz w:val="28"/>
          <w:szCs w:val="28"/>
        </w:rPr>
        <w:t>转为</w:t>
      </w:r>
      <w:r>
        <w:rPr>
          <w:rFonts w:hint="eastAsia" w:ascii="Times New Roman" w:hAnsi="Times New Roman" w:eastAsia="仿宋_GB2312"/>
          <w:bCs/>
          <w:color w:val="auto"/>
          <w:sz w:val="28"/>
          <w:szCs w:val="28"/>
          <w:lang w:val="en-US" w:eastAsia="zh-CN"/>
        </w:rPr>
        <w:t>灌木林地0.07</w:t>
      </w:r>
      <w:r>
        <w:rPr>
          <w:rFonts w:ascii="Times New Roman" w:hAnsi="Times New Roman" w:eastAsia="仿宋_GB2312"/>
          <w:bCs/>
          <w:color w:val="auto"/>
          <w:sz w:val="28"/>
          <w:szCs w:val="28"/>
        </w:rPr>
        <w:t>公顷占比</w:t>
      </w:r>
      <w:r>
        <w:rPr>
          <w:rFonts w:hint="eastAsia" w:ascii="Times New Roman" w:hAnsi="Times New Roman" w:eastAsia="仿宋_GB2312"/>
          <w:bCs/>
          <w:color w:val="auto"/>
          <w:sz w:val="28"/>
          <w:szCs w:val="28"/>
          <w:lang w:val="en-US" w:eastAsia="zh-CN"/>
        </w:rPr>
        <w:t>0.32</w:t>
      </w:r>
      <w:r>
        <w:rPr>
          <w:rFonts w:ascii="Times New Roman" w:hAnsi="Times New Roman" w:eastAsia="仿宋_GB2312"/>
          <w:bCs/>
          <w:color w:val="auto"/>
          <w:sz w:val="28"/>
          <w:szCs w:val="28"/>
        </w:rPr>
        <w:t>%</w:t>
      </w:r>
      <w:r>
        <w:rPr>
          <w:rFonts w:hint="eastAsia" w:ascii="Times New Roman" w:hAnsi="Times New Roman" w:eastAsia="仿宋_GB2312"/>
          <w:bCs/>
          <w:color w:val="auto"/>
          <w:sz w:val="28"/>
          <w:szCs w:val="28"/>
          <w:lang w:val="en-US" w:eastAsia="zh-CN"/>
        </w:rPr>
        <w:t>；</w:t>
      </w:r>
      <w:r>
        <w:rPr>
          <w:rFonts w:ascii="Times New Roman" w:hAnsi="Times New Roman" w:eastAsia="仿宋_GB2312"/>
          <w:bCs/>
          <w:color w:val="auto"/>
          <w:sz w:val="28"/>
          <w:szCs w:val="28"/>
        </w:rPr>
        <w:t>转为</w:t>
      </w:r>
      <w:r>
        <w:rPr>
          <w:rFonts w:hint="eastAsia" w:ascii="Times New Roman" w:hAnsi="Times New Roman" w:eastAsia="仿宋_GB2312"/>
          <w:bCs/>
          <w:color w:val="auto"/>
          <w:sz w:val="28"/>
          <w:szCs w:val="28"/>
          <w:lang w:val="en-US" w:eastAsia="zh-CN"/>
        </w:rPr>
        <w:t>其他林地1.14</w:t>
      </w:r>
      <w:r>
        <w:rPr>
          <w:rFonts w:ascii="Times New Roman" w:hAnsi="Times New Roman" w:eastAsia="仿宋_GB2312"/>
          <w:bCs/>
          <w:color w:val="auto"/>
          <w:sz w:val="28"/>
          <w:szCs w:val="28"/>
        </w:rPr>
        <w:t>公顷占比</w:t>
      </w:r>
      <w:r>
        <w:rPr>
          <w:rFonts w:hint="eastAsia" w:ascii="Times New Roman" w:hAnsi="Times New Roman" w:eastAsia="仿宋_GB2312"/>
          <w:bCs/>
          <w:color w:val="auto"/>
          <w:sz w:val="28"/>
          <w:szCs w:val="28"/>
          <w:lang w:val="en-US" w:eastAsia="zh-CN"/>
        </w:rPr>
        <w:t>4.83</w:t>
      </w:r>
      <w:r>
        <w:rPr>
          <w:rFonts w:ascii="Times New Roman" w:hAnsi="Times New Roman" w:eastAsia="仿宋_GB2312"/>
          <w:bCs/>
          <w:color w:val="auto"/>
          <w:sz w:val="28"/>
          <w:szCs w:val="28"/>
        </w:rPr>
        <w:t>%</w:t>
      </w:r>
      <w:r>
        <w:rPr>
          <w:rFonts w:hint="eastAsia" w:ascii="Times New Roman" w:hAnsi="Times New Roman" w:eastAsia="仿宋_GB2312"/>
          <w:bCs/>
          <w:color w:val="auto"/>
          <w:sz w:val="28"/>
          <w:szCs w:val="28"/>
          <w:lang w:val="en-US" w:eastAsia="zh-CN"/>
        </w:rPr>
        <w:t>；</w:t>
      </w:r>
      <w:r>
        <w:rPr>
          <w:rFonts w:ascii="Times New Roman" w:hAnsi="Times New Roman" w:eastAsia="仿宋_GB2312"/>
          <w:bCs/>
          <w:color w:val="auto"/>
          <w:sz w:val="28"/>
          <w:szCs w:val="28"/>
        </w:rPr>
        <w:t>转为</w:t>
      </w:r>
      <w:r>
        <w:rPr>
          <w:rFonts w:hint="eastAsia" w:ascii="Times New Roman" w:hAnsi="Times New Roman" w:eastAsia="仿宋_GB2312"/>
          <w:bCs/>
          <w:color w:val="auto"/>
          <w:sz w:val="28"/>
          <w:szCs w:val="28"/>
          <w:lang w:val="en-US" w:eastAsia="zh-CN"/>
        </w:rPr>
        <w:t>竹林地2.70</w:t>
      </w:r>
      <w:r>
        <w:rPr>
          <w:rFonts w:ascii="Times New Roman" w:hAnsi="Times New Roman" w:eastAsia="仿宋_GB2312"/>
          <w:bCs/>
          <w:color w:val="auto"/>
          <w:sz w:val="28"/>
          <w:szCs w:val="28"/>
        </w:rPr>
        <w:t>公顷</w:t>
      </w:r>
      <w:r>
        <w:rPr>
          <w:rFonts w:hint="eastAsia" w:ascii="Times New Roman" w:hAnsi="Times New Roman" w:eastAsia="仿宋_GB2312"/>
          <w:bCs/>
          <w:color w:val="auto"/>
          <w:sz w:val="28"/>
          <w:szCs w:val="28"/>
          <w:lang w:eastAsia="zh-CN"/>
        </w:rPr>
        <w:t>，</w:t>
      </w:r>
      <w:r>
        <w:rPr>
          <w:rFonts w:ascii="Times New Roman" w:hAnsi="Times New Roman" w:eastAsia="仿宋_GB2312"/>
          <w:bCs/>
          <w:color w:val="auto"/>
          <w:sz w:val="28"/>
          <w:szCs w:val="28"/>
        </w:rPr>
        <w:t>占比</w:t>
      </w:r>
      <w:r>
        <w:rPr>
          <w:rFonts w:hint="eastAsia" w:ascii="Times New Roman" w:hAnsi="Times New Roman" w:eastAsia="仿宋_GB2312"/>
          <w:bCs/>
          <w:color w:val="auto"/>
          <w:sz w:val="28"/>
          <w:szCs w:val="28"/>
          <w:lang w:val="en-US" w:eastAsia="zh-CN"/>
        </w:rPr>
        <w:t>11.46</w:t>
      </w:r>
      <w:r>
        <w:rPr>
          <w:rFonts w:ascii="Times New Roman" w:hAnsi="Times New Roman" w:eastAsia="仿宋_GB2312"/>
          <w:bCs/>
          <w:color w:val="auto"/>
          <w:sz w:val="28"/>
          <w:szCs w:val="28"/>
        </w:rPr>
        <w:t>%</w:t>
      </w:r>
      <w:r>
        <w:rPr>
          <w:rFonts w:hint="eastAsia" w:ascii="Times New Roman" w:hAnsi="Times New Roman" w:eastAsia="仿宋_GB2312"/>
          <w:bCs/>
          <w:color w:val="auto"/>
          <w:sz w:val="28"/>
          <w:szCs w:val="28"/>
          <w:lang w:val="en-US" w:eastAsia="zh-CN"/>
        </w:rPr>
        <w:t>；</w:t>
      </w:r>
      <w:r>
        <w:rPr>
          <w:rFonts w:ascii="Times New Roman" w:hAnsi="Times New Roman" w:eastAsia="仿宋_GB2312"/>
          <w:bCs/>
          <w:color w:val="auto"/>
          <w:sz w:val="28"/>
          <w:szCs w:val="28"/>
        </w:rPr>
        <w:t>如表10-</w:t>
      </w:r>
      <w:r>
        <w:rPr>
          <w:rFonts w:hint="eastAsia" w:ascii="Times New Roman" w:hAnsi="Times New Roman" w:eastAsia="仿宋_GB2312"/>
          <w:bCs/>
          <w:color w:val="auto"/>
          <w:sz w:val="28"/>
          <w:szCs w:val="28"/>
          <w:lang w:val="en-US" w:eastAsia="zh-CN"/>
        </w:rPr>
        <w:t>5</w:t>
      </w:r>
      <w:r>
        <w:rPr>
          <w:rFonts w:ascii="Times New Roman" w:hAnsi="Times New Roman" w:eastAsia="仿宋_GB2312"/>
          <w:bCs/>
          <w:color w:val="auto"/>
          <w:sz w:val="28"/>
          <w:szCs w:val="28"/>
        </w:rPr>
        <w:t>所示：</w:t>
      </w:r>
    </w:p>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10-5 平富乡农村居民点整理地类情况统计表</w:t>
      </w:r>
    </w:p>
    <w:p>
      <w:pPr>
        <w:keepNext/>
        <w:pageBreakBefore w:val="0"/>
        <w:kinsoku/>
        <w:wordWrap/>
        <w:overflowPunct/>
        <w:topLinePunct w:val="0"/>
        <w:bidi w:val="0"/>
        <w:snapToGrid w:val="0"/>
        <w:spacing w:line="480" w:lineRule="exact"/>
        <w:ind w:firstLine="0" w:firstLineChars="0"/>
        <w:jc w:val="right"/>
        <w:rPr>
          <w:rFonts w:hint="default"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单位：公顷</w:t>
      </w:r>
    </w:p>
    <w:tbl>
      <w:tblPr>
        <w:tblStyle w:val="19"/>
        <w:tblW w:w="4998" w:type="pct"/>
        <w:tblInd w:w="0" w:type="dxa"/>
        <w:tblLayout w:type="autofit"/>
        <w:tblCellMar>
          <w:top w:w="0" w:type="dxa"/>
          <w:left w:w="108" w:type="dxa"/>
          <w:bottom w:w="0" w:type="dxa"/>
          <w:right w:w="108" w:type="dxa"/>
        </w:tblCellMar>
      </w:tblPr>
      <w:tblGrid>
        <w:gridCol w:w="3059"/>
        <w:gridCol w:w="2420"/>
        <w:gridCol w:w="3040"/>
      </w:tblGrid>
      <w:tr>
        <w:tblPrEx>
          <w:tblCellMar>
            <w:top w:w="0" w:type="dxa"/>
            <w:left w:w="108" w:type="dxa"/>
            <w:bottom w:w="0" w:type="dxa"/>
            <w:right w:w="108" w:type="dxa"/>
          </w:tblCellMar>
        </w:tblPrEx>
        <w:trPr>
          <w:trHeight w:val="255" w:hRule="atLeast"/>
          <w:tblHeader/>
        </w:trPr>
        <w:tc>
          <w:tcPr>
            <w:tcW w:w="17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整治后地类</w:t>
            </w:r>
          </w:p>
        </w:tc>
        <w:tc>
          <w:tcPr>
            <w:tcW w:w="14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面积</w:t>
            </w:r>
          </w:p>
        </w:tc>
        <w:tc>
          <w:tcPr>
            <w:tcW w:w="17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占比</w:t>
            </w:r>
          </w:p>
        </w:tc>
      </w:tr>
      <w:tr>
        <w:tblPrEx>
          <w:tblCellMar>
            <w:top w:w="0" w:type="dxa"/>
            <w:left w:w="108" w:type="dxa"/>
            <w:bottom w:w="0" w:type="dxa"/>
            <w:right w:w="108" w:type="dxa"/>
          </w:tblCellMar>
        </w:tblPrEx>
        <w:trPr>
          <w:trHeight w:val="255" w:hRule="atLeast"/>
        </w:trPr>
        <w:tc>
          <w:tcPr>
            <w:tcW w:w="17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微软雅黑"/>
                <w:b w:val="0"/>
                <w:bCs/>
                <w:color w:val="auto"/>
                <w:kern w:val="0"/>
                <w:sz w:val="21"/>
                <w:szCs w:val="21"/>
                <w:lang w:val="en-US" w:eastAsia="zh-CN" w:bidi="zh-CN"/>
              </w:rPr>
            </w:pPr>
            <w:r>
              <w:rPr>
                <w:rFonts w:hint="eastAsia" w:ascii="Times New Roman" w:hAnsi="Times New Roman" w:eastAsia="仿宋_GB2312" w:cs="微软雅黑"/>
                <w:b w:val="0"/>
                <w:bCs/>
                <w:color w:val="auto"/>
                <w:kern w:val="0"/>
                <w:sz w:val="21"/>
                <w:szCs w:val="21"/>
                <w:lang w:val="en-US" w:eastAsia="zh-CN" w:bidi="zh-CN"/>
              </w:rPr>
              <w:t>茶园</w:t>
            </w:r>
          </w:p>
        </w:tc>
        <w:tc>
          <w:tcPr>
            <w:tcW w:w="24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 xml:space="preserve">0.50 </w:t>
            </w:r>
          </w:p>
        </w:tc>
        <w:tc>
          <w:tcPr>
            <w:tcW w:w="30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2.12%</w:t>
            </w:r>
          </w:p>
        </w:tc>
      </w:tr>
      <w:tr>
        <w:tblPrEx>
          <w:tblCellMar>
            <w:top w:w="0" w:type="dxa"/>
            <w:left w:w="108" w:type="dxa"/>
            <w:bottom w:w="0" w:type="dxa"/>
            <w:right w:w="108" w:type="dxa"/>
          </w:tblCellMar>
        </w:tblPrEx>
        <w:trPr>
          <w:trHeight w:val="255" w:hRule="atLeast"/>
        </w:trPr>
        <w:tc>
          <w:tcPr>
            <w:tcW w:w="17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微软雅黑"/>
                <w:b w:val="0"/>
                <w:bCs/>
                <w:color w:val="auto"/>
                <w:kern w:val="0"/>
                <w:sz w:val="21"/>
                <w:szCs w:val="21"/>
                <w:lang w:val="en-US" w:eastAsia="zh-CN" w:bidi="zh-CN"/>
              </w:rPr>
            </w:pPr>
            <w:r>
              <w:rPr>
                <w:rFonts w:hint="eastAsia" w:ascii="Times New Roman" w:hAnsi="Times New Roman" w:eastAsia="仿宋_GB2312" w:cs="微软雅黑"/>
                <w:b w:val="0"/>
                <w:bCs/>
                <w:color w:val="auto"/>
                <w:kern w:val="0"/>
                <w:sz w:val="21"/>
                <w:szCs w:val="21"/>
                <w:lang w:val="en-US" w:eastAsia="zh-CN" w:bidi="zh-CN"/>
              </w:rPr>
              <w:t>沟渠</w:t>
            </w:r>
          </w:p>
        </w:tc>
        <w:tc>
          <w:tcPr>
            <w:tcW w:w="24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 xml:space="preserve">0.22 </w:t>
            </w:r>
          </w:p>
        </w:tc>
        <w:tc>
          <w:tcPr>
            <w:tcW w:w="30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0.93%</w:t>
            </w:r>
          </w:p>
        </w:tc>
      </w:tr>
      <w:tr>
        <w:tblPrEx>
          <w:tblCellMar>
            <w:top w:w="0" w:type="dxa"/>
            <w:left w:w="108" w:type="dxa"/>
            <w:bottom w:w="0" w:type="dxa"/>
            <w:right w:w="108" w:type="dxa"/>
          </w:tblCellMar>
        </w:tblPrEx>
        <w:trPr>
          <w:trHeight w:val="255" w:hRule="atLeast"/>
        </w:trPr>
        <w:tc>
          <w:tcPr>
            <w:tcW w:w="17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微软雅黑"/>
                <w:b w:val="0"/>
                <w:bCs/>
                <w:color w:val="auto"/>
                <w:kern w:val="0"/>
                <w:sz w:val="21"/>
                <w:szCs w:val="21"/>
                <w:lang w:val="en-US" w:eastAsia="zh-CN" w:bidi="zh-CN"/>
              </w:rPr>
            </w:pPr>
            <w:r>
              <w:rPr>
                <w:rFonts w:hint="eastAsia" w:ascii="Times New Roman" w:hAnsi="Times New Roman" w:eastAsia="仿宋_GB2312" w:cs="微软雅黑"/>
                <w:b w:val="0"/>
                <w:bCs/>
                <w:color w:val="auto"/>
                <w:kern w:val="0"/>
                <w:sz w:val="21"/>
                <w:szCs w:val="21"/>
                <w:lang w:val="en-US" w:eastAsia="zh-CN" w:bidi="zh-CN"/>
              </w:rPr>
              <w:t>灌木林地</w:t>
            </w:r>
          </w:p>
        </w:tc>
        <w:tc>
          <w:tcPr>
            <w:tcW w:w="24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 xml:space="preserve">0.07 </w:t>
            </w:r>
          </w:p>
        </w:tc>
        <w:tc>
          <w:tcPr>
            <w:tcW w:w="30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0.32%</w:t>
            </w:r>
          </w:p>
        </w:tc>
      </w:tr>
      <w:tr>
        <w:tblPrEx>
          <w:tblCellMar>
            <w:top w:w="0" w:type="dxa"/>
            <w:left w:w="108" w:type="dxa"/>
            <w:bottom w:w="0" w:type="dxa"/>
            <w:right w:w="108" w:type="dxa"/>
          </w:tblCellMar>
        </w:tblPrEx>
        <w:trPr>
          <w:trHeight w:val="255" w:hRule="atLeast"/>
        </w:trPr>
        <w:tc>
          <w:tcPr>
            <w:tcW w:w="17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微软雅黑"/>
                <w:b w:val="0"/>
                <w:bCs/>
                <w:color w:val="auto"/>
                <w:kern w:val="0"/>
                <w:sz w:val="21"/>
                <w:szCs w:val="21"/>
                <w:lang w:val="en-US" w:eastAsia="zh-CN" w:bidi="zh-CN"/>
              </w:rPr>
            </w:pPr>
            <w:r>
              <w:rPr>
                <w:rFonts w:hint="eastAsia" w:ascii="Times New Roman" w:hAnsi="Times New Roman" w:eastAsia="仿宋_GB2312" w:cs="微软雅黑"/>
                <w:b w:val="0"/>
                <w:bCs/>
                <w:color w:val="auto"/>
                <w:kern w:val="0"/>
                <w:sz w:val="21"/>
                <w:szCs w:val="21"/>
                <w:lang w:val="en-US" w:eastAsia="zh-CN" w:bidi="zh-CN"/>
              </w:rPr>
              <w:t>果园</w:t>
            </w:r>
          </w:p>
        </w:tc>
        <w:tc>
          <w:tcPr>
            <w:tcW w:w="24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 xml:space="preserve">0.68 </w:t>
            </w:r>
          </w:p>
        </w:tc>
        <w:tc>
          <w:tcPr>
            <w:tcW w:w="30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2.88%</w:t>
            </w:r>
          </w:p>
        </w:tc>
      </w:tr>
      <w:tr>
        <w:tblPrEx>
          <w:tblCellMar>
            <w:top w:w="0" w:type="dxa"/>
            <w:left w:w="108" w:type="dxa"/>
            <w:bottom w:w="0" w:type="dxa"/>
            <w:right w:w="108" w:type="dxa"/>
          </w:tblCellMar>
        </w:tblPrEx>
        <w:trPr>
          <w:trHeight w:val="255" w:hRule="atLeast"/>
        </w:trPr>
        <w:tc>
          <w:tcPr>
            <w:tcW w:w="17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微软雅黑"/>
                <w:b w:val="0"/>
                <w:bCs/>
                <w:color w:val="auto"/>
                <w:kern w:val="0"/>
                <w:sz w:val="21"/>
                <w:szCs w:val="21"/>
                <w:lang w:val="en-US" w:eastAsia="zh-CN" w:bidi="zh-CN"/>
              </w:rPr>
            </w:pPr>
            <w:r>
              <w:rPr>
                <w:rFonts w:hint="eastAsia" w:ascii="Times New Roman" w:hAnsi="Times New Roman" w:eastAsia="仿宋_GB2312" w:cs="微软雅黑"/>
                <w:b w:val="0"/>
                <w:bCs/>
                <w:color w:val="auto"/>
                <w:kern w:val="0"/>
                <w:sz w:val="21"/>
                <w:szCs w:val="21"/>
                <w:lang w:val="en-US" w:eastAsia="zh-CN" w:bidi="zh-CN"/>
              </w:rPr>
              <w:t>旱地</w:t>
            </w:r>
          </w:p>
        </w:tc>
        <w:tc>
          <w:tcPr>
            <w:tcW w:w="24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 xml:space="preserve">3.13 </w:t>
            </w:r>
          </w:p>
        </w:tc>
        <w:tc>
          <w:tcPr>
            <w:tcW w:w="30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13.29%</w:t>
            </w:r>
          </w:p>
        </w:tc>
      </w:tr>
      <w:tr>
        <w:tblPrEx>
          <w:tblCellMar>
            <w:top w:w="0" w:type="dxa"/>
            <w:left w:w="108" w:type="dxa"/>
            <w:bottom w:w="0" w:type="dxa"/>
            <w:right w:w="108" w:type="dxa"/>
          </w:tblCellMar>
        </w:tblPrEx>
        <w:trPr>
          <w:trHeight w:val="255" w:hRule="atLeast"/>
        </w:trPr>
        <w:tc>
          <w:tcPr>
            <w:tcW w:w="17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微软雅黑"/>
                <w:b w:val="0"/>
                <w:bCs/>
                <w:color w:val="auto"/>
                <w:kern w:val="0"/>
                <w:sz w:val="21"/>
                <w:szCs w:val="21"/>
                <w:lang w:val="en-US" w:eastAsia="zh-CN" w:bidi="zh-CN"/>
              </w:rPr>
            </w:pPr>
            <w:r>
              <w:rPr>
                <w:rFonts w:hint="eastAsia" w:ascii="Times New Roman" w:hAnsi="Times New Roman" w:eastAsia="仿宋_GB2312" w:cs="微软雅黑"/>
                <w:b w:val="0"/>
                <w:bCs/>
                <w:color w:val="auto"/>
                <w:kern w:val="0"/>
                <w:sz w:val="21"/>
                <w:szCs w:val="21"/>
                <w:lang w:val="en-US" w:eastAsia="zh-CN" w:bidi="zh-CN"/>
              </w:rPr>
              <w:t>河流水面</w:t>
            </w:r>
          </w:p>
        </w:tc>
        <w:tc>
          <w:tcPr>
            <w:tcW w:w="24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 xml:space="preserve">0.53 </w:t>
            </w:r>
          </w:p>
        </w:tc>
        <w:tc>
          <w:tcPr>
            <w:tcW w:w="30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2.27%</w:t>
            </w:r>
          </w:p>
        </w:tc>
      </w:tr>
      <w:tr>
        <w:tblPrEx>
          <w:tblCellMar>
            <w:top w:w="0" w:type="dxa"/>
            <w:left w:w="108" w:type="dxa"/>
            <w:bottom w:w="0" w:type="dxa"/>
            <w:right w:w="108" w:type="dxa"/>
          </w:tblCellMar>
        </w:tblPrEx>
        <w:trPr>
          <w:trHeight w:val="255" w:hRule="atLeast"/>
        </w:trPr>
        <w:tc>
          <w:tcPr>
            <w:tcW w:w="17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微软雅黑"/>
                <w:b w:val="0"/>
                <w:bCs/>
                <w:color w:val="auto"/>
                <w:kern w:val="0"/>
                <w:sz w:val="21"/>
                <w:szCs w:val="21"/>
                <w:lang w:val="en-US" w:eastAsia="zh-CN" w:bidi="zh-CN"/>
              </w:rPr>
            </w:pPr>
            <w:r>
              <w:rPr>
                <w:rFonts w:hint="eastAsia" w:ascii="Times New Roman" w:hAnsi="Times New Roman" w:eastAsia="仿宋_GB2312" w:cs="微软雅黑"/>
                <w:b w:val="0"/>
                <w:bCs/>
                <w:color w:val="auto"/>
                <w:kern w:val="0"/>
                <w:sz w:val="21"/>
                <w:szCs w:val="21"/>
                <w:lang w:val="en-US" w:eastAsia="zh-CN" w:bidi="zh-CN"/>
              </w:rPr>
              <w:t>坑塘水面</w:t>
            </w:r>
          </w:p>
        </w:tc>
        <w:tc>
          <w:tcPr>
            <w:tcW w:w="24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 xml:space="preserve">0.20 </w:t>
            </w:r>
          </w:p>
        </w:tc>
        <w:tc>
          <w:tcPr>
            <w:tcW w:w="30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0.85%</w:t>
            </w:r>
          </w:p>
        </w:tc>
      </w:tr>
      <w:tr>
        <w:tblPrEx>
          <w:tblCellMar>
            <w:top w:w="0" w:type="dxa"/>
            <w:left w:w="108" w:type="dxa"/>
            <w:bottom w:w="0" w:type="dxa"/>
            <w:right w:w="108" w:type="dxa"/>
          </w:tblCellMar>
        </w:tblPrEx>
        <w:trPr>
          <w:trHeight w:val="255" w:hRule="atLeast"/>
        </w:trPr>
        <w:tc>
          <w:tcPr>
            <w:tcW w:w="17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pageBreakBefore w:val="0"/>
              <w:kinsoku/>
              <w:wordWrap/>
              <w:overflowPunct/>
              <w:topLinePunct w:val="0"/>
              <w:bidi w:val="0"/>
              <w:snapToGrid w:val="0"/>
              <w:spacing w:line="480" w:lineRule="exact"/>
              <w:ind w:firstLine="0" w:firstLineChars="0"/>
              <w:jc w:val="center"/>
              <w:rPr>
                <w:rFonts w:hint="default" w:ascii="Times New Roman" w:hAnsi="Times New Roman" w:eastAsia="仿宋_GB2312" w:cs="微软雅黑"/>
                <w:b w:val="0"/>
                <w:bCs/>
                <w:color w:val="auto"/>
                <w:kern w:val="0"/>
                <w:sz w:val="21"/>
                <w:szCs w:val="21"/>
                <w:lang w:val="en-US" w:eastAsia="zh-CN" w:bidi="zh-CN"/>
              </w:rPr>
            </w:pPr>
            <w:r>
              <w:rPr>
                <w:rFonts w:hint="eastAsia" w:ascii="Times New Roman" w:hAnsi="Times New Roman" w:eastAsia="仿宋_GB2312" w:cs="微软雅黑"/>
                <w:b w:val="0"/>
                <w:bCs/>
                <w:color w:val="auto"/>
                <w:kern w:val="0"/>
                <w:sz w:val="21"/>
                <w:szCs w:val="21"/>
                <w:lang w:val="en-US" w:eastAsia="zh-CN" w:bidi="zh-CN"/>
              </w:rPr>
              <w:t>农业设施用地</w:t>
            </w:r>
          </w:p>
        </w:tc>
        <w:tc>
          <w:tcPr>
            <w:tcW w:w="24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 xml:space="preserve">0.21 </w:t>
            </w:r>
          </w:p>
        </w:tc>
        <w:tc>
          <w:tcPr>
            <w:tcW w:w="30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0.88%</w:t>
            </w:r>
          </w:p>
        </w:tc>
      </w:tr>
      <w:tr>
        <w:tblPrEx>
          <w:tblCellMar>
            <w:top w:w="0" w:type="dxa"/>
            <w:left w:w="108" w:type="dxa"/>
            <w:bottom w:w="0" w:type="dxa"/>
            <w:right w:w="108" w:type="dxa"/>
          </w:tblCellMar>
        </w:tblPrEx>
        <w:trPr>
          <w:trHeight w:val="255" w:hRule="atLeast"/>
        </w:trPr>
        <w:tc>
          <w:tcPr>
            <w:tcW w:w="17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微软雅黑"/>
                <w:b w:val="0"/>
                <w:bCs/>
                <w:color w:val="auto"/>
                <w:kern w:val="0"/>
                <w:sz w:val="21"/>
                <w:szCs w:val="21"/>
                <w:lang w:val="en-US" w:eastAsia="zh-CN" w:bidi="zh-CN"/>
              </w:rPr>
            </w:pPr>
            <w:r>
              <w:rPr>
                <w:rFonts w:hint="eastAsia" w:ascii="Times New Roman" w:hAnsi="Times New Roman" w:eastAsia="仿宋_GB2312" w:cs="微软雅黑"/>
                <w:b w:val="0"/>
                <w:bCs/>
                <w:color w:val="auto"/>
                <w:kern w:val="0"/>
                <w:sz w:val="21"/>
                <w:szCs w:val="21"/>
                <w:lang w:val="en-US" w:eastAsia="zh-CN" w:bidi="zh-CN"/>
              </w:rPr>
              <w:t>其他草地</w:t>
            </w:r>
          </w:p>
        </w:tc>
        <w:tc>
          <w:tcPr>
            <w:tcW w:w="24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 xml:space="preserve">0.19 </w:t>
            </w:r>
          </w:p>
        </w:tc>
        <w:tc>
          <w:tcPr>
            <w:tcW w:w="30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0.79%</w:t>
            </w:r>
          </w:p>
        </w:tc>
      </w:tr>
      <w:tr>
        <w:tblPrEx>
          <w:tblCellMar>
            <w:top w:w="0" w:type="dxa"/>
            <w:left w:w="108" w:type="dxa"/>
            <w:bottom w:w="0" w:type="dxa"/>
            <w:right w:w="108" w:type="dxa"/>
          </w:tblCellMar>
        </w:tblPrEx>
        <w:trPr>
          <w:trHeight w:val="255" w:hRule="atLeast"/>
        </w:trPr>
        <w:tc>
          <w:tcPr>
            <w:tcW w:w="17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微软雅黑"/>
                <w:b w:val="0"/>
                <w:bCs/>
                <w:color w:val="auto"/>
                <w:kern w:val="0"/>
                <w:sz w:val="21"/>
                <w:szCs w:val="21"/>
                <w:lang w:val="en-US" w:eastAsia="zh-CN" w:bidi="zh-CN"/>
              </w:rPr>
            </w:pPr>
            <w:r>
              <w:rPr>
                <w:rFonts w:hint="eastAsia" w:ascii="Times New Roman" w:hAnsi="Times New Roman" w:eastAsia="仿宋_GB2312" w:cs="微软雅黑"/>
                <w:b w:val="0"/>
                <w:bCs/>
                <w:color w:val="auto"/>
                <w:kern w:val="0"/>
                <w:sz w:val="21"/>
                <w:szCs w:val="21"/>
                <w:lang w:val="en-US" w:eastAsia="zh-CN" w:bidi="zh-CN"/>
              </w:rPr>
              <w:t>其他林地</w:t>
            </w:r>
          </w:p>
        </w:tc>
        <w:tc>
          <w:tcPr>
            <w:tcW w:w="24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 xml:space="preserve">1.14 </w:t>
            </w:r>
          </w:p>
        </w:tc>
        <w:tc>
          <w:tcPr>
            <w:tcW w:w="30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4.83%</w:t>
            </w:r>
          </w:p>
        </w:tc>
      </w:tr>
      <w:tr>
        <w:tblPrEx>
          <w:tblCellMar>
            <w:top w:w="0" w:type="dxa"/>
            <w:left w:w="108" w:type="dxa"/>
            <w:bottom w:w="0" w:type="dxa"/>
            <w:right w:w="108" w:type="dxa"/>
          </w:tblCellMar>
        </w:tblPrEx>
        <w:trPr>
          <w:trHeight w:val="255" w:hRule="atLeast"/>
        </w:trPr>
        <w:tc>
          <w:tcPr>
            <w:tcW w:w="17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微软雅黑"/>
                <w:b w:val="0"/>
                <w:bCs/>
                <w:color w:val="auto"/>
                <w:kern w:val="0"/>
                <w:sz w:val="21"/>
                <w:szCs w:val="21"/>
                <w:lang w:val="en-US" w:eastAsia="zh-CN" w:bidi="zh-CN"/>
              </w:rPr>
            </w:pPr>
            <w:r>
              <w:rPr>
                <w:rFonts w:hint="eastAsia" w:ascii="Times New Roman" w:hAnsi="Times New Roman" w:eastAsia="仿宋_GB2312" w:cs="微软雅黑"/>
                <w:b w:val="0"/>
                <w:bCs/>
                <w:color w:val="auto"/>
                <w:kern w:val="0"/>
                <w:sz w:val="21"/>
                <w:szCs w:val="21"/>
                <w:lang w:val="en-US" w:eastAsia="zh-CN" w:bidi="zh-CN"/>
              </w:rPr>
              <w:t>其他园地</w:t>
            </w:r>
          </w:p>
        </w:tc>
        <w:tc>
          <w:tcPr>
            <w:tcW w:w="24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 xml:space="preserve">0.08 </w:t>
            </w:r>
          </w:p>
        </w:tc>
        <w:tc>
          <w:tcPr>
            <w:tcW w:w="30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0.35%</w:t>
            </w:r>
          </w:p>
        </w:tc>
      </w:tr>
      <w:tr>
        <w:tblPrEx>
          <w:tblCellMar>
            <w:top w:w="0" w:type="dxa"/>
            <w:left w:w="108" w:type="dxa"/>
            <w:bottom w:w="0" w:type="dxa"/>
            <w:right w:w="108" w:type="dxa"/>
          </w:tblCellMar>
        </w:tblPrEx>
        <w:trPr>
          <w:trHeight w:val="255" w:hRule="atLeast"/>
        </w:trPr>
        <w:tc>
          <w:tcPr>
            <w:tcW w:w="17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微软雅黑"/>
                <w:b w:val="0"/>
                <w:bCs/>
                <w:color w:val="auto"/>
                <w:kern w:val="0"/>
                <w:sz w:val="21"/>
                <w:szCs w:val="21"/>
                <w:lang w:val="en-US" w:eastAsia="zh-CN" w:bidi="zh-CN"/>
              </w:rPr>
            </w:pPr>
            <w:r>
              <w:rPr>
                <w:rFonts w:hint="eastAsia" w:ascii="Times New Roman" w:hAnsi="Times New Roman" w:eastAsia="仿宋_GB2312" w:cs="微软雅黑"/>
                <w:b w:val="0"/>
                <w:bCs/>
                <w:color w:val="auto"/>
                <w:kern w:val="0"/>
                <w:sz w:val="21"/>
                <w:szCs w:val="21"/>
                <w:lang w:val="en-US" w:eastAsia="zh-CN" w:bidi="zh-CN"/>
              </w:rPr>
              <w:t>乔木林地</w:t>
            </w:r>
          </w:p>
        </w:tc>
        <w:tc>
          <w:tcPr>
            <w:tcW w:w="24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 xml:space="preserve">9.14 </w:t>
            </w:r>
          </w:p>
        </w:tc>
        <w:tc>
          <w:tcPr>
            <w:tcW w:w="30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38.78%</w:t>
            </w:r>
          </w:p>
        </w:tc>
      </w:tr>
      <w:tr>
        <w:tblPrEx>
          <w:tblCellMar>
            <w:top w:w="0" w:type="dxa"/>
            <w:left w:w="108" w:type="dxa"/>
            <w:bottom w:w="0" w:type="dxa"/>
            <w:right w:w="108" w:type="dxa"/>
          </w:tblCellMar>
        </w:tblPrEx>
        <w:trPr>
          <w:trHeight w:val="255" w:hRule="atLeast"/>
        </w:trPr>
        <w:tc>
          <w:tcPr>
            <w:tcW w:w="17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微软雅黑"/>
                <w:b w:val="0"/>
                <w:bCs/>
                <w:color w:val="auto"/>
                <w:kern w:val="0"/>
                <w:sz w:val="21"/>
                <w:szCs w:val="21"/>
                <w:lang w:val="en-US" w:eastAsia="zh-CN" w:bidi="zh-CN"/>
              </w:rPr>
            </w:pPr>
            <w:r>
              <w:rPr>
                <w:rFonts w:hint="eastAsia" w:ascii="Times New Roman" w:hAnsi="Times New Roman" w:eastAsia="仿宋_GB2312" w:cs="微软雅黑"/>
                <w:b w:val="0"/>
                <w:bCs/>
                <w:color w:val="auto"/>
                <w:kern w:val="0"/>
                <w:sz w:val="21"/>
                <w:szCs w:val="21"/>
                <w:lang w:val="en-US" w:eastAsia="zh-CN" w:bidi="zh-CN"/>
              </w:rPr>
              <w:t>水田</w:t>
            </w:r>
          </w:p>
        </w:tc>
        <w:tc>
          <w:tcPr>
            <w:tcW w:w="24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 xml:space="preserve">4.77 </w:t>
            </w:r>
          </w:p>
        </w:tc>
        <w:tc>
          <w:tcPr>
            <w:tcW w:w="30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20.26%</w:t>
            </w:r>
          </w:p>
        </w:tc>
      </w:tr>
      <w:tr>
        <w:tblPrEx>
          <w:tblCellMar>
            <w:top w:w="0" w:type="dxa"/>
            <w:left w:w="108" w:type="dxa"/>
            <w:bottom w:w="0" w:type="dxa"/>
            <w:right w:w="108" w:type="dxa"/>
          </w:tblCellMar>
        </w:tblPrEx>
        <w:trPr>
          <w:trHeight w:val="255" w:hRule="atLeast"/>
        </w:trPr>
        <w:tc>
          <w:tcPr>
            <w:tcW w:w="17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微软雅黑"/>
                <w:b w:val="0"/>
                <w:bCs/>
                <w:color w:val="auto"/>
                <w:kern w:val="0"/>
                <w:sz w:val="21"/>
                <w:szCs w:val="21"/>
                <w:lang w:val="en-US" w:eastAsia="zh-CN" w:bidi="zh-CN"/>
              </w:rPr>
            </w:pPr>
            <w:r>
              <w:rPr>
                <w:rFonts w:hint="eastAsia" w:ascii="Times New Roman" w:hAnsi="Times New Roman" w:eastAsia="仿宋_GB2312" w:cs="微软雅黑"/>
                <w:b w:val="0"/>
                <w:bCs/>
                <w:color w:val="auto"/>
                <w:kern w:val="0"/>
                <w:sz w:val="21"/>
                <w:szCs w:val="21"/>
                <w:lang w:val="en-US" w:eastAsia="zh-CN" w:bidi="zh-CN"/>
              </w:rPr>
              <w:t>竹林地</w:t>
            </w:r>
          </w:p>
        </w:tc>
        <w:tc>
          <w:tcPr>
            <w:tcW w:w="24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 xml:space="preserve">2.70 </w:t>
            </w:r>
          </w:p>
        </w:tc>
        <w:tc>
          <w:tcPr>
            <w:tcW w:w="30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11.46%</w:t>
            </w:r>
          </w:p>
        </w:tc>
      </w:tr>
      <w:tr>
        <w:tblPrEx>
          <w:tblCellMar>
            <w:top w:w="0" w:type="dxa"/>
            <w:left w:w="108" w:type="dxa"/>
            <w:bottom w:w="0" w:type="dxa"/>
            <w:right w:w="108" w:type="dxa"/>
          </w:tblCellMar>
        </w:tblPrEx>
        <w:trPr>
          <w:trHeight w:val="255" w:hRule="atLeast"/>
        </w:trPr>
        <w:tc>
          <w:tcPr>
            <w:tcW w:w="1795"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微软雅黑"/>
                <w:b w:val="0"/>
                <w:bCs/>
                <w:color w:val="auto"/>
                <w:kern w:val="0"/>
                <w:sz w:val="21"/>
                <w:szCs w:val="21"/>
                <w:lang w:val="en-US" w:eastAsia="zh-CN" w:bidi="zh-CN"/>
              </w:rPr>
            </w:pPr>
            <w:r>
              <w:rPr>
                <w:rFonts w:hint="eastAsia" w:ascii="Times New Roman" w:hAnsi="Times New Roman" w:eastAsia="仿宋_GB2312" w:cs="微软雅黑"/>
                <w:b w:val="0"/>
                <w:bCs/>
                <w:color w:val="auto"/>
                <w:kern w:val="0"/>
                <w:sz w:val="21"/>
                <w:szCs w:val="21"/>
                <w:lang w:val="en-US" w:eastAsia="zh-CN" w:bidi="zh-CN"/>
              </w:rPr>
              <w:t>总计</w:t>
            </w:r>
          </w:p>
        </w:tc>
        <w:tc>
          <w:tcPr>
            <w:tcW w:w="242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 xml:space="preserve">23.56 </w:t>
            </w:r>
          </w:p>
        </w:tc>
        <w:tc>
          <w:tcPr>
            <w:tcW w:w="304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2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Times New Roman" w:hAnsi="Times New Roman" w:eastAsia="宋体" w:cs="Times New Roman"/>
                <w:i w:val="0"/>
                <w:iCs w:val="0"/>
                <w:color w:val="000000"/>
                <w:kern w:val="0"/>
                <w:sz w:val="21"/>
                <w:szCs w:val="21"/>
                <w:u w:val="none"/>
                <w:lang w:val="en-US" w:eastAsia="zh-CN" w:bidi="ar"/>
              </w:rPr>
              <w:t>100.00%</w:t>
            </w:r>
          </w:p>
        </w:tc>
      </w:tr>
    </w:tbl>
    <w:p>
      <w:pPr>
        <w:pStyle w:val="17"/>
        <w:pageBreakBefore w:val="0"/>
        <w:kinsoku/>
        <w:wordWrap/>
        <w:overflowPunct/>
        <w:topLinePunct w:val="0"/>
        <w:bidi w:val="0"/>
        <w:spacing w:after="0" w:line="480" w:lineRule="exact"/>
        <w:ind w:firstLine="560" w:firstLineChars="200"/>
        <w:rPr>
          <w:rFonts w:ascii="Times New Roman" w:hAnsi="Times New Roman" w:eastAsia="仿宋_GB2312"/>
          <w:bCs/>
          <w:color w:val="auto"/>
          <w:sz w:val="28"/>
          <w:szCs w:val="28"/>
        </w:rPr>
      </w:pPr>
    </w:p>
    <w:p>
      <w:pPr>
        <w:pStyle w:val="17"/>
        <w:pageBreakBefore w:val="0"/>
        <w:kinsoku/>
        <w:wordWrap/>
        <w:overflowPunct/>
        <w:topLinePunct w:val="0"/>
        <w:bidi w:val="0"/>
        <w:spacing w:after="0" w:line="480" w:lineRule="exact"/>
        <w:ind w:firstLine="560" w:firstLineChars="200"/>
        <w:rPr>
          <w:rFonts w:hint="eastAsia" w:ascii="Times New Roman" w:hAnsi="Times New Roman" w:eastAsia="仿宋_GB2312"/>
          <w:bCs/>
          <w:color w:val="auto"/>
          <w:sz w:val="28"/>
          <w:szCs w:val="28"/>
          <w:lang w:val="en-US" w:eastAsia="zh-CN"/>
        </w:rPr>
      </w:pPr>
      <w:r>
        <w:rPr>
          <w:rFonts w:ascii="Times New Roman" w:hAnsi="Times New Roman" w:eastAsia="仿宋_GB2312"/>
          <w:bCs/>
          <w:color w:val="auto"/>
          <w:sz w:val="28"/>
          <w:szCs w:val="28"/>
        </w:rPr>
        <w:t>在规划期间，</w:t>
      </w:r>
      <w:r>
        <w:rPr>
          <w:rFonts w:hint="eastAsia" w:ascii="Times New Roman" w:hAnsi="Times New Roman" w:eastAsia="仿宋_GB2312"/>
          <w:bCs/>
          <w:color w:val="auto"/>
          <w:sz w:val="28"/>
          <w:szCs w:val="28"/>
          <w:lang w:eastAsia="zh-CN"/>
        </w:rPr>
        <w:t>平富乡</w:t>
      </w:r>
      <w:r>
        <w:rPr>
          <w:rFonts w:ascii="Times New Roman" w:hAnsi="Times New Roman" w:eastAsia="仿宋_GB2312"/>
          <w:bCs/>
          <w:color w:val="auto"/>
          <w:sz w:val="28"/>
          <w:szCs w:val="28"/>
        </w:rPr>
        <w:t>村庄建设边界调</w:t>
      </w:r>
      <w:r>
        <w:rPr>
          <w:rFonts w:hint="eastAsia" w:ascii="Times New Roman" w:hAnsi="Times New Roman" w:eastAsia="仿宋_GB2312"/>
          <w:bCs/>
          <w:color w:val="auto"/>
          <w:sz w:val="28"/>
          <w:szCs w:val="28"/>
          <w:lang w:val="en-US" w:eastAsia="zh-CN"/>
        </w:rPr>
        <w:t>出27.03公顷，涉及8个行政村，上寨村、平富村、横坑村整理面积较大，其中上寨整理面积6.57公顷，占总整理范围的</w:t>
      </w:r>
      <w:r>
        <w:rPr>
          <w:rFonts w:hint="default" w:ascii="Times New Roman" w:hAnsi="Times New Roman" w:eastAsia="仿宋_GB2312"/>
          <w:bCs/>
          <w:color w:val="auto"/>
          <w:sz w:val="28"/>
          <w:szCs w:val="28"/>
          <w:lang w:val="en-US" w:eastAsia="zh-CN"/>
        </w:rPr>
        <w:t>27.</w:t>
      </w:r>
      <w:r>
        <w:rPr>
          <w:rFonts w:hint="eastAsia" w:ascii="Times New Roman" w:hAnsi="Times New Roman" w:eastAsia="仿宋_GB2312"/>
          <w:bCs/>
          <w:color w:val="auto"/>
          <w:sz w:val="28"/>
          <w:szCs w:val="28"/>
          <w:lang w:val="en-US" w:eastAsia="zh-CN"/>
        </w:rPr>
        <w:t>87</w:t>
      </w:r>
      <w:r>
        <w:rPr>
          <w:rFonts w:hint="default" w:ascii="Times New Roman" w:hAnsi="Times New Roman" w:eastAsia="仿宋_GB2312"/>
          <w:bCs/>
          <w:color w:val="auto"/>
          <w:sz w:val="28"/>
          <w:szCs w:val="28"/>
          <w:lang w:val="en-US" w:eastAsia="zh-CN"/>
        </w:rPr>
        <w:t>%</w:t>
      </w:r>
      <w:r>
        <w:rPr>
          <w:rFonts w:hint="eastAsia" w:ascii="Times New Roman" w:hAnsi="Times New Roman" w:eastAsia="仿宋_GB2312"/>
          <w:bCs/>
          <w:color w:val="auto"/>
          <w:sz w:val="28"/>
          <w:szCs w:val="28"/>
          <w:lang w:val="en-US" w:eastAsia="zh-CN"/>
        </w:rPr>
        <w:t>，平富村整理面积</w:t>
      </w:r>
      <w:r>
        <w:rPr>
          <w:rFonts w:hint="default" w:ascii="Times New Roman" w:hAnsi="Times New Roman" w:eastAsia="仿宋_GB2312"/>
          <w:bCs/>
          <w:color w:val="auto"/>
          <w:sz w:val="28"/>
          <w:szCs w:val="28"/>
          <w:lang w:val="en-US" w:eastAsia="zh-CN"/>
        </w:rPr>
        <w:t>3.91</w:t>
      </w:r>
      <w:r>
        <w:rPr>
          <w:rFonts w:hint="eastAsia" w:ascii="Times New Roman" w:hAnsi="Times New Roman" w:eastAsia="仿宋_GB2312"/>
          <w:bCs/>
          <w:color w:val="auto"/>
          <w:sz w:val="28"/>
          <w:szCs w:val="28"/>
          <w:lang w:val="en-US" w:eastAsia="zh-CN"/>
        </w:rPr>
        <w:t>公顷，占比16.68</w:t>
      </w:r>
      <w:r>
        <w:rPr>
          <w:rFonts w:hint="default" w:ascii="Times New Roman" w:hAnsi="Times New Roman" w:eastAsia="仿宋_GB2312"/>
          <w:bCs/>
          <w:color w:val="auto"/>
          <w:sz w:val="28"/>
          <w:szCs w:val="28"/>
          <w:lang w:val="en-US" w:eastAsia="zh-CN"/>
        </w:rPr>
        <w:t>%</w:t>
      </w:r>
      <w:r>
        <w:rPr>
          <w:rFonts w:hint="eastAsia" w:ascii="Times New Roman" w:hAnsi="Times New Roman" w:eastAsia="仿宋_GB2312"/>
          <w:bCs/>
          <w:color w:val="auto"/>
          <w:sz w:val="28"/>
          <w:szCs w:val="28"/>
          <w:lang w:val="en-US" w:eastAsia="zh-CN"/>
        </w:rPr>
        <w:t>，</w:t>
      </w:r>
      <w:r>
        <w:rPr>
          <w:rFonts w:ascii="Times New Roman" w:hAnsi="Times New Roman" w:eastAsia="仿宋_GB2312"/>
          <w:bCs/>
          <w:color w:val="auto"/>
          <w:sz w:val="28"/>
          <w:szCs w:val="28"/>
        </w:rPr>
        <w:t>如表10-</w:t>
      </w:r>
      <w:r>
        <w:rPr>
          <w:rFonts w:hint="eastAsia" w:ascii="Times New Roman" w:hAnsi="Times New Roman" w:eastAsia="仿宋_GB2312"/>
          <w:bCs/>
          <w:color w:val="auto"/>
          <w:sz w:val="28"/>
          <w:szCs w:val="28"/>
          <w:lang w:val="en-US" w:eastAsia="zh-CN"/>
        </w:rPr>
        <w:t>6</w:t>
      </w:r>
      <w:r>
        <w:rPr>
          <w:rFonts w:ascii="Times New Roman" w:hAnsi="Times New Roman" w:eastAsia="仿宋_GB2312"/>
          <w:bCs/>
          <w:color w:val="auto"/>
          <w:sz w:val="28"/>
          <w:szCs w:val="28"/>
        </w:rPr>
        <w:t>所示：</w:t>
      </w:r>
    </w:p>
    <w:p>
      <w:pPr>
        <w:pStyle w:val="17"/>
        <w:pageBreakBefore w:val="0"/>
        <w:kinsoku/>
        <w:wordWrap/>
        <w:overflowPunct/>
        <w:topLinePunct w:val="0"/>
        <w:bidi w:val="0"/>
        <w:spacing w:after="0" w:line="480" w:lineRule="exact"/>
        <w:ind w:firstLine="560" w:firstLineChars="200"/>
        <w:rPr>
          <w:rFonts w:hint="eastAsia" w:ascii="Times New Roman" w:hAnsi="Times New Roman" w:eastAsia="仿宋_GB2312"/>
          <w:bCs/>
          <w:color w:val="auto"/>
          <w:sz w:val="28"/>
          <w:szCs w:val="28"/>
          <w:lang w:val="en-US" w:eastAsia="zh-CN"/>
        </w:rPr>
      </w:pPr>
    </w:p>
    <w:p>
      <w:pPr>
        <w:pStyle w:val="17"/>
        <w:pageBreakBefore w:val="0"/>
        <w:kinsoku/>
        <w:wordWrap/>
        <w:overflowPunct/>
        <w:topLinePunct w:val="0"/>
        <w:bidi w:val="0"/>
        <w:spacing w:after="0" w:line="480" w:lineRule="exact"/>
        <w:ind w:firstLine="560" w:firstLineChars="200"/>
        <w:rPr>
          <w:rFonts w:hint="eastAsia" w:ascii="Times New Roman" w:hAnsi="Times New Roman" w:eastAsia="仿宋_GB2312"/>
          <w:bCs/>
          <w:color w:val="auto"/>
          <w:sz w:val="28"/>
          <w:szCs w:val="28"/>
          <w:lang w:val="en-US" w:eastAsia="zh-CN"/>
        </w:rPr>
      </w:pPr>
    </w:p>
    <w:p>
      <w:pPr>
        <w:pStyle w:val="17"/>
        <w:pageBreakBefore w:val="0"/>
        <w:kinsoku/>
        <w:wordWrap/>
        <w:overflowPunct/>
        <w:topLinePunct w:val="0"/>
        <w:bidi w:val="0"/>
        <w:spacing w:after="0" w:line="480" w:lineRule="exact"/>
        <w:ind w:firstLine="560" w:firstLineChars="200"/>
        <w:rPr>
          <w:rFonts w:hint="eastAsia" w:ascii="Times New Roman" w:hAnsi="Times New Roman" w:eastAsia="仿宋_GB2312"/>
          <w:bCs/>
          <w:color w:val="auto"/>
          <w:sz w:val="28"/>
          <w:szCs w:val="28"/>
          <w:lang w:val="en-US" w:eastAsia="zh-CN"/>
        </w:rPr>
      </w:pPr>
    </w:p>
    <w:p>
      <w:pPr>
        <w:pStyle w:val="17"/>
        <w:pageBreakBefore w:val="0"/>
        <w:kinsoku/>
        <w:wordWrap/>
        <w:overflowPunct/>
        <w:topLinePunct w:val="0"/>
        <w:bidi w:val="0"/>
        <w:spacing w:after="0" w:line="480" w:lineRule="exact"/>
        <w:ind w:firstLine="560" w:firstLineChars="200"/>
        <w:rPr>
          <w:rFonts w:hint="eastAsia" w:ascii="Times New Roman" w:hAnsi="Times New Roman" w:eastAsia="仿宋_GB2312"/>
          <w:bCs/>
          <w:color w:val="auto"/>
          <w:sz w:val="28"/>
          <w:szCs w:val="28"/>
          <w:lang w:val="en-US" w:eastAsia="zh-CN"/>
        </w:rPr>
      </w:pP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lang w:val="en-US" w:eastAsia="zh-CN"/>
        </w:rPr>
      </w:pPr>
    </w:p>
    <w:p>
      <w:pPr>
        <w:pStyle w:val="17"/>
        <w:pageBreakBefore w:val="0"/>
        <w:kinsoku/>
        <w:wordWrap/>
        <w:overflowPunct/>
        <w:topLinePunct w:val="0"/>
        <w:bidi w:val="0"/>
        <w:spacing w:after="0" w:line="480" w:lineRule="exact"/>
        <w:ind w:firstLine="422" w:firstLineChars="200"/>
        <w:jc w:val="center"/>
        <w:rPr>
          <w:rFonts w:ascii="Times New Roman" w:hAnsi="Times New Roman" w:eastAsia="仿宋_GB2312"/>
          <w:bCs/>
          <w:color w:val="auto"/>
          <w:sz w:val="28"/>
          <w:szCs w:val="28"/>
        </w:rPr>
      </w:pPr>
      <w:r>
        <w:rPr>
          <w:rFonts w:hint="eastAsia" w:ascii="Times New Roman" w:hAnsi="Times New Roman" w:eastAsia="仿宋_GB2312"/>
          <w:b/>
          <w:bCs w:val="0"/>
          <w:color w:val="auto"/>
          <w:sz w:val="21"/>
          <w:szCs w:val="21"/>
        </w:rPr>
        <w:t xml:space="preserve">表10-6 </w:t>
      </w:r>
      <w:r>
        <w:rPr>
          <w:rFonts w:hint="eastAsia" w:ascii="Times New Roman" w:hAnsi="Times New Roman" w:eastAsia="仿宋_GB2312"/>
          <w:b/>
          <w:bCs w:val="0"/>
          <w:color w:val="auto"/>
          <w:sz w:val="21"/>
          <w:szCs w:val="21"/>
          <w:lang w:eastAsia="zh-CN"/>
        </w:rPr>
        <w:t>平富乡</w:t>
      </w:r>
      <w:r>
        <w:rPr>
          <w:rFonts w:hint="eastAsia" w:ascii="Times New Roman" w:hAnsi="Times New Roman" w:eastAsia="仿宋_GB2312"/>
          <w:b/>
          <w:bCs w:val="0"/>
          <w:color w:val="auto"/>
          <w:sz w:val="21"/>
          <w:szCs w:val="21"/>
        </w:rPr>
        <w:t>农村居民点整理行政区情况统计表</w:t>
      </w:r>
    </w:p>
    <w:p>
      <w:pPr>
        <w:pStyle w:val="17"/>
        <w:pageBreakBefore w:val="0"/>
        <w:kinsoku/>
        <w:wordWrap/>
        <w:overflowPunct/>
        <w:topLinePunct w:val="0"/>
        <w:bidi w:val="0"/>
        <w:spacing w:after="0" w:line="480" w:lineRule="exact"/>
        <w:ind w:firstLine="422" w:firstLineChars="200"/>
        <w:jc w:val="right"/>
        <w:rPr>
          <w:rFonts w:hint="default" w:ascii="Times New Roman" w:hAnsi="Times New Roman" w:eastAsia="仿宋_GB2312"/>
          <w:bCs/>
          <w:color w:val="auto"/>
          <w:sz w:val="28"/>
          <w:szCs w:val="28"/>
        </w:rPr>
      </w:pPr>
      <w:r>
        <w:rPr>
          <w:rFonts w:ascii="Times New Roman" w:hAnsi="Times New Roman" w:eastAsia="仿宋_GB2312"/>
          <w:b/>
          <w:bCs w:val="0"/>
          <w:color w:val="auto"/>
          <w:sz w:val="21"/>
          <w:szCs w:val="21"/>
        </w:rPr>
        <w:t>单位：公顷</w:t>
      </w:r>
    </w:p>
    <w:tbl>
      <w:tblPr>
        <w:tblStyle w:val="19"/>
        <w:tblW w:w="4998" w:type="pct"/>
        <w:tblInd w:w="0" w:type="dxa"/>
        <w:tblLayout w:type="autofit"/>
        <w:tblCellMar>
          <w:top w:w="0" w:type="dxa"/>
          <w:left w:w="108" w:type="dxa"/>
          <w:bottom w:w="0" w:type="dxa"/>
          <w:right w:w="108" w:type="dxa"/>
        </w:tblCellMar>
      </w:tblPr>
      <w:tblGrid>
        <w:gridCol w:w="5289"/>
        <w:gridCol w:w="1343"/>
        <w:gridCol w:w="1887"/>
      </w:tblGrid>
      <w:tr>
        <w:tblPrEx>
          <w:tblCellMar>
            <w:top w:w="0" w:type="dxa"/>
            <w:left w:w="108" w:type="dxa"/>
            <w:bottom w:w="0" w:type="dxa"/>
            <w:right w:w="108" w:type="dxa"/>
          </w:tblCellMar>
        </w:tblPrEx>
        <w:trPr>
          <w:trHeight w:val="255" w:hRule="atLeast"/>
          <w:tblHeader/>
        </w:trPr>
        <w:tc>
          <w:tcPr>
            <w:tcW w:w="3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行政区名称</w:t>
            </w:r>
          </w:p>
        </w:tc>
        <w:tc>
          <w:tcPr>
            <w:tcW w:w="78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面积</w:t>
            </w:r>
          </w:p>
        </w:tc>
        <w:tc>
          <w:tcPr>
            <w:tcW w:w="11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占比</w:t>
            </w:r>
          </w:p>
        </w:tc>
      </w:tr>
      <w:tr>
        <w:tblPrEx>
          <w:tblCellMar>
            <w:top w:w="0" w:type="dxa"/>
            <w:left w:w="108" w:type="dxa"/>
            <w:bottom w:w="0" w:type="dxa"/>
            <w:right w:w="108" w:type="dxa"/>
          </w:tblCellMar>
        </w:tblPrEx>
        <w:trPr>
          <w:trHeight w:val="255" w:hRule="atLeast"/>
        </w:trPr>
        <w:tc>
          <w:tcPr>
            <w:tcW w:w="528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微软雅黑"/>
                <w:b w:val="0"/>
                <w:bCs/>
                <w:color w:val="auto"/>
                <w:kern w:val="0"/>
                <w:sz w:val="21"/>
                <w:szCs w:val="21"/>
                <w:lang w:val="en-US" w:eastAsia="zh-CN" w:bidi="zh-CN"/>
              </w:rPr>
            </w:pPr>
            <w:r>
              <w:rPr>
                <w:rFonts w:hint="eastAsia" w:ascii="Times New Roman" w:hAnsi="Times New Roman" w:eastAsia="仿宋_GB2312" w:cs="微软雅黑"/>
                <w:b w:val="0"/>
                <w:bCs/>
                <w:color w:val="auto"/>
                <w:kern w:val="0"/>
                <w:sz w:val="21"/>
                <w:szCs w:val="21"/>
                <w:lang w:val="en-US" w:eastAsia="zh-CN" w:bidi="zh-CN"/>
              </w:rPr>
              <w:t>平富乡大潭村委会</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0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Arial" w:hAnsi="Arial" w:eastAsia="宋体" w:cs="Arial"/>
                <w:i w:val="0"/>
                <w:iCs w:val="0"/>
                <w:color w:val="000000"/>
                <w:kern w:val="0"/>
                <w:sz w:val="20"/>
                <w:szCs w:val="20"/>
                <w:u w:val="none"/>
                <w:lang w:val="en-US" w:eastAsia="zh-CN" w:bidi="ar"/>
              </w:rPr>
              <w:t>3.08</w:t>
            </w:r>
          </w:p>
        </w:tc>
        <w:tc>
          <w:tcPr>
            <w:tcW w:w="18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0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Arial" w:hAnsi="Arial" w:eastAsia="宋体" w:cs="Arial"/>
                <w:i w:val="0"/>
                <w:iCs w:val="0"/>
                <w:color w:val="000000"/>
                <w:kern w:val="0"/>
                <w:sz w:val="20"/>
                <w:szCs w:val="20"/>
                <w:u w:val="none"/>
                <w:lang w:val="en-US" w:eastAsia="zh-CN" w:bidi="ar"/>
              </w:rPr>
              <w:t>13.08%</w:t>
            </w:r>
          </w:p>
        </w:tc>
      </w:tr>
      <w:tr>
        <w:tblPrEx>
          <w:tblCellMar>
            <w:top w:w="0" w:type="dxa"/>
            <w:left w:w="108" w:type="dxa"/>
            <w:bottom w:w="0" w:type="dxa"/>
            <w:right w:w="108" w:type="dxa"/>
          </w:tblCellMar>
        </w:tblPrEx>
        <w:trPr>
          <w:trHeight w:val="255" w:hRule="atLeast"/>
        </w:trPr>
        <w:tc>
          <w:tcPr>
            <w:tcW w:w="528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微软雅黑"/>
                <w:b w:val="0"/>
                <w:bCs/>
                <w:color w:val="auto"/>
                <w:kern w:val="0"/>
                <w:sz w:val="21"/>
                <w:szCs w:val="21"/>
                <w:lang w:val="en-US" w:eastAsia="zh-CN" w:bidi="zh-CN"/>
              </w:rPr>
            </w:pPr>
            <w:r>
              <w:rPr>
                <w:rFonts w:hint="eastAsia" w:ascii="Times New Roman" w:hAnsi="Times New Roman" w:eastAsia="仿宋_GB2312" w:cs="微软雅黑"/>
                <w:b w:val="0"/>
                <w:bCs/>
                <w:color w:val="auto"/>
                <w:kern w:val="0"/>
                <w:sz w:val="21"/>
                <w:szCs w:val="21"/>
                <w:lang w:val="en-US" w:eastAsia="zh-CN" w:bidi="zh-CN"/>
              </w:rPr>
              <w:t>平富乡横坑村委会</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0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Arial" w:hAnsi="Arial" w:eastAsia="宋体" w:cs="Arial"/>
                <w:i w:val="0"/>
                <w:iCs w:val="0"/>
                <w:color w:val="000000"/>
                <w:kern w:val="0"/>
                <w:sz w:val="20"/>
                <w:szCs w:val="20"/>
                <w:u w:val="none"/>
                <w:lang w:val="en-US" w:eastAsia="zh-CN" w:bidi="ar"/>
              </w:rPr>
              <w:t>3.72</w:t>
            </w:r>
          </w:p>
        </w:tc>
        <w:tc>
          <w:tcPr>
            <w:tcW w:w="18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0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Arial" w:hAnsi="Arial" w:eastAsia="宋体" w:cs="Arial"/>
                <w:i w:val="0"/>
                <w:iCs w:val="0"/>
                <w:color w:val="000000"/>
                <w:kern w:val="0"/>
                <w:sz w:val="20"/>
                <w:szCs w:val="20"/>
                <w:u w:val="none"/>
                <w:lang w:val="en-US" w:eastAsia="zh-CN" w:bidi="ar"/>
              </w:rPr>
              <w:t>15.77%</w:t>
            </w:r>
          </w:p>
        </w:tc>
      </w:tr>
      <w:tr>
        <w:tblPrEx>
          <w:tblCellMar>
            <w:top w:w="0" w:type="dxa"/>
            <w:left w:w="108" w:type="dxa"/>
            <w:bottom w:w="0" w:type="dxa"/>
            <w:right w:w="108" w:type="dxa"/>
          </w:tblCellMar>
        </w:tblPrEx>
        <w:trPr>
          <w:trHeight w:val="255" w:hRule="atLeast"/>
        </w:trPr>
        <w:tc>
          <w:tcPr>
            <w:tcW w:w="528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微软雅黑"/>
                <w:b w:val="0"/>
                <w:bCs/>
                <w:color w:val="auto"/>
                <w:kern w:val="0"/>
                <w:sz w:val="21"/>
                <w:szCs w:val="21"/>
                <w:lang w:val="en-US" w:eastAsia="zh-CN" w:bidi="zh-CN"/>
              </w:rPr>
            </w:pPr>
            <w:r>
              <w:rPr>
                <w:rFonts w:hint="eastAsia" w:ascii="Times New Roman" w:hAnsi="Times New Roman" w:eastAsia="仿宋_GB2312" w:cs="微软雅黑"/>
                <w:b w:val="0"/>
                <w:bCs/>
                <w:color w:val="auto"/>
                <w:kern w:val="0"/>
                <w:sz w:val="21"/>
                <w:szCs w:val="21"/>
                <w:lang w:val="en-US" w:eastAsia="zh-CN" w:bidi="zh-CN"/>
              </w:rPr>
              <w:t>平富乡平富村委会</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0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Arial" w:hAnsi="Arial" w:eastAsia="宋体" w:cs="Arial"/>
                <w:i w:val="0"/>
                <w:iCs w:val="0"/>
                <w:color w:val="000000"/>
                <w:kern w:val="0"/>
                <w:sz w:val="20"/>
                <w:szCs w:val="20"/>
                <w:u w:val="none"/>
                <w:lang w:val="en-US" w:eastAsia="zh-CN" w:bidi="ar"/>
              </w:rPr>
              <w:t>3.93</w:t>
            </w:r>
          </w:p>
        </w:tc>
        <w:tc>
          <w:tcPr>
            <w:tcW w:w="18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0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Arial" w:hAnsi="Arial" w:eastAsia="宋体" w:cs="Arial"/>
                <w:i w:val="0"/>
                <w:iCs w:val="0"/>
                <w:color w:val="000000"/>
                <w:kern w:val="0"/>
                <w:sz w:val="20"/>
                <w:szCs w:val="20"/>
                <w:u w:val="none"/>
                <w:lang w:val="en-US" w:eastAsia="zh-CN" w:bidi="ar"/>
              </w:rPr>
              <w:t>16.68%</w:t>
            </w:r>
          </w:p>
        </w:tc>
      </w:tr>
      <w:tr>
        <w:tblPrEx>
          <w:tblCellMar>
            <w:top w:w="0" w:type="dxa"/>
            <w:left w:w="108" w:type="dxa"/>
            <w:bottom w:w="0" w:type="dxa"/>
            <w:right w:w="108" w:type="dxa"/>
          </w:tblCellMar>
        </w:tblPrEx>
        <w:trPr>
          <w:trHeight w:val="255" w:hRule="atLeast"/>
        </w:trPr>
        <w:tc>
          <w:tcPr>
            <w:tcW w:w="528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微软雅黑"/>
                <w:b w:val="0"/>
                <w:bCs/>
                <w:color w:val="auto"/>
                <w:kern w:val="0"/>
                <w:sz w:val="21"/>
                <w:szCs w:val="21"/>
                <w:lang w:val="en-US" w:eastAsia="zh-CN" w:bidi="zh-CN"/>
              </w:rPr>
            </w:pPr>
            <w:r>
              <w:rPr>
                <w:rFonts w:hint="eastAsia" w:ascii="Times New Roman" w:hAnsi="Times New Roman" w:eastAsia="仿宋_GB2312" w:cs="微软雅黑"/>
                <w:b w:val="0"/>
                <w:bCs/>
                <w:color w:val="auto"/>
                <w:kern w:val="0"/>
                <w:sz w:val="21"/>
                <w:szCs w:val="21"/>
                <w:lang w:val="en-US" w:eastAsia="zh-CN" w:bidi="zh-CN"/>
              </w:rPr>
              <w:t>平富乡上寨村委会</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0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Arial" w:hAnsi="Arial" w:eastAsia="宋体" w:cs="Arial"/>
                <w:i w:val="0"/>
                <w:iCs w:val="0"/>
                <w:color w:val="000000"/>
                <w:kern w:val="0"/>
                <w:sz w:val="20"/>
                <w:szCs w:val="20"/>
                <w:u w:val="none"/>
                <w:lang w:val="en-US" w:eastAsia="zh-CN" w:bidi="ar"/>
              </w:rPr>
              <w:t>6.57</w:t>
            </w:r>
          </w:p>
        </w:tc>
        <w:tc>
          <w:tcPr>
            <w:tcW w:w="18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0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Arial" w:hAnsi="Arial" w:eastAsia="宋体" w:cs="Arial"/>
                <w:i w:val="0"/>
                <w:iCs w:val="0"/>
                <w:color w:val="000000"/>
                <w:kern w:val="0"/>
                <w:sz w:val="20"/>
                <w:szCs w:val="20"/>
                <w:u w:val="none"/>
                <w:lang w:val="en-US" w:eastAsia="zh-CN" w:bidi="ar"/>
              </w:rPr>
              <w:t>27.87%</w:t>
            </w:r>
          </w:p>
        </w:tc>
      </w:tr>
      <w:tr>
        <w:tblPrEx>
          <w:tblCellMar>
            <w:top w:w="0" w:type="dxa"/>
            <w:left w:w="108" w:type="dxa"/>
            <w:bottom w:w="0" w:type="dxa"/>
            <w:right w:w="108" w:type="dxa"/>
          </w:tblCellMar>
        </w:tblPrEx>
        <w:trPr>
          <w:trHeight w:val="255" w:hRule="atLeast"/>
        </w:trPr>
        <w:tc>
          <w:tcPr>
            <w:tcW w:w="528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微软雅黑"/>
                <w:b w:val="0"/>
                <w:bCs/>
                <w:color w:val="auto"/>
                <w:kern w:val="0"/>
                <w:sz w:val="21"/>
                <w:szCs w:val="21"/>
                <w:lang w:val="en-US" w:eastAsia="zh-CN" w:bidi="zh-CN"/>
              </w:rPr>
            </w:pPr>
            <w:r>
              <w:rPr>
                <w:rFonts w:hint="eastAsia" w:ascii="Times New Roman" w:hAnsi="Times New Roman" w:eastAsia="仿宋_GB2312" w:cs="微软雅黑"/>
                <w:b w:val="0"/>
                <w:bCs/>
                <w:color w:val="auto"/>
                <w:kern w:val="0"/>
                <w:sz w:val="21"/>
                <w:szCs w:val="21"/>
                <w:lang w:val="en-US" w:eastAsia="zh-CN" w:bidi="zh-CN"/>
              </w:rPr>
              <w:t>平富乡向前村委会</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0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Arial" w:hAnsi="Arial" w:eastAsia="宋体" w:cs="Arial"/>
                <w:i w:val="0"/>
                <w:iCs w:val="0"/>
                <w:color w:val="000000"/>
                <w:kern w:val="0"/>
                <w:sz w:val="20"/>
                <w:szCs w:val="20"/>
                <w:u w:val="none"/>
                <w:lang w:val="en-US" w:eastAsia="zh-CN" w:bidi="ar"/>
              </w:rPr>
              <w:t>1.20</w:t>
            </w:r>
          </w:p>
        </w:tc>
        <w:tc>
          <w:tcPr>
            <w:tcW w:w="18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0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Arial" w:hAnsi="Arial" w:eastAsia="宋体" w:cs="Arial"/>
                <w:i w:val="0"/>
                <w:iCs w:val="0"/>
                <w:color w:val="000000"/>
                <w:kern w:val="0"/>
                <w:sz w:val="20"/>
                <w:szCs w:val="20"/>
                <w:u w:val="none"/>
                <w:lang w:val="en-US" w:eastAsia="zh-CN" w:bidi="ar"/>
              </w:rPr>
              <w:t>5.09%</w:t>
            </w:r>
          </w:p>
        </w:tc>
      </w:tr>
      <w:tr>
        <w:tblPrEx>
          <w:tblCellMar>
            <w:top w:w="0" w:type="dxa"/>
            <w:left w:w="108" w:type="dxa"/>
            <w:bottom w:w="0" w:type="dxa"/>
            <w:right w:w="108" w:type="dxa"/>
          </w:tblCellMar>
        </w:tblPrEx>
        <w:trPr>
          <w:trHeight w:val="255" w:hRule="atLeast"/>
        </w:trPr>
        <w:tc>
          <w:tcPr>
            <w:tcW w:w="528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微软雅黑"/>
                <w:b w:val="0"/>
                <w:bCs/>
                <w:color w:val="auto"/>
                <w:kern w:val="0"/>
                <w:sz w:val="21"/>
                <w:szCs w:val="21"/>
                <w:lang w:val="en-US" w:eastAsia="zh-CN" w:bidi="zh-CN"/>
              </w:rPr>
            </w:pPr>
            <w:r>
              <w:rPr>
                <w:rFonts w:hint="eastAsia" w:ascii="Times New Roman" w:hAnsi="Times New Roman" w:eastAsia="仿宋_GB2312" w:cs="微软雅黑"/>
                <w:b w:val="0"/>
                <w:bCs/>
                <w:color w:val="auto"/>
                <w:kern w:val="0"/>
                <w:sz w:val="21"/>
                <w:szCs w:val="21"/>
                <w:lang w:val="en-US" w:eastAsia="zh-CN" w:bidi="zh-CN"/>
              </w:rPr>
              <w:t>平富乡信地村委会</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0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Arial" w:hAnsi="Arial" w:eastAsia="宋体" w:cs="Arial"/>
                <w:i w:val="0"/>
                <w:iCs w:val="0"/>
                <w:color w:val="000000"/>
                <w:kern w:val="0"/>
                <w:sz w:val="20"/>
                <w:szCs w:val="20"/>
                <w:u w:val="none"/>
                <w:lang w:val="en-US" w:eastAsia="zh-CN" w:bidi="ar"/>
              </w:rPr>
              <w:t>3.83</w:t>
            </w:r>
          </w:p>
        </w:tc>
        <w:tc>
          <w:tcPr>
            <w:tcW w:w="18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0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Arial" w:hAnsi="Arial" w:eastAsia="宋体" w:cs="Arial"/>
                <w:i w:val="0"/>
                <w:iCs w:val="0"/>
                <w:color w:val="000000"/>
                <w:kern w:val="0"/>
                <w:sz w:val="20"/>
                <w:szCs w:val="20"/>
                <w:u w:val="none"/>
                <w:lang w:val="en-US" w:eastAsia="zh-CN" w:bidi="ar"/>
              </w:rPr>
              <w:t>16.24%</w:t>
            </w:r>
          </w:p>
        </w:tc>
      </w:tr>
      <w:tr>
        <w:tblPrEx>
          <w:tblCellMar>
            <w:top w:w="0" w:type="dxa"/>
            <w:left w:w="108" w:type="dxa"/>
            <w:bottom w:w="0" w:type="dxa"/>
            <w:right w:w="108" w:type="dxa"/>
          </w:tblCellMar>
        </w:tblPrEx>
        <w:trPr>
          <w:trHeight w:val="255" w:hRule="atLeast"/>
        </w:trPr>
        <w:tc>
          <w:tcPr>
            <w:tcW w:w="528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微软雅黑"/>
                <w:b w:val="0"/>
                <w:bCs/>
                <w:color w:val="auto"/>
                <w:kern w:val="0"/>
                <w:sz w:val="21"/>
                <w:szCs w:val="21"/>
                <w:lang w:val="en-US" w:eastAsia="zh-CN" w:bidi="zh-CN"/>
              </w:rPr>
            </w:pPr>
            <w:r>
              <w:rPr>
                <w:rFonts w:hint="eastAsia" w:ascii="Times New Roman" w:hAnsi="Times New Roman" w:eastAsia="仿宋_GB2312" w:cs="微软雅黑"/>
                <w:b w:val="0"/>
                <w:bCs/>
                <w:color w:val="auto"/>
                <w:kern w:val="0"/>
                <w:sz w:val="21"/>
                <w:szCs w:val="21"/>
                <w:lang w:val="en-US" w:eastAsia="zh-CN" w:bidi="zh-CN"/>
              </w:rPr>
              <w:t>平富乡庄坑村委会</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0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Arial" w:hAnsi="Arial" w:eastAsia="宋体" w:cs="Arial"/>
                <w:i w:val="0"/>
                <w:iCs w:val="0"/>
                <w:color w:val="000000"/>
                <w:kern w:val="0"/>
                <w:sz w:val="20"/>
                <w:szCs w:val="20"/>
                <w:u w:val="none"/>
                <w:lang w:val="en-US" w:eastAsia="zh-CN" w:bidi="ar"/>
              </w:rPr>
              <w:t>0.69</w:t>
            </w:r>
          </w:p>
        </w:tc>
        <w:tc>
          <w:tcPr>
            <w:tcW w:w="18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0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Arial" w:hAnsi="Arial" w:eastAsia="宋体" w:cs="Arial"/>
                <w:i w:val="0"/>
                <w:iCs w:val="0"/>
                <w:color w:val="000000"/>
                <w:kern w:val="0"/>
                <w:sz w:val="20"/>
                <w:szCs w:val="20"/>
                <w:u w:val="none"/>
                <w:lang w:val="en-US" w:eastAsia="zh-CN" w:bidi="ar"/>
              </w:rPr>
              <w:t>2.94%</w:t>
            </w:r>
          </w:p>
        </w:tc>
      </w:tr>
      <w:tr>
        <w:tblPrEx>
          <w:tblCellMar>
            <w:top w:w="0" w:type="dxa"/>
            <w:left w:w="108" w:type="dxa"/>
            <w:bottom w:w="0" w:type="dxa"/>
            <w:right w:w="108" w:type="dxa"/>
          </w:tblCellMar>
        </w:tblPrEx>
        <w:trPr>
          <w:trHeight w:val="255" w:hRule="atLeast"/>
        </w:trPr>
        <w:tc>
          <w:tcPr>
            <w:tcW w:w="528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微软雅黑"/>
                <w:b w:val="0"/>
                <w:bCs/>
                <w:color w:val="auto"/>
                <w:kern w:val="0"/>
                <w:sz w:val="21"/>
                <w:szCs w:val="21"/>
                <w:lang w:val="en-US" w:eastAsia="zh-CN" w:bidi="zh-CN"/>
              </w:rPr>
            </w:pPr>
            <w:r>
              <w:rPr>
                <w:rFonts w:hint="eastAsia" w:ascii="Times New Roman" w:hAnsi="Times New Roman" w:eastAsia="仿宋_GB2312" w:cs="微软雅黑"/>
                <w:b w:val="0"/>
                <w:bCs/>
                <w:color w:val="auto"/>
                <w:kern w:val="0"/>
                <w:sz w:val="21"/>
                <w:szCs w:val="21"/>
                <w:lang w:val="en-US" w:eastAsia="zh-CN" w:bidi="zh-CN"/>
              </w:rPr>
              <w:t>平富乡庄前村委会</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0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Arial" w:hAnsi="Arial" w:eastAsia="宋体" w:cs="Arial"/>
                <w:i w:val="0"/>
                <w:iCs w:val="0"/>
                <w:color w:val="000000"/>
                <w:kern w:val="0"/>
                <w:sz w:val="20"/>
                <w:szCs w:val="20"/>
                <w:u w:val="none"/>
                <w:lang w:val="en-US" w:eastAsia="zh-CN" w:bidi="ar"/>
              </w:rPr>
              <w:t>0.55</w:t>
            </w:r>
          </w:p>
        </w:tc>
        <w:tc>
          <w:tcPr>
            <w:tcW w:w="18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0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Arial" w:hAnsi="Arial" w:eastAsia="宋体" w:cs="Arial"/>
                <w:i w:val="0"/>
                <w:iCs w:val="0"/>
                <w:color w:val="000000"/>
                <w:kern w:val="0"/>
                <w:sz w:val="20"/>
                <w:szCs w:val="20"/>
                <w:u w:val="none"/>
                <w:lang w:val="en-US" w:eastAsia="zh-CN" w:bidi="ar"/>
              </w:rPr>
              <w:t>2.32%</w:t>
            </w:r>
          </w:p>
        </w:tc>
      </w:tr>
      <w:tr>
        <w:tblPrEx>
          <w:tblCellMar>
            <w:top w:w="0" w:type="dxa"/>
            <w:left w:w="108" w:type="dxa"/>
            <w:bottom w:w="0" w:type="dxa"/>
            <w:right w:w="108" w:type="dxa"/>
          </w:tblCellMar>
        </w:tblPrEx>
        <w:trPr>
          <w:trHeight w:val="255" w:hRule="atLeast"/>
        </w:trPr>
        <w:tc>
          <w:tcPr>
            <w:tcW w:w="528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pageBreakBefore w:val="0"/>
              <w:kinsoku/>
              <w:wordWrap/>
              <w:overflowPunct/>
              <w:topLinePunct w:val="0"/>
              <w:bidi w:val="0"/>
              <w:snapToGrid w:val="0"/>
              <w:spacing w:line="480" w:lineRule="exact"/>
              <w:ind w:firstLine="0" w:firstLineChars="0"/>
              <w:jc w:val="center"/>
              <w:rPr>
                <w:rFonts w:hint="default" w:ascii="Times New Roman" w:hAnsi="Times New Roman" w:eastAsia="仿宋_GB2312" w:cs="微软雅黑"/>
                <w:b w:val="0"/>
                <w:bCs/>
                <w:color w:val="auto"/>
                <w:kern w:val="0"/>
                <w:sz w:val="21"/>
                <w:szCs w:val="21"/>
                <w:lang w:val="en-US" w:eastAsia="zh-CN" w:bidi="zh-CN"/>
              </w:rPr>
            </w:pPr>
            <w:r>
              <w:rPr>
                <w:rFonts w:hint="eastAsia" w:ascii="Times New Roman" w:hAnsi="Times New Roman" w:eastAsia="仿宋_GB2312" w:cs="微软雅黑"/>
                <w:b w:val="0"/>
                <w:bCs/>
                <w:color w:val="auto"/>
                <w:kern w:val="0"/>
                <w:sz w:val="21"/>
                <w:szCs w:val="21"/>
                <w:lang w:val="en-US" w:eastAsia="zh-CN" w:bidi="zh-CN"/>
              </w:rPr>
              <w:t>总计</w:t>
            </w:r>
          </w:p>
        </w:tc>
        <w:tc>
          <w:tcPr>
            <w:tcW w:w="1343"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0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Arial" w:hAnsi="Arial" w:eastAsia="宋体" w:cs="Arial"/>
                <w:i w:val="0"/>
                <w:iCs w:val="0"/>
                <w:color w:val="000000"/>
                <w:kern w:val="0"/>
                <w:sz w:val="20"/>
                <w:szCs w:val="20"/>
                <w:u w:val="none"/>
                <w:lang w:val="en-US" w:eastAsia="zh-CN" w:bidi="ar"/>
              </w:rPr>
              <w:t>23.56</w:t>
            </w:r>
          </w:p>
        </w:tc>
        <w:tc>
          <w:tcPr>
            <w:tcW w:w="188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firstLine="400" w:firstLineChars="200"/>
              <w:jc w:val="center"/>
              <w:textAlignment w:val="bottom"/>
              <w:rPr>
                <w:rFonts w:hint="eastAsia" w:ascii="Times New Roman" w:hAnsi="Times New Roman" w:eastAsia="仿宋_GB2312" w:cs="微软雅黑"/>
                <w:b w:val="0"/>
                <w:bCs/>
                <w:color w:val="auto"/>
                <w:kern w:val="0"/>
                <w:sz w:val="21"/>
                <w:szCs w:val="21"/>
                <w:lang w:val="en-US" w:eastAsia="zh-CN" w:bidi="zh-CN"/>
              </w:rPr>
            </w:pPr>
            <w:r>
              <w:rPr>
                <w:rFonts w:hint="default" w:ascii="Arial" w:hAnsi="Arial" w:eastAsia="宋体" w:cs="Arial"/>
                <w:i w:val="0"/>
                <w:iCs w:val="0"/>
                <w:color w:val="000000"/>
                <w:kern w:val="0"/>
                <w:sz w:val="20"/>
                <w:szCs w:val="20"/>
                <w:u w:val="none"/>
                <w:lang w:val="en-US" w:eastAsia="zh-CN" w:bidi="ar"/>
              </w:rPr>
              <w:t>100.00%</w:t>
            </w:r>
          </w:p>
        </w:tc>
      </w:tr>
    </w:tbl>
    <w:p>
      <w:pPr>
        <w:pStyle w:val="33"/>
        <w:spacing w:before="156" w:beforeLines="50" w:after="156" w:afterLines="50" w:line="520" w:lineRule="exact"/>
        <w:rPr>
          <w:rFonts w:hint="eastAsia" w:ascii="Times New Roman" w:hAnsi="Times New Roman"/>
          <w:color w:val="auto"/>
          <w:kern w:val="2"/>
          <w:szCs w:val="32"/>
          <w:lang w:val="en-US" w:eastAsia="zh-CN"/>
        </w:rPr>
      </w:pPr>
      <w:bookmarkStart w:id="65" w:name="_Toc32644"/>
      <w:r>
        <w:rPr>
          <w:rFonts w:hint="eastAsia" w:ascii="Times New Roman" w:hAnsi="Times New Roman"/>
          <w:color w:val="auto"/>
          <w:kern w:val="2"/>
          <w:szCs w:val="32"/>
          <w:lang w:val="en-US" w:eastAsia="zh-CN"/>
        </w:rPr>
        <w:t>第二节 国土空间生态修复</w:t>
      </w:r>
      <w:bookmarkEnd w:id="65"/>
    </w:p>
    <w:p>
      <w:pPr>
        <w:snapToGrid w:val="0"/>
        <w:spacing w:line="480" w:lineRule="exact"/>
        <w:ind w:firstLine="562"/>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一、矿山环境整治修复工程</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hint="eastAsia" w:ascii="Times New Roman" w:hAnsi="Times New Roman" w:eastAsia="仿宋_GB2312"/>
          <w:bCs/>
          <w:color w:val="auto"/>
          <w:sz w:val="28"/>
          <w:szCs w:val="28"/>
          <w:lang w:val="en-US" w:eastAsia="zh-CN"/>
        </w:rPr>
        <w:t>1</w:t>
      </w:r>
      <w:r>
        <w:rPr>
          <w:rFonts w:ascii="Times New Roman" w:hAnsi="Times New Roman" w:eastAsia="仿宋_GB2312"/>
          <w:bCs/>
          <w:color w:val="auto"/>
          <w:sz w:val="28"/>
          <w:szCs w:val="28"/>
        </w:rPr>
        <w:t>、废弃矿山整治工程</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（1）废弃露天矿山修复工程</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根据《</w:t>
      </w:r>
      <w:r>
        <w:rPr>
          <w:rFonts w:hint="eastAsia" w:ascii="Times New Roman" w:hAnsi="Times New Roman" w:eastAsia="仿宋_GB2312"/>
          <w:bCs/>
          <w:color w:val="auto"/>
          <w:sz w:val="28"/>
          <w:szCs w:val="28"/>
          <w:lang w:eastAsia="zh-CN"/>
        </w:rPr>
        <w:t>上犹县</w:t>
      </w:r>
      <w:r>
        <w:rPr>
          <w:rFonts w:ascii="Times New Roman" w:hAnsi="Times New Roman" w:eastAsia="仿宋_GB2312"/>
          <w:bCs/>
          <w:color w:val="auto"/>
          <w:sz w:val="28"/>
          <w:szCs w:val="28"/>
        </w:rPr>
        <w:t>国土空间总体规划（2021-2035年）》</w:t>
      </w:r>
      <w:r>
        <w:rPr>
          <w:rFonts w:hint="eastAsia" w:ascii="Times New Roman" w:hAnsi="Times New Roman" w:eastAsia="仿宋_GB2312"/>
          <w:bCs/>
          <w:color w:val="auto"/>
          <w:sz w:val="28"/>
          <w:szCs w:val="28"/>
          <w:lang w:eastAsia="zh-CN"/>
        </w:rPr>
        <w:t>平富乡</w:t>
      </w:r>
      <w:r>
        <w:rPr>
          <w:rFonts w:ascii="Times New Roman" w:hAnsi="Times New Roman" w:eastAsia="仿宋_GB2312"/>
          <w:bCs/>
          <w:color w:val="auto"/>
          <w:sz w:val="28"/>
          <w:szCs w:val="28"/>
        </w:rPr>
        <w:t>废弃露天矿山共</w:t>
      </w:r>
      <w:r>
        <w:rPr>
          <w:rFonts w:hint="eastAsia" w:ascii="Times New Roman" w:hAnsi="Times New Roman" w:eastAsia="仿宋_GB2312"/>
          <w:bCs/>
          <w:color w:val="auto"/>
          <w:sz w:val="28"/>
          <w:szCs w:val="28"/>
          <w:lang w:val="en-US" w:eastAsia="zh-CN"/>
        </w:rPr>
        <w:t>4</w:t>
      </w:r>
      <w:r>
        <w:rPr>
          <w:rFonts w:ascii="Times New Roman" w:hAnsi="Times New Roman" w:eastAsia="仿宋_GB2312"/>
          <w:bCs/>
          <w:color w:val="auto"/>
          <w:sz w:val="28"/>
          <w:szCs w:val="28"/>
        </w:rPr>
        <w:t>处，损毁面积共</w:t>
      </w:r>
      <w:r>
        <w:rPr>
          <w:rFonts w:hint="eastAsia" w:ascii="Times New Roman" w:hAnsi="Times New Roman" w:eastAsia="仿宋_GB2312"/>
          <w:bCs/>
          <w:color w:val="auto"/>
          <w:sz w:val="28"/>
          <w:szCs w:val="28"/>
        </w:rPr>
        <w:t>169</w:t>
      </w:r>
      <w:r>
        <w:rPr>
          <w:rFonts w:hint="eastAsia" w:ascii="Times New Roman" w:hAnsi="Times New Roman" w:eastAsia="仿宋_GB2312"/>
          <w:bCs/>
          <w:color w:val="auto"/>
          <w:sz w:val="28"/>
          <w:szCs w:val="28"/>
          <w:lang w:val="en-US" w:eastAsia="zh-CN"/>
        </w:rPr>
        <w:t>4</w:t>
      </w:r>
      <w:r>
        <w:rPr>
          <w:rFonts w:hint="eastAsia" w:ascii="Times New Roman" w:hAnsi="Times New Roman" w:eastAsia="仿宋_GB2312"/>
          <w:bCs/>
          <w:color w:val="auto"/>
          <w:sz w:val="28"/>
          <w:szCs w:val="28"/>
        </w:rPr>
        <w:t>8.27</w:t>
      </w:r>
      <w:r>
        <w:rPr>
          <w:rFonts w:ascii="Times New Roman" w:hAnsi="Times New Roman" w:eastAsia="仿宋_GB2312"/>
          <w:bCs/>
          <w:color w:val="auto"/>
          <w:sz w:val="28"/>
          <w:szCs w:val="28"/>
        </w:rPr>
        <w:t>平方米，其规模均为小型矿山，矿种涉及建筑用石料、砖瓦用粘土。废弃矿山开发采用较落后的露天粗放生产工艺，其开采工艺是将含矿山体挖损、解小破碎、运输、加工，致使矿点及矿点周边的生态环境受到严重破坏。现由于矿权及开采资料较少，已无法收集全部矿权储量、范围、开采规模等相关资料。</w:t>
      </w:r>
    </w:p>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表10-7 平富乡废弃露天矿山工程修复表</w:t>
      </w:r>
    </w:p>
    <w:p>
      <w:pPr>
        <w:pStyle w:val="26"/>
        <w:pageBreakBefore w:val="0"/>
        <w:kinsoku/>
        <w:wordWrap/>
        <w:overflowPunct/>
        <w:topLinePunct w:val="0"/>
        <w:bidi w:val="0"/>
        <w:spacing w:line="480" w:lineRule="exact"/>
        <w:ind w:firstLine="482"/>
        <w:jc w:val="right"/>
        <w:rPr>
          <w:rFonts w:hint="default"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单位：平方米</w:t>
      </w:r>
    </w:p>
    <w:tbl>
      <w:tblPr>
        <w:tblStyle w:val="19"/>
        <w:tblW w:w="40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6"/>
        <w:gridCol w:w="964"/>
        <w:gridCol w:w="839"/>
        <w:gridCol w:w="716"/>
        <w:gridCol w:w="716"/>
        <w:gridCol w:w="465"/>
        <w:gridCol w:w="716"/>
        <w:gridCol w:w="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tblHeader/>
          <w:jc w:val="center"/>
        </w:trPr>
        <w:tc>
          <w:tcPr>
            <w:tcW w:w="1159" w:type="pct"/>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矿山名称</w:t>
            </w:r>
          </w:p>
        </w:tc>
        <w:tc>
          <w:tcPr>
            <w:tcW w:w="704" w:type="pct"/>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所在乡镇</w:t>
            </w:r>
          </w:p>
        </w:tc>
        <w:tc>
          <w:tcPr>
            <w:tcW w:w="613" w:type="pct"/>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矿种</w:t>
            </w:r>
          </w:p>
        </w:tc>
        <w:tc>
          <w:tcPr>
            <w:tcW w:w="523" w:type="pct"/>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开采现状</w:t>
            </w:r>
          </w:p>
        </w:tc>
        <w:tc>
          <w:tcPr>
            <w:tcW w:w="523" w:type="pct"/>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开采方式</w:t>
            </w:r>
          </w:p>
        </w:tc>
        <w:tc>
          <w:tcPr>
            <w:tcW w:w="339" w:type="pct"/>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规模</w:t>
            </w:r>
          </w:p>
        </w:tc>
        <w:tc>
          <w:tcPr>
            <w:tcW w:w="523" w:type="pct"/>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损毁面积</w:t>
            </w:r>
          </w:p>
        </w:tc>
        <w:tc>
          <w:tcPr>
            <w:tcW w:w="613" w:type="pct"/>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废弃原因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159" w:type="pct"/>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bCs/>
                <w:color w:val="auto"/>
                <w:sz w:val="21"/>
                <w:szCs w:val="21"/>
              </w:rPr>
            </w:pPr>
            <w:r>
              <w:rPr>
                <w:rFonts w:hint="eastAsia" w:ascii="Times New Roman" w:hAnsi="Times New Roman" w:eastAsia="仿宋_GB2312"/>
                <w:bCs/>
                <w:color w:val="auto"/>
                <w:sz w:val="21"/>
                <w:szCs w:val="21"/>
                <w:lang w:val="en-US" w:eastAsia="zh-CN"/>
              </w:rPr>
              <w:t xml:space="preserve">上犹县平富乡 </w:t>
            </w:r>
          </w:p>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bCs/>
                <w:color w:val="auto"/>
                <w:sz w:val="21"/>
                <w:szCs w:val="21"/>
                <w:lang w:val="en-US" w:eastAsia="zh-CN"/>
              </w:rPr>
              <w:t>庄坑尾建筑用砂岩矿</w:t>
            </w:r>
          </w:p>
        </w:tc>
        <w:tc>
          <w:tcPr>
            <w:tcW w:w="704" w:type="pct"/>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信地村</w:t>
            </w:r>
          </w:p>
        </w:tc>
        <w:tc>
          <w:tcPr>
            <w:tcW w:w="613" w:type="pct"/>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建筑石料</w:t>
            </w:r>
          </w:p>
        </w:tc>
        <w:tc>
          <w:tcPr>
            <w:tcW w:w="523" w:type="pct"/>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废弃</w:t>
            </w:r>
          </w:p>
        </w:tc>
        <w:tc>
          <w:tcPr>
            <w:tcW w:w="523" w:type="pct"/>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露采</w:t>
            </w:r>
          </w:p>
        </w:tc>
        <w:tc>
          <w:tcPr>
            <w:tcW w:w="339" w:type="pct"/>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小型</w:t>
            </w:r>
          </w:p>
        </w:tc>
        <w:tc>
          <w:tcPr>
            <w:tcW w:w="523" w:type="pct"/>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16948.27</w:t>
            </w:r>
          </w:p>
        </w:tc>
        <w:tc>
          <w:tcPr>
            <w:tcW w:w="613" w:type="pct"/>
            <w:noWrap/>
            <w:vAlign w:val="center"/>
          </w:tcPr>
          <w:p>
            <w:pPr>
              <w:pageBreakBefore w:val="0"/>
              <w:kinsoku/>
              <w:wordWrap/>
              <w:overflowPunct/>
              <w:topLinePunct w:val="0"/>
              <w:bidi w:val="0"/>
              <w:spacing w:before="50" w:after="50" w:line="480" w:lineRule="exact"/>
              <w:ind w:firstLine="0" w:firstLineChars="0"/>
              <w:jc w:val="center"/>
              <w:rPr>
                <w:rFonts w:hint="default"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已停采</w:t>
            </w:r>
          </w:p>
        </w:tc>
      </w:tr>
    </w:tbl>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（2）废弃矿点地质环境修复工程</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本次需要治理的废弃矿点的主要地质环境问题主要表现如下：①部分矿点治理后缺乏管护，以致植物成活率低，植被稀少甚至无植被。②治理缺乏系统性，治理不够彻底，缺少排水系统，局部冲沟发育处未治理，无植被，水土流失严重。③开挖或堆积边坡高陡，植被稀少甚至无植被。</w:t>
      </w:r>
    </w:p>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表10-8 平富乡废弃矿点地质环境修复工程表</w:t>
      </w:r>
    </w:p>
    <w:p>
      <w:pPr>
        <w:pStyle w:val="26"/>
        <w:pageBreakBefore w:val="0"/>
        <w:kinsoku/>
        <w:wordWrap/>
        <w:overflowPunct/>
        <w:topLinePunct w:val="0"/>
        <w:bidi w:val="0"/>
        <w:spacing w:line="480" w:lineRule="exact"/>
        <w:ind w:firstLine="482"/>
        <w:jc w:val="right"/>
        <w:rPr>
          <w:rFonts w:hint="default" w:ascii="Times New Roman" w:hAnsi="Times New Roman" w:eastAsia="仿宋_GB2312" w:cs="Times New Roman"/>
          <w:b/>
          <w:color w:val="auto"/>
          <w:sz w:val="21"/>
          <w:szCs w:val="21"/>
        </w:rPr>
      </w:pPr>
      <w:r>
        <w:rPr>
          <w:rFonts w:hint="eastAsia" w:ascii="Times New Roman" w:hAnsi="Times New Roman" w:eastAsia="仿宋_GB2312" w:cs="微软雅黑"/>
          <w:b/>
          <w:bCs w:val="0"/>
          <w:color w:val="auto"/>
          <w:kern w:val="0"/>
          <w:sz w:val="21"/>
          <w:szCs w:val="21"/>
          <w:lang w:val="en-US" w:eastAsia="zh-CN" w:bidi="zh-CN"/>
        </w:rPr>
        <w:t>单位：平方米</w:t>
      </w:r>
    </w:p>
    <w:tbl>
      <w:tblPr>
        <w:tblStyle w:val="19"/>
        <w:tblW w:w="501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4"/>
        <w:gridCol w:w="1095"/>
        <w:gridCol w:w="1007"/>
        <w:gridCol w:w="1192"/>
        <w:gridCol w:w="3001"/>
        <w:gridCol w:w="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9" w:hRule="atLeast"/>
          <w:tblHeader/>
          <w:jc w:val="center"/>
        </w:trPr>
        <w:tc>
          <w:tcPr>
            <w:tcW w:w="853" w:type="pct"/>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
                <w:color w:val="auto"/>
                <w:sz w:val="21"/>
                <w:szCs w:val="21"/>
              </w:rPr>
            </w:pPr>
            <w:r>
              <w:rPr>
                <w:rFonts w:hint="eastAsia" w:ascii="Times New Roman" w:hAnsi="Times New Roman" w:eastAsia="仿宋_GB2312"/>
                <w:b/>
                <w:color w:val="auto"/>
                <w:sz w:val="21"/>
                <w:szCs w:val="21"/>
              </w:rPr>
              <w:t>矿点名称</w:t>
            </w:r>
          </w:p>
        </w:tc>
        <w:tc>
          <w:tcPr>
            <w:tcW w:w="656" w:type="pct"/>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
                <w:color w:val="auto"/>
                <w:sz w:val="21"/>
                <w:szCs w:val="21"/>
              </w:rPr>
            </w:pPr>
            <w:r>
              <w:rPr>
                <w:rFonts w:hint="eastAsia" w:ascii="Times New Roman" w:hAnsi="Times New Roman" w:eastAsia="仿宋_GB2312"/>
                <w:b/>
                <w:color w:val="auto"/>
                <w:sz w:val="21"/>
                <w:szCs w:val="21"/>
              </w:rPr>
              <w:t>所处乡镇</w:t>
            </w:r>
          </w:p>
        </w:tc>
        <w:tc>
          <w:tcPr>
            <w:tcW w:w="603" w:type="pct"/>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
                <w:color w:val="auto"/>
                <w:sz w:val="21"/>
                <w:szCs w:val="21"/>
              </w:rPr>
            </w:pPr>
            <w:r>
              <w:rPr>
                <w:rFonts w:hint="eastAsia" w:ascii="Times New Roman" w:hAnsi="Times New Roman" w:eastAsia="仿宋_GB2312"/>
                <w:b/>
                <w:color w:val="auto"/>
                <w:sz w:val="21"/>
                <w:szCs w:val="21"/>
              </w:rPr>
              <w:t>治理面积</w:t>
            </w:r>
          </w:p>
        </w:tc>
        <w:tc>
          <w:tcPr>
            <w:tcW w:w="714" w:type="pct"/>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
                <w:color w:val="auto"/>
                <w:sz w:val="21"/>
                <w:szCs w:val="21"/>
              </w:rPr>
            </w:pPr>
            <w:r>
              <w:rPr>
                <w:rFonts w:hint="eastAsia" w:ascii="Times New Roman" w:hAnsi="Times New Roman" w:eastAsia="仿宋_GB2312"/>
                <w:b/>
                <w:color w:val="auto"/>
                <w:sz w:val="21"/>
                <w:szCs w:val="21"/>
              </w:rPr>
              <w:t>植被覆盖率</w:t>
            </w:r>
          </w:p>
        </w:tc>
        <w:tc>
          <w:tcPr>
            <w:tcW w:w="1798" w:type="pct"/>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
                <w:color w:val="auto"/>
                <w:sz w:val="21"/>
                <w:szCs w:val="21"/>
              </w:rPr>
            </w:pPr>
            <w:r>
              <w:rPr>
                <w:rFonts w:hint="eastAsia" w:ascii="Times New Roman" w:hAnsi="Times New Roman" w:eastAsia="仿宋_GB2312"/>
                <w:b/>
                <w:color w:val="auto"/>
                <w:sz w:val="21"/>
                <w:szCs w:val="21"/>
              </w:rPr>
              <w:t>存在问题</w:t>
            </w:r>
          </w:p>
        </w:tc>
        <w:tc>
          <w:tcPr>
            <w:tcW w:w="374" w:type="pct"/>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
                <w:color w:val="auto"/>
                <w:sz w:val="21"/>
                <w:szCs w:val="21"/>
              </w:rPr>
            </w:pPr>
            <w:r>
              <w:rPr>
                <w:rFonts w:hint="eastAsia" w:ascii="Times New Roman" w:hAnsi="Times New Roman" w:eastAsia="仿宋_GB2312"/>
                <w:b/>
                <w:color w:val="auto"/>
                <w:sz w:val="21"/>
                <w:szCs w:val="21"/>
              </w:rPr>
              <w:t>实施时间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853" w:type="pct"/>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bCs/>
                <w:color w:val="auto"/>
                <w:sz w:val="21"/>
                <w:szCs w:val="21"/>
              </w:rPr>
            </w:pPr>
            <w:r>
              <w:rPr>
                <w:rFonts w:hint="eastAsia" w:ascii="Times New Roman" w:hAnsi="Times New Roman" w:eastAsia="仿宋_GB2312"/>
                <w:bCs/>
                <w:color w:val="auto"/>
                <w:sz w:val="21"/>
                <w:szCs w:val="21"/>
                <w:lang w:val="en-US" w:eastAsia="zh-CN"/>
              </w:rPr>
              <w:t xml:space="preserve">上犹县平富乡 </w:t>
            </w:r>
          </w:p>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Cs/>
                <w:color w:val="auto"/>
                <w:sz w:val="21"/>
                <w:szCs w:val="21"/>
              </w:rPr>
            </w:pPr>
            <w:r>
              <w:rPr>
                <w:rFonts w:hint="eastAsia" w:ascii="Times New Roman" w:hAnsi="Times New Roman" w:eastAsia="仿宋_GB2312"/>
                <w:bCs/>
                <w:color w:val="auto"/>
                <w:sz w:val="21"/>
                <w:szCs w:val="21"/>
                <w:lang w:val="en-US" w:eastAsia="zh-CN"/>
              </w:rPr>
              <w:t>庄坑尾建筑用砂岩矿</w:t>
            </w:r>
          </w:p>
        </w:tc>
        <w:tc>
          <w:tcPr>
            <w:tcW w:w="656" w:type="pct"/>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bCs/>
                <w:color w:val="auto"/>
                <w:sz w:val="21"/>
                <w:szCs w:val="21"/>
                <w:lang w:eastAsia="zh-CN"/>
              </w:rPr>
            </w:pPr>
            <w:r>
              <w:rPr>
                <w:rFonts w:hint="eastAsia" w:ascii="Times New Roman" w:hAnsi="Times New Roman" w:eastAsia="仿宋_GB2312" w:cs="微软雅黑"/>
                <w:bCs/>
                <w:color w:val="auto"/>
                <w:kern w:val="0"/>
                <w:sz w:val="21"/>
                <w:szCs w:val="21"/>
                <w:lang w:val="en-US" w:eastAsia="zh-CN" w:bidi="zh-CN"/>
              </w:rPr>
              <w:t>信地村</w:t>
            </w:r>
          </w:p>
        </w:tc>
        <w:tc>
          <w:tcPr>
            <w:tcW w:w="603" w:type="pct"/>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Cs/>
                <w:color w:val="auto"/>
                <w:sz w:val="21"/>
                <w:szCs w:val="21"/>
              </w:rPr>
            </w:pPr>
            <w:r>
              <w:rPr>
                <w:rFonts w:hint="eastAsia" w:ascii="Times New Roman" w:hAnsi="Times New Roman" w:eastAsia="仿宋_GB2312" w:cs="微软雅黑"/>
                <w:bCs/>
                <w:color w:val="auto"/>
                <w:kern w:val="0"/>
                <w:sz w:val="21"/>
                <w:szCs w:val="21"/>
                <w:lang w:val="en-US" w:eastAsia="zh-CN" w:bidi="zh-CN"/>
              </w:rPr>
              <w:t>16948.27</w:t>
            </w:r>
          </w:p>
        </w:tc>
        <w:tc>
          <w:tcPr>
            <w:tcW w:w="714" w:type="pct"/>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Cs/>
                <w:color w:val="auto"/>
                <w:sz w:val="21"/>
                <w:szCs w:val="21"/>
              </w:rPr>
            </w:pPr>
            <w:r>
              <w:rPr>
                <w:rFonts w:hint="eastAsia" w:ascii="Times New Roman" w:hAnsi="Times New Roman" w:eastAsia="仿宋_GB2312"/>
                <w:bCs/>
                <w:color w:val="auto"/>
                <w:sz w:val="21"/>
                <w:szCs w:val="21"/>
              </w:rPr>
              <w:t>0%</w:t>
            </w:r>
          </w:p>
        </w:tc>
        <w:tc>
          <w:tcPr>
            <w:tcW w:w="1798" w:type="pct"/>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Cs/>
                <w:color w:val="auto"/>
                <w:sz w:val="21"/>
                <w:szCs w:val="21"/>
              </w:rPr>
            </w:pPr>
            <w:r>
              <w:rPr>
                <w:rFonts w:hint="eastAsia" w:ascii="Times New Roman" w:hAnsi="Times New Roman" w:eastAsia="仿宋_GB2312"/>
                <w:bCs/>
                <w:color w:val="auto"/>
                <w:sz w:val="21"/>
                <w:szCs w:val="21"/>
              </w:rPr>
              <w:t>部分场地平整，自然复绿，植被覆盖率较低，存在水土流失</w:t>
            </w:r>
          </w:p>
        </w:tc>
        <w:tc>
          <w:tcPr>
            <w:tcW w:w="374" w:type="pct"/>
            <w:vAlign w:val="center"/>
          </w:tcPr>
          <w:p>
            <w:pPr>
              <w:pageBreakBefore w:val="0"/>
              <w:kinsoku/>
              <w:wordWrap/>
              <w:overflowPunct/>
              <w:topLinePunct w:val="0"/>
              <w:bidi w:val="0"/>
              <w:spacing w:before="50" w:after="50" w:line="480" w:lineRule="exact"/>
              <w:ind w:firstLine="0" w:firstLineChars="0"/>
              <w:jc w:val="center"/>
              <w:rPr>
                <w:rFonts w:ascii="Times New Roman" w:hAnsi="Times New Roman" w:eastAsia="仿宋_GB2312"/>
                <w:bCs/>
                <w:color w:val="auto"/>
                <w:sz w:val="21"/>
                <w:szCs w:val="21"/>
              </w:rPr>
            </w:pPr>
            <w:r>
              <w:rPr>
                <w:rFonts w:hint="eastAsia" w:ascii="Times New Roman" w:hAnsi="Times New Roman" w:eastAsia="仿宋_GB2312"/>
                <w:bCs/>
                <w:color w:val="auto"/>
                <w:sz w:val="21"/>
                <w:szCs w:val="21"/>
              </w:rPr>
              <w:t>近期</w:t>
            </w:r>
          </w:p>
        </w:tc>
      </w:tr>
    </w:tbl>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 w:val="0"/>
          <w:bCs/>
          <w:color w:val="auto"/>
          <w:sz w:val="28"/>
          <w:szCs w:val="28"/>
        </w:rPr>
      </w:pPr>
      <w:r>
        <w:rPr>
          <w:rFonts w:hint="eastAsia" w:ascii="Times New Roman" w:hAnsi="Times New Roman" w:eastAsia="仿宋_GB2312"/>
          <w:b w:val="0"/>
          <w:bCs/>
          <w:color w:val="auto"/>
          <w:sz w:val="28"/>
          <w:szCs w:val="28"/>
          <w:lang w:val="en-US" w:eastAsia="zh-CN"/>
        </w:rPr>
        <w:t>2</w:t>
      </w:r>
      <w:r>
        <w:rPr>
          <w:rFonts w:ascii="Times New Roman" w:hAnsi="Times New Roman" w:eastAsia="仿宋_GB2312"/>
          <w:b w:val="0"/>
          <w:bCs/>
          <w:color w:val="auto"/>
          <w:sz w:val="28"/>
          <w:szCs w:val="28"/>
        </w:rPr>
        <w:t>、矿山地质灾害防治工程</w:t>
      </w:r>
    </w:p>
    <w:p>
      <w:pPr>
        <w:pStyle w:val="17"/>
        <w:pageBreakBefore w:val="0"/>
        <w:kinsoku/>
        <w:wordWrap/>
        <w:overflowPunct/>
        <w:topLinePunct w:val="0"/>
        <w:bidi w:val="0"/>
        <w:spacing w:after="0" w:line="480" w:lineRule="exact"/>
        <w:ind w:left="0" w:leftChars="0" w:firstLine="560" w:firstLineChars="200"/>
        <w:rPr>
          <w:rFonts w:hint="eastAsia" w:ascii="Times New Roman" w:hAnsi="Times New Roman" w:eastAsia="仿宋_GB2312"/>
          <w:bCs/>
          <w:color w:val="auto"/>
          <w:sz w:val="28"/>
          <w:szCs w:val="28"/>
          <w:lang w:eastAsia="zh-CN"/>
        </w:rPr>
      </w:pPr>
      <w:r>
        <w:rPr>
          <w:rFonts w:ascii="Times New Roman" w:hAnsi="Times New Roman" w:eastAsia="仿宋_GB2312"/>
          <w:bCs/>
          <w:color w:val="auto"/>
          <w:sz w:val="28"/>
          <w:szCs w:val="28"/>
        </w:rPr>
        <w:t>根据地质灾害表，</w:t>
      </w:r>
      <w:r>
        <w:rPr>
          <w:rFonts w:hint="eastAsia" w:ascii="Times New Roman" w:hAnsi="Times New Roman" w:eastAsia="仿宋_GB2312"/>
          <w:bCs/>
          <w:color w:val="auto"/>
          <w:sz w:val="28"/>
          <w:szCs w:val="28"/>
          <w:lang w:eastAsia="zh-CN"/>
        </w:rPr>
        <w:t>平富全乡共有</w:t>
      </w:r>
      <w:r>
        <w:rPr>
          <w:rFonts w:hint="eastAsia" w:ascii="Times New Roman" w:hAnsi="Times New Roman" w:eastAsia="仿宋_GB2312"/>
          <w:bCs/>
          <w:color w:val="auto"/>
          <w:sz w:val="28"/>
          <w:szCs w:val="28"/>
          <w:lang w:val="en-US" w:eastAsia="zh-CN"/>
        </w:rPr>
        <w:t>地</w:t>
      </w:r>
      <w:r>
        <w:rPr>
          <w:rFonts w:hint="eastAsia" w:ascii="Times New Roman" w:hAnsi="Times New Roman" w:eastAsia="仿宋_GB2312"/>
          <w:bCs/>
          <w:color w:val="auto"/>
          <w:sz w:val="28"/>
          <w:szCs w:val="28"/>
          <w:lang w:eastAsia="zh-CN"/>
        </w:rPr>
        <w:t>质灾害点50处，其中崩塌1处、28处滑坡点、有崩塌滑坡隐患21处。</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hint="eastAsia" w:ascii="Times New Roman" w:hAnsi="Times New Roman" w:eastAsia="仿宋_GB2312"/>
          <w:bCs/>
          <w:color w:val="auto"/>
          <w:sz w:val="28"/>
          <w:szCs w:val="28"/>
          <w:lang w:val="en-US" w:eastAsia="zh-CN"/>
        </w:rPr>
        <w:t>（1）</w:t>
      </w:r>
      <w:r>
        <w:rPr>
          <w:rFonts w:ascii="Times New Roman" w:hAnsi="Times New Roman" w:eastAsia="仿宋_GB2312"/>
          <w:bCs/>
          <w:color w:val="auto"/>
          <w:sz w:val="28"/>
          <w:szCs w:val="28"/>
        </w:rPr>
        <w:t>滑坡</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滑坡治理可采用清理滑坡体以恢复场地，或者修筑截排水工程和支挡工程防止形成新的滑坡体；对于潜在的滑坡隐患应根据滑坡体特征、地质环境条件、气象条件，综合分析其发展趋势、危害程度等，采取截排水沟、挡墙、抗滑桩、削方减载、锚索（杆）、格构和植被防护等工程措施以消除隐患。</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lang w:val="en-US" w:eastAsia="zh-CN"/>
        </w:rPr>
      </w:pPr>
      <w:r>
        <w:rPr>
          <w:rFonts w:hint="eastAsia" w:ascii="Times New Roman" w:hAnsi="Times New Roman" w:eastAsia="仿宋_GB2312"/>
          <w:bCs/>
          <w:color w:val="auto"/>
          <w:sz w:val="28"/>
          <w:szCs w:val="28"/>
          <w:lang w:val="en-US" w:eastAsia="zh-CN"/>
        </w:rPr>
        <w:t>（2）崩塌</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崩塌治理可采用清理碎石土和危岩以恢复场地，或者修筑拦挡工程和排水工程防止形成新的安全隐患；潜在的崩塌灾害，可采用清除危岩（土）体、柔性防护网、锚固、灌浆、支撑、支挡、截排水等工程措施进行边坡加固，消除崩塌隐患。</w:t>
      </w:r>
    </w:p>
    <w:p>
      <w:pPr>
        <w:snapToGrid w:val="0"/>
        <w:spacing w:line="480" w:lineRule="exact"/>
        <w:ind w:firstLine="562"/>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二、森林生态综合修复工程</w:t>
      </w:r>
    </w:p>
    <w:p>
      <w:pPr>
        <w:pageBreakBefore w:val="0"/>
        <w:kinsoku/>
        <w:wordWrap/>
        <w:overflowPunct/>
        <w:topLinePunct w:val="0"/>
        <w:bidi w:val="0"/>
        <w:spacing w:line="480" w:lineRule="exact"/>
        <w:ind w:firstLine="560" w:firstLineChars="200"/>
        <w:jc w:val="left"/>
        <w:outlineLvl w:val="2"/>
        <w:rPr>
          <w:rFonts w:hint="default" w:ascii="Times New Roman" w:hAnsi="Times New Roman" w:eastAsia="仿宋_GB2312" w:cs="微软雅黑"/>
          <w:b w:val="0"/>
          <w:bCs/>
          <w:color w:val="auto"/>
          <w:kern w:val="0"/>
          <w:sz w:val="28"/>
          <w:szCs w:val="28"/>
          <w:lang w:val="en-US" w:eastAsia="zh-CN" w:bidi="zh-CN"/>
        </w:rPr>
      </w:pPr>
      <w:r>
        <w:rPr>
          <w:rFonts w:hint="eastAsia" w:ascii="Times New Roman" w:hAnsi="Times New Roman" w:eastAsia="仿宋_GB2312" w:cs="微软雅黑"/>
          <w:b w:val="0"/>
          <w:bCs/>
          <w:color w:val="auto"/>
          <w:kern w:val="0"/>
          <w:sz w:val="28"/>
          <w:szCs w:val="28"/>
          <w:lang w:val="en-US" w:eastAsia="zh-CN" w:bidi="zh-CN"/>
        </w:rPr>
        <w:t>1、封山育林类生态修复</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封山育林是指通过研究森林顺向演替规律，采取积极的人工干预措施，促进其顺向演替，使得森林植被从初级向高级演替阶段发展。封山育林类生态修复有三种模式：</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（1）自然封育模式</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自然封育模式多数应用于偏远的山区，同时在此模式下，政府只需要投入较少的资金即可实现恢复植被生长的目的。自然封育模式主要利用的是根桩和母树，然后通过对其及时更新来恢复被破坏较轻的植被。在人烟稀少的偏远地区，植被具备更新能力强的天然特点，因此相关技术人员只需对遭到破坏的植被合理实施自然封育即可有效解决植被较为稀少的问题。自然封育模式的实施，可有效节约资金的投入量，节省生态环境保护的相关部门的工作成本。另外，在自然封育模式中，要求政府相关部门应明确规定每位护林员负责管理植被的面积，最终通过人工护林的辅助措施确保植被的快速生长，并大大降低植被遭到破坏的可能性。</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（2）封造结合模式</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封造结合模式可有效解决部分地区立地条件较差的问题，并帮助幼苗树苗较少的地区保护幼苗生长。除此之外，封造结合模式还可以应用于以下几个方面：第一，若植被在种植的过程中出现分布不均匀的现象，即可利用封造结合的模式来优化植被的分布；第二，若植被在生长的过程中出现间距较为疏离的现象，那么即使其具备一定的更新能力，相关的技术人员也必须采用封造结合模式促进植被的快速生长；第三，在种植的树种结构较为单一的情况下，也可合理利用封造结合模式。封造结合模式可恢复植被天然的缺陷，同时也可在保障植被快速生长的情况下提高植被的生长质量。</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（3）封育改造模式</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封育改造模式主要被应用于灌木林地，且要求林地郁闭度处在0.5以下。此模式是在植被的生长过程中出现植被密度稀疏的情况下，利用人工的方式对植被进行补播，最终改善植被的生长。同时，相关的技术人员在对封育改造模式进行应用的过程中也可根据实际的环境特点，来选择半封或者轮封，从而达到提升综合效益的目标。例如：地形特点、人在植被种植区活动的频率等。其次，在利用封育改造模式来改善植被的低质状况时，应有效结合人工辅助的手段消除低质木，保留优质木，促进幼苗生长，并为幼树的生长提供一个良好的生长空间。</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hint="eastAsia" w:ascii="Times New Roman" w:hAnsi="Times New Roman" w:eastAsia="仿宋_GB2312"/>
          <w:bCs/>
          <w:color w:val="auto"/>
          <w:sz w:val="28"/>
          <w:szCs w:val="28"/>
          <w:lang w:val="en-US" w:eastAsia="zh-CN"/>
        </w:rPr>
        <w:t>2</w:t>
      </w:r>
      <w:r>
        <w:rPr>
          <w:rFonts w:ascii="Times New Roman" w:hAnsi="Times New Roman" w:eastAsia="仿宋_GB2312"/>
          <w:bCs/>
          <w:color w:val="auto"/>
          <w:sz w:val="28"/>
          <w:szCs w:val="28"/>
        </w:rPr>
        <w:t>、造林绿化工程</w:t>
      </w:r>
    </w:p>
    <w:p>
      <w:pPr>
        <w:pStyle w:val="17"/>
        <w:pageBreakBefore w:val="0"/>
        <w:kinsoku/>
        <w:wordWrap/>
        <w:overflowPunct/>
        <w:topLinePunct w:val="0"/>
        <w:bidi w:val="0"/>
        <w:spacing w:after="0" w:line="480" w:lineRule="exact"/>
        <w:ind w:left="0" w:leftChars="0" w:firstLine="560" w:firstLineChars="200"/>
        <w:rPr>
          <w:rFonts w:ascii="Times New Roman" w:hAnsi="Times New Roman" w:eastAsia="仿宋_GB2312"/>
          <w:bCs/>
          <w:color w:val="auto"/>
          <w:sz w:val="28"/>
          <w:szCs w:val="28"/>
        </w:rPr>
      </w:pPr>
      <w:r>
        <w:rPr>
          <w:rFonts w:ascii="Times New Roman" w:hAnsi="Times New Roman" w:eastAsia="仿宋_GB2312"/>
          <w:bCs/>
          <w:color w:val="auto"/>
          <w:sz w:val="28"/>
          <w:szCs w:val="28"/>
        </w:rPr>
        <w:t>根据</w:t>
      </w:r>
      <w:r>
        <w:rPr>
          <w:rFonts w:hint="eastAsia" w:ascii="Times New Roman" w:hAnsi="Times New Roman" w:eastAsia="仿宋_GB2312"/>
          <w:bCs/>
          <w:color w:val="auto"/>
          <w:sz w:val="28"/>
          <w:szCs w:val="28"/>
          <w:lang w:eastAsia="zh-CN"/>
        </w:rPr>
        <w:t>上犹县</w:t>
      </w:r>
      <w:r>
        <w:rPr>
          <w:rFonts w:ascii="Times New Roman" w:hAnsi="Times New Roman" w:eastAsia="仿宋_GB2312"/>
          <w:bCs/>
          <w:color w:val="auto"/>
          <w:sz w:val="28"/>
          <w:szCs w:val="28"/>
        </w:rPr>
        <w:t>在国土空间规划中明确造林绿化空间的工作成果可得，</w:t>
      </w:r>
      <w:r>
        <w:rPr>
          <w:rFonts w:hint="eastAsia" w:ascii="Times New Roman" w:hAnsi="Times New Roman" w:eastAsia="仿宋_GB2312"/>
          <w:bCs/>
          <w:color w:val="auto"/>
          <w:sz w:val="28"/>
          <w:szCs w:val="28"/>
          <w:lang w:eastAsia="zh-CN"/>
        </w:rPr>
        <w:t>平富乡</w:t>
      </w:r>
      <w:r>
        <w:rPr>
          <w:rFonts w:ascii="Times New Roman" w:hAnsi="Times New Roman" w:eastAsia="仿宋_GB2312"/>
          <w:bCs/>
          <w:color w:val="auto"/>
          <w:sz w:val="28"/>
          <w:szCs w:val="28"/>
        </w:rPr>
        <w:t>规划造林绿化空间图斑共</w:t>
      </w:r>
      <w:r>
        <w:rPr>
          <w:rFonts w:hint="eastAsia" w:ascii="Times New Roman" w:hAnsi="Times New Roman" w:eastAsia="仿宋_GB2312"/>
          <w:bCs/>
          <w:color w:val="auto"/>
          <w:sz w:val="28"/>
          <w:szCs w:val="28"/>
          <w:lang w:val="en-US" w:eastAsia="zh-CN"/>
        </w:rPr>
        <w:t>4</w:t>
      </w:r>
      <w:r>
        <w:rPr>
          <w:rFonts w:ascii="Times New Roman" w:hAnsi="Times New Roman" w:eastAsia="仿宋_GB2312"/>
          <w:bCs/>
          <w:color w:val="auto"/>
          <w:sz w:val="28"/>
          <w:szCs w:val="28"/>
        </w:rPr>
        <w:t>个，面积共</w:t>
      </w:r>
      <w:r>
        <w:rPr>
          <w:rFonts w:hint="eastAsia" w:ascii="Times New Roman" w:hAnsi="Times New Roman" w:eastAsia="仿宋_GB2312"/>
          <w:bCs/>
          <w:color w:val="auto"/>
          <w:sz w:val="28"/>
          <w:szCs w:val="28"/>
          <w:lang w:val="en-US" w:eastAsia="zh-CN"/>
        </w:rPr>
        <w:t>3.44</w:t>
      </w:r>
      <w:r>
        <w:rPr>
          <w:rFonts w:ascii="Times New Roman" w:hAnsi="Times New Roman" w:eastAsia="仿宋_GB2312"/>
          <w:bCs/>
          <w:color w:val="auto"/>
          <w:sz w:val="28"/>
          <w:szCs w:val="28"/>
        </w:rPr>
        <w:t>公顷。主要分布在</w:t>
      </w:r>
      <w:r>
        <w:rPr>
          <w:rFonts w:hint="eastAsia" w:ascii="Times New Roman" w:hAnsi="Times New Roman" w:eastAsia="仿宋_GB2312"/>
          <w:bCs/>
          <w:color w:val="auto"/>
          <w:sz w:val="28"/>
          <w:szCs w:val="28"/>
          <w:lang w:eastAsia="zh-CN"/>
        </w:rPr>
        <w:t>平富乡</w:t>
      </w:r>
      <w:r>
        <w:rPr>
          <w:rFonts w:hint="eastAsia" w:ascii="Times New Roman" w:hAnsi="Times New Roman" w:eastAsia="仿宋_GB2312"/>
          <w:bCs/>
          <w:color w:val="auto"/>
          <w:sz w:val="28"/>
          <w:szCs w:val="28"/>
          <w:lang w:val="en-US" w:eastAsia="zh-CN"/>
        </w:rPr>
        <w:t>上寨</w:t>
      </w:r>
      <w:r>
        <w:rPr>
          <w:rFonts w:ascii="Times New Roman" w:hAnsi="Times New Roman" w:eastAsia="仿宋_GB2312"/>
          <w:bCs/>
          <w:color w:val="auto"/>
          <w:sz w:val="28"/>
          <w:szCs w:val="28"/>
        </w:rPr>
        <w:t>村、</w:t>
      </w:r>
      <w:r>
        <w:rPr>
          <w:rFonts w:hint="default" w:ascii="Times New Roman" w:hAnsi="Times New Roman" w:eastAsia="仿宋_GB2312"/>
          <w:bCs/>
          <w:color w:val="auto"/>
          <w:sz w:val="28"/>
          <w:szCs w:val="28"/>
          <w:lang w:val="en-US" w:eastAsia="zh-CN"/>
        </w:rPr>
        <w:t>向前</w:t>
      </w:r>
      <w:r>
        <w:rPr>
          <w:rFonts w:hint="eastAsia" w:ascii="Times New Roman" w:hAnsi="Times New Roman" w:eastAsia="仿宋_GB2312"/>
          <w:bCs/>
          <w:color w:val="auto"/>
          <w:sz w:val="28"/>
          <w:szCs w:val="28"/>
          <w:lang w:eastAsia="zh-CN"/>
        </w:rPr>
        <w:t>村</w:t>
      </w:r>
      <w:r>
        <w:rPr>
          <w:rFonts w:hint="eastAsia" w:ascii="Times New Roman" w:hAnsi="Times New Roman" w:eastAsia="仿宋_GB2312"/>
          <w:bCs/>
          <w:color w:val="auto"/>
          <w:sz w:val="28"/>
          <w:szCs w:val="28"/>
          <w:lang w:val="en-US" w:eastAsia="zh-CN"/>
        </w:rPr>
        <w:t>、</w:t>
      </w:r>
      <w:r>
        <w:rPr>
          <w:rFonts w:hint="default" w:ascii="Times New Roman" w:hAnsi="Times New Roman" w:eastAsia="仿宋_GB2312"/>
          <w:bCs/>
          <w:color w:val="auto"/>
          <w:sz w:val="28"/>
          <w:szCs w:val="28"/>
          <w:lang w:val="en-US" w:eastAsia="zh-CN"/>
        </w:rPr>
        <w:t>横坑村</w:t>
      </w:r>
      <w:r>
        <w:rPr>
          <w:rFonts w:hint="eastAsia" w:ascii="Times New Roman" w:hAnsi="Times New Roman" w:eastAsia="仿宋_GB2312"/>
          <w:bCs/>
          <w:color w:val="auto"/>
          <w:sz w:val="28"/>
          <w:szCs w:val="28"/>
          <w:lang w:val="en-US" w:eastAsia="zh-CN"/>
        </w:rPr>
        <w:t>以及大潭村</w:t>
      </w:r>
      <w:r>
        <w:rPr>
          <w:rFonts w:ascii="Times New Roman" w:hAnsi="Times New Roman" w:eastAsia="仿宋_GB2312"/>
          <w:bCs/>
          <w:color w:val="auto"/>
          <w:sz w:val="28"/>
          <w:szCs w:val="28"/>
        </w:rPr>
        <w:t>。具体情况详见下表。</w:t>
      </w:r>
    </w:p>
    <w:p>
      <w:pPr>
        <w:pStyle w:val="17"/>
        <w:pageBreakBefore w:val="0"/>
        <w:kinsoku/>
        <w:wordWrap/>
        <w:overflowPunct/>
        <w:topLinePunct w:val="0"/>
        <w:bidi w:val="0"/>
        <w:spacing w:after="0" w:line="480" w:lineRule="exact"/>
        <w:ind w:left="0" w:leftChars="0" w:firstLine="422" w:firstLineChars="200"/>
        <w:jc w:val="center"/>
        <w:rPr>
          <w:rFonts w:ascii="Times New Roman" w:hAnsi="Times New Roman" w:eastAsia="仿宋_GB2312"/>
          <w:b/>
          <w:bCs w:val="0"/>
          <w:color w:val="auto"/>
          <w:sz w:val="21"/>
          <w:szCs w:val="21"/>
        </w:rPr>
      </w:pPr>
      <w:r>
        <w:rPr>
          <w:rFonts w:hint="eastAsia" w:ascii="Times New Roman" w:hAnsi="Times New Roman" w:eastAsia="仿宋_GB2312"/>
          <w:b/>
          <w:bCs w:val="0"/>
          <w:color w:val="auto"/>
          <w:sz w:val="21"/>
          <w:szCs w:val="21"/>
        </w:rPr>
        <w:t>表 10-</w:t>
      </w:r>
      <w:r>
        <w:rPr>
          <w:rFonts w:hint="eastAsia" w:ascii="Times New Roman" w:hAnsi="Times New Roman" w:eastAsia="仿宋_GB2312"/>
          <w:b/>
          <w:bCs w:val="0"/>
          <w:color w:val="auto"/>
          <w:sz w:val="21"/>
          <w:szCs w:val="21"/>
          <w:lang w:val="en-US" w:eastAsia="zh-CN"/>
        </w:rPr>
        <w:t>9</w:t>
      </w:r>
      <w:r>
        <w:rPr>
          <w:rFonts w:hint="eastAsia" w:ascii="Times New Roman" w:hAnsi="Times New Roman" w:eastAsia="仿宋_GB2312"/>
          <w:b/>
          <w:bCs w:val="0"/>
          <w:color w:val="auto"/>
          <w:sz w:val="21"/>
          <w:szCs w:val="21"/>
        </w:rPr>
        <w:t xml:space="preserve"> </w:t>
      </w:r>
      <w:r>
        <w:rPr>
          <w:rFonts w:hint="eastAsia" w:ascii="Times New Roman" w:hAnsi="Times New Roman" w:eastAsia="仿宋_GB2312"/>
          <w:b/>
          <w:bCs w:val="0"/>
          <w:color w:val="auto"/>
          <w:sz w:val="21"/>
          <w:szCs w:val="21"/>
          <w:lang w:eastAsia="zh-CN"/>
        </w:rPr>
        <w:t>平富乡</w:t>
      </w:r>
      <w:r>
        <w:rPr>
          <w:rFonts w:hint="eastAsia" w:ascii="Times New Roman" w:hAnsi="Times New Roman" w:eastAsia="仿宋_GB2312"/>
          <w:b/>
          <w:bCs w:val="0"/>
          <w:color w:val="auto"/>
          <w:sz w:val="21"/>
          <w:szCs w:val="21"/>
        </w:rPr>
        <w:t>造林绿化情况表</w:t>
      </w:r>
    </w:p>
    <w:p>
      <w:pPr>
        <w:pStyle w:val="17"/>
        <w:pageBreakBefore w:val="0"/>
        <w:kinsoku/>
        <w:wordWrap/>
        <w:overflowPunct/>
        <w:topLinePunct w:val="0"/>
        <w:bidi w:val="0"/>
        <w:spacing w:after="0" w:line="480" w:lineRule="exact"/>
        <w:ind w:left="0" w:leftChars="0" w:firstLine="422" w:firstLineChars="200"/>
        <w:jc w:val="right"/>
        <w:rPr>
          <w:rFonts w:hint="default" w:ascii="Times New Roman" w:hAnsi="Times New Roman" w:eastAsia="仿宋_GB2312"/>
          <w:b/>
          <w:bCs w:val="0"/>
          <w:color w:val="auto"/>
          <w:sz w:val="21"/>
          <w:szCs w:val="21"/>
        </w:rPr>
      </w:pPr>
      <w:r>
        <w:rPr>
          <w:rFonts w:ascii="Times New Roman" w:hAnsi="Times New Roman" w:eastAsia="仿宋_GB2312"/>
          <w:b/>
          <w:bCs w:val="0"/>
          <w:color w:val="auto"/>
          <w:sz w:val="21"/>
          <w:szCs w:val="21"/>
        </w:rPr>
        <w:t>单位：公顷</w:t>
      </w:r>
    </w:p>
    <w:tbl>
      <w:tblPr>
        <w:tblStyle w:val="19"/>
        <w:tblW w:w="4998" w:type="pct"/>
        <w:tblInd w:w="0" w:type="dxa"/>
        <w:tblLayout w:type="autofit"/>
        <w:tblCellMar>
          <w:top w:w="0" w:type="dxa"/>
          <w:left w:w="108" w:type="dxa"/>
          <w:bottom w:w="0" w:type="dxa"/>
          <w:right w:w="108" w:type="dxa"/>
        </w:tblCellMar>
      </w:tblPr>
      <w:tblGrid>
        <w:gridCol w:w="5211"/>
        <w:gridCol w:w="1467"/>
        <w:gridCol w:w="1841"/>
      </w:tblGrid>
      <w:tr>
        <w:tblPrEx>
          <w:tblCellMar>
            <w:top w:w="0" w:type="dxa"/>
            <w:left w:w="108" w:type="dxa"/>
            <w:bottom w:w="0" w:type="dxa"/>
            <w:right w:w="108" w:type="dxa"/>
          </w:tblCellMar>
        </w:tblPrEx>
        <w:trPr>
          <w:trHeight w:val="255" w:hRule="atLeast"/>
          <w:tblHeader/>
        </w:trPr>
        <w:tc>
          <w:tcPr>
            <w:tcW w:w="3058"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7"/>
              <w:pageBreakBefore w:val="0"/>
              <w:kinsoku/>
              <w:wordWrap/>
              <w:overflowPunct/>
              <w:topLinePunct w:val="0"/>
              <w:bidi w:val="0"/>
              <w:spacing w:after="0" w:line="480" w:lineRule="exact"/>
              <w:ind w:left="0" w:leftChars="0" w:firstLine="422" w:firstLineChars="200"/>
              <w:jc w:val="center"/>
              <w:rPr>
                <w:rFonts w:ascii="Times New Roman" w:hAnsi="Times New Roman" w:eastAsia="仿宋_GB2312"/>
                <w:b/>
                <w:bCs w:val="0"/>
                <w:color w:val="auto"/>
                <w:sz w:val="21"/>
                <w:szCs w:val="21"/>
              </w:rPr>
            </w:pPr>
            <w:r>
              <w:rPr>
                <w:rFonts w:hint="eastAsia" w:ascii="Times New Roman" w:hAnsi="Times New Roman" w:eastAsia="仿宋_GB2312"/>
                <w:b/>
                <w:bCs w:val="0"/>
                <w:color w:val="auto"/>
                <w:sz w:val="21"/>
                <w:szCs w:val="21"/>
              </w:rPr>
              <w:t>行政区名称</w:t>
            </w:r>
          </w:p>
        </w:tc>
        <w:tc>
          <w:tcPr>
            <w:tcW w:w="86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7"/>
              <w:pageBreakBefore w:val="0"/>
              <w:kinsoku/>
              <w:wordWrap/>
              <w:overflowPunct/>
              <w:topLinePunct w:val="0"/>
              <w:bidi w:val="0"/>
              <w:spacing w:after="0" w:line="480" w:lineRule="exact"/>
              <w:ind w:left="0" w:leftChars="0" w:firstLine="422" w:firstLineChars="200"/>
              <w:jc w:val="center"/>
              <w:rPr>
                <w:rFonts w:ascii="Times New Roman" w:hAnsi="Times New Roman" w:eastAsia="仿宋_GB2312"/>
                <w:b/>
                <w:bCs w:val="0"/>
                <w:color w:val="auto"/>
                <w:sz w:val="21"/>
                <w:szCs w:val="21"/>
              </w:rPr>
            </w:pPr>
            <w:r>
              <w:rPr>
                <w:rFonts w:hint="eastAsia" w:ascii="Times New Roman" w:hAnsi="Times New Roman" w:eastAsia="仿宋_GB2312"/>
                <w:b/>
                <w:bCs w:val="0"/>
                <w:color w:val="auto"/>
                <w:sz w:val="21"/>
                <w:szCs w:val="21"/>
              </w:rPr>
              <w:t>面积</w:t>
            </w:r>
          </w:p>
        </w:tc>
        <w:tc>
          <w:tcPr>
            <w:tcW w:w="1080"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7"/>
              <w:pageBreakBefore w:val="0"/>
              <w:kinsoku/>
              <w:wordWrap/>
              <w:overflowPunct/>
              <w:topLinePunct w:val="0"/>
              <w:bidi w:val="0"/>
              <w:spacing w:after="0" w:line="480" w:lineRule="exact"/>
              <w:ind w:left="0" w:leftChars="0" w:firstLine="422" w:firstLineChars="200"/>
              <w:jc w:val="center"/>
              <w:rPr>
                <w:rFonts w:ascii="Times New Roman" w:hAnsi="Times New Roman" w:eastAsia="仿宋_GB2312"/>
                <w:b/>
                <w:bCs w:val="0"/>
                <w:color w:val="auto"/>
                <w:sz w:val="21"/>
                <w:szCs w:val="21"/>
              </w:rPr>
            </w:pPr>
            <w:r>
              <w:rPr>
                <w:rFonts w:hint="eastAsia" w:ascii="Times New Roman" w:hAnsi="Times New Roman" w:eastAsia="仿宋_GB2312"/>
                <w:b/>
                <w:bCs w:val="0"/>
                <w:color w:val="auto"/>
                <w:sz w:val="21"/>
                <w:szCs w:val="21"/>
              </w:rPr>
              <w:t>占比</w:t>
            </w:r>
          </w:p>
        </w:tc>
      </w:tr>
      <w:tr>
        <w:tblPrEx>
          <w:tblCellMar>
            <w:top w:w="0" w:type="dxa"/>
            <w:left w:w="108" w:type="dxa"/>
            <w:bottom w:w="0" w:type="dxa"/>
            <w:right w:w="108" w:type="dxa"/>
          </w:tblCellMar>
        </w:tblPrEx>
        <w:trPr>
          <w:trHeight w:val="255" w:hRule="atLeast"/>
        </w:trPr>
        <w:tc>
          <w:tcPr>
            <w:tcW w:w="30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平富乡大潭村委会</w:t>
            </w: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 xml:space="preserve">0.73 </w:t>
            </w:r>
          </w:p>
        </w:tc>
        <w:tc>
          <w:tcPr>
            <w:tcW w:w="1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21.22%</w:t>
            </w:r>
          </w:p>
        </w:tc>
      </w:tr>
      <w:tr>
        <w:tblPrEx>
          <w:tblCellMar>
            <w:top w:w="0" w:type="dxa"/>
            <w:left w:w="108" w:type="dxa"/>
            <w:bottom w:w="0" w:type="dxa"/>
            <w:right w:w="108" w:type="dxa"/>
          </w:tblCellMar>
        </w:tblPrEx>
        <w:trPr>
          <w:trHeight w:val="255" w:hRule="atLeast"/>
        </w:trPr>
        <w:tc>
          <w:tcPr>
            <w:tcW w:w="30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平富乡横坑村委会</w:t>
            </w: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 xml:space="preserve">0.56 </w:t>
            </w:r>
          </w:p>
        </w:tc>
        <w:tc>
          <w:tcPr>
            <w:tcW w:w="1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16.27%</w:t>
            </w:r>
          </w:p>
        </w:tc>
      </w:tr>
      <w:tr>
        <w:tblPrEx>
          <w:tblCellMar>
            <w:top w:w="0" w:type="dxa"/>
            <w:left w:w="108" w:type="dxa"/>
            <w:bottom w:w="0" w:type="dxa"/>
            <w:right w:w="108" w:type="dxa"/>
          </w:tblCellMar>
        </w:tblPrEx>
        <w:trPr>
          <w:trHeight w:val="255" w:hRule="atLeast"/>
        </w:trPr>
        <w:tc>
          <w:tcPr>
            <w:tcW w:w="30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平富乡上寨村委会</w:t>
            </w: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 xml:space="preserve">0.91 </w:t>
            </w:r>
          </w:p>
        </w:tc>
        <w:tc>
          <w:tcPr>
            <w:tcW w:w="1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26.39%</w:t>
            </w:r>
          </w:p>
        </w:tc>
      </w:tr>
      <w:tr>
        <w:tblPrEx>
          <w:tblCellMar>
            <w:top w:w="0" w:type="dxa"/>
            <w:left w:w="108" w:type="dxa"/>
            <w:bottom w:w="0" w:type="dxa"/>
            <w:right w:w="108" w:type="dxa"/>
          </w:tblCellMar>
        </w:tblPrEx>
        <w:trPr>
          <w:trHeight w:val="255" w:hRule="atLeast"/>
        </w:trPr>
        <w:tc>
          <w:tcPr>
            <w:tcW w:w="30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平富乡向前村委会</w:t>
            </w: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 xml:space="preserve">1.24 </w:t>
            </w:r>
          </w:p>
        </w:tc>
        <w:tc>
          <w:tcPr>
            <w:tcW w:w="1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36.12%</w:t>
            </w:r>
          </w:p>
        </w:tc>
      </w:tr>
      <w:tr>
        <w:tblPrEx>
          <w:tblCellMar>
            <w:top w:w="0" w:type="dxa"/>
            <w:left w:w="108" w:type="dxa"/>
            <w:bottom w:w="0" w:type="dxa"/>
            <w:right w:w="108" w:type="dxa"/>
          </w:tblCellMar>
        </w:tblPrEx>
        <w:trPr>
          <w:trHeight w:val="255" w:hRule="atLeast"/>
        </w:trPr>
        <w:tc>
          <w:tcPr>
            <w:tcW w:w="30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总计</w:t>
            </w: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 xml:space="preserve">3.44 </w:t>
            </w:r>
          </w:p>
        </w:tc>
        <w:tc>
          <w:tcPr>
            <w:tcW w:w="18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100.00%</w:t>
            </w:r>
          </w:p>
        </w:tc>
      </w:tr>
    </w:tbl>
    <w:p>
      <w:pPr>
        <w:snapToGrid w:val="0"/>
        <w:spacing w:line="480" w:lineRule="exact"/>
        <w:ind w:firstLine="562"/>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三、水生态修复工程</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以减少水土流失，保障供水安全、改善生态环境为主要目标，采取工程与生物措施相结合、人工治理与自然修复相结合的方式，开展重点流域水环境综合整治，推进河</w:t>
      </w:r>
      <w:r>
        <w:rPr>
          <w:rFonts w:hint="eastAsia" w:ascii="Times New Roman" w:hAnsi="Times New Roman" w:eastAsia="仿宋_GB2312"/>
          <w:bCs/>
          <w:color w:val="auto"/>
          <w:sz w:val="28"/>
          <w:szCs w:val="28"/>
          <w:lang w:val="en-US" w:eastAsia="zh-CN"/>
        </w:rPr>
        <w:t>流</w:t>
      </w:r>
      <w:r>
        <w:rPr>
          <w:rFonts w:ascii="Times New Roman" w:hAnsi="Times New Roman" w:eastAsia="仿宋_GB2312"/>
          <w:bCs/>
          <w:color w:val="auto"/>
          <w:sz w:val="28"/>
          <w:szCs w:val="28"/>
        </w:rPr>
        <w:t>水体休养生息。</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hint="eastAsia" w:ascii="Times New Roman" w:hAnsi="Times New Roman" w:eastAsia="仿宋_GB2312"/>
          <w:bCs/>
          <w:color w:val="auto"/>
          <w:sz w:val="28"/>
          <w:szCs w:val="28"/>
          <w:lang w:val="en-US" w:eastAsia="zh-CN"/>
        </w:rPr>
        <w:t>1</w:t>
      </w:r>
      <w:r>
        <w:rPr>
          <w:rFonts w:ascii="Times New Roman" w:hAnsi="Times New Roman" w:eastAsia="仿宋_GB2312"/>
          <w:bCs/>
          <w:color w:val="auto"/>
          <w:sz w:val="28"/>
          <w:szCs w:val="28"/>
        </w:rPr>
        <w:t>、水环境生态修复工程</w:t>
      </w:r>
    </w:p>
    <w:p>
      <w:pPr>
        <w:pStyle w:val="17"/>
        <w:pageBreakBefore w:val="0"/>
        <w:kinsoku/>
        <w:wordWrap/>
        <w:overflowPunct/>
        <w:topLinePunct w:val="0"/>
        <w:bidi w:val="0"/>
        <w:spacing w:after="0" w:line="480" w:lineRule="exact"/>
        <w:ind w:firstLine="560" w:firstLineChars="200"/>
        <w:rPr>
          <w:rFonts w:hint="eastAsia" w:ascii="Times New Roman" w:hAnsi="Times New Roman" w:eastAsia="仿宋_GB2312"/>
          <w:color w:val="auto"/>
          <w:szCs w:val="24"/>
        </w:rPr>
      </w:pPr>
      <w:r>
        <w:rPr>
          <w:rFonts w:hint="eastAsia" w:ascii="Times New Roman" w:hAnsi="Times New Roman" w:eastAsia="仿宋_GB2312"/>
          <w:bCs/>
          <w:color w:val="auto"/>
          <w:sz w:val="28"/>
          <w:szCs w:val="28"/>
          <w:lang w:val="en-US" w:eastAsia="zh-CN"/>
        </w:rPr>
        <w:t>规划对平富乡域</w:t>
      </w:r>
      <w:r>
        <w:rPr>
          <w:rFonts w:hint="eastAsia" w:ascii="Times New Roman" w:hAnsi="Times New Roman" w:eastAsia="仿宋_GB2312"/>
          <w:bCs/>
          <w:color w:val="auto"/>
          <w:sz w:val="28"/>
          <w:szCs w:val="28"/>
        </w:rPr>
        <w:t>坑塘水面</w:t>
      </w:r>
      <w:r>
        <w:rPr>
          <w:rFonts w:hint="eastAsia" w:ascii="Times New Roman" w:hAnsi="Times New Roman" w:eastAsia="仿宋_GB2312"/>
          <w:bCs/>
          <w:color w:val="auto"/>
          <w:sz w:val="28"/>
          <w:szCs w:val="28"/>
          <w:lang w:val="en-US" w:eastAsia="zh-CN"/>
        </w:rPr>
        <w:t>进行</w:t>
      </w:r>
      <w:r>
        <w:rPr>
          <w:rFonts w:hint="eastAsia" w:ascii="Times New Roman" w:hAnsi="Times New Roman" w:eastAsia="仿宋_GB2312"/>
          <w:bCs/>
          <w:color w:val="auto"/>
          <w:sz w:val="28"/>
          <w:szCs w:val="28"/>
        </w:rPr>
        <w:t>综合治理</w:t>
      </w:r>
      <w:r>
        <w:rPr>
          <w:rFonts w:hint="eastAsia" w:ascii="Times New Roman" w:hAnsi="Times New Roman" w:eastAsia="仿宋_GB2312"/>
          <w:bCs/>
          <w:color w:val="auto"/>
          <w:sz w:val="28"/>
          <w:szCs w:val="28"/>
          <w:lang w:eastAsia="zh-CN"/>
        </w:rPr>
        <w:t>，</w:t>
      </w:r>
      <w:r>
        <w:rPr>
          <w:rFonts w:hint="eastAsia" w:ascii="Times New Roman" w:hAnsi="Times New Roman" w:eastAsia="仿宋_GB2312"/>
          <w:bCs/>
          <w:color w:val="auto"/>
          <w:sz w:val="28"/>
          <w:szCs w:val="28"/>
          <w:lang w:val="en-US" w:eastAsia="zh-CN"/>
        </w:rPr>
        <w:t>面积</w:t>
      </w:r>
      <w:r>
        <w:rPr>
          <w:rFonts w:hint="eastAsia" w:ascii="Times New Roman" w:hAnsi="Times New Roman" w:eastAsia="仿宋_GB2312"/>
          <w:bCs/>
          <w:color w:val="auto"/>
          <w:sz w:val="28"/>
          <w:szCs w:val="28"/>
        </w:rPr>
        <w:t>1.84公顷</w:t>
      </w:r>
      <w:r>
        <w:rPr>
          <w:rFonts w:hint="eastAsia" w:ascii="Times New Roman" w:hAnsi="Times New Roman" w:eastAsia="仿宋_GB2312"/>
          <w:bCs/>
          <w:color w:val="auto"/>
          <w:sz w:val="28"/>
          <w:szCs w:val="28"/>
          <w:lang w:eastAsia="zh-CN"/>
        </w:rPr>
        <w:t>。</w:t>
      </w:r>
      <w:r>
        <w:rPr>
          <w:rFonts w:hint="eastAsia" w:ascii="Times New Roman" w:hAnsi="Times New Roman" w:eastAsia="仿宋_GB2312"/>
          <w:bCs/>
          <w:color w:val="auto"/>
          <w:sz w:val="28"/>
          <w:szCs w:val="28"/>
          <w:lang w:val="en-US" w:eastAsia="zh-CN"/>
        </w:rPr>
        <w:t>且</w:t>
      </w:r>
      <w:r>
        <w:rPr>
          <w:rFonts w:ascii="Times New Roman" w:hAnsi="Times New Roman" w:eastAsia="仿宋_GB2312"/>
          <w:bCs/>
          <w:color w:val="auto"/>
          <w:sz w:val="28"/>
          <w:szCs w:val="28"/>
        </w:rPr>
        <w:t>农村建设生活污水处理示范工程等。工程建设内容包括选择沼气净化池、污水净化池、人工湿地污水处理系统、地埋式污水处理等低成本、易管理的分散式小型污水处理设施及沿线垃圾回收处理系统。加强河流污染的综合治理，对周边工业、农业和生活用水污染源采取截流措施，有效减少污染入</w:t>
      </w:r>
      <w:r>
        <w:rPr>
          <w:rFonts w:hint="eastAsia" w:ascii="Times New Roman" w:hAnsi="Times New Roman" w:eastAsia="仿宋_GB2312"/>
          <w:bCs/>
          <w:color w:val="auto"/>
          <w:sz w:val="28"/>
          <w:szCs w:val="28"/>
          <w:lang w:val="en-US" w:eastAsia="zh-CN"/>
        </w:rPr>
        <w:t>水体</w:t>
      </w:r>
      <w:r>
        <w:rPr>
          <w:rFonts w:ascii="Times New Roman" w:hAnsi="Times New Roman" w:eastAsia="仿宋_GB2312"/>
          <w:bCs/>
          <w:color w:val="auto"/>
          <w:sz w:val="28"/>
          <w:szCs w:val="28"/>
        </w:rPr>
        <w:t>，提高水体自净能力。</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hint="eastAsia" w:ascii="Times New Roman" w:hAnsi="Times New Roman" w:eastAsia="仿宋_GB2312"/>
          <w:bCs/>
          <w:color w:val="auto"/>
          <w:sz w:val="28"/>
          <w:szCs w:val="28"/>
          <w:lang w:val="en-US" w:eastAsia="zh-CN"/>
        </w:rPr>
        <w:t>2</w:t>
      </w:r>
      <w:r>
        <w:rPr>
          <w:rFonts w:ascii="Times New Roman" w:hAnsi="Times New Roman" w:eastAsia="仿宋_GB2312"/>
          <w:bCs/>
          <w:color w:val="auto"/>
          <w:sz w:val="28"/>
          <w:szCs w:val="28"/>
        </w:rPr>
        <w:t>、水域综合整治</w:t>
      </w:r>
    </w:p>
    <w:p>
      <w:pPr>
        <w:pStyle w:val="17"/>
        <w:pageBreakBefore w:val="0"/>
        <w:kinsoku/>
        <w:wordWrap/>
        <w:overflowPunct/>
        <w:topLinePunct w:val="0"/>
        <w:bidi w:val="0"/>
        <w:spacing w:after="0" w:line="480" w:lineRule="exact"/>
        <w:ind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根据</w:t>
      </w:r>
      <w:r>
        <w:rPr>
          <w:rFonts w:hint="eastAsia" w:ascii="Times New Roman" w:hAnsi="Times New Roman" w:eastAsia="仿宋_GB2312"/>
          <w:bCs/>
          <w:color w:val="auto"/>
          <w:sz w:val="28"/>
          <w:szCs w:val="28"/>
          <w:lang w:eastAsia="zh-CN"/>
        </w:rPr>
        <w:t>平富乡</w:t>
      </w:r>
      <w:r>
        <w:rPr>
          <w:rFonts w:ascii="Times New Roman" w:hAnsi="Times New Roman" w:eastAsia="仿宋_GB2312"/>
          <w:bCs/>
          <w:color w:val="auto"/>
          <w:sz w:val="28"/>
          <w:szCs w:val="28"/>
        </w:rPr>
        <w:t>现状地类及调研分析，结合《</w:t>
      </w:r>
      <w:r>
        <w:rPr>
          <w:rFonts w:hint="eastAsia" w:ascii="Times New Roman" w:hAnsi="Times New Roman" w:eastAsia="仿宋_GB2312"/>
          <w:bCs/>
          <w:color w:val="auto"/>
          <w:sz w:val="28"/>
          <w:szCs w:val="28"/>
          <w:lang w:eastAsia="zh-CN"/>
        </w:rPr>
        <w:t>上犹县</w:t>
      </w:r>
      <w:r>
        <w:rPr>
          <w:rFonts w:ascii="Times New Roman" w:hAnsi="Times New Roman" w:eastAsia="仿宋_GB2312"/>
          <w:bCs/>
          <w:color w:val="auto"/>
          <w:sz w:val="28"/>
          <w:szCs w:val="28"/>
        </w:rPr>
        <w:t>国土空间总体规划（2021-2035年）》</w:t>
      </w:r>
      <w:r>
        <w:rPr>
          <w:rFonts w:hint="eastAsia" w:ascii="Times New Roman" w:hAnsi="Times New Roman" w:eastAsia="仿宋_GB2312"/>
          <w:bCs/>
          <w:color w:val="auto"/>
          <w:sz w:val="28"/>
          <w:szCs w:val="28"/>
          <w:lang w:val="en-US" w:eastAsia="zh-CN"/>
        </w:rPr>
        <w:t>分析</w:t>
      </w:r>
      <w:r>
        <w:rPr>
          <w:rFonts w:ascii="Times New Roman" w:hAnsi="Times New Roman" w:eastAsia="仿宋_GB2312"/>
          <w:bCs/>
          <w:color w:val="auto"/>
          <w:sz w:val="28"/>
          <w:szCs w:val="28"/>
        </w:rPr>
        <w:t>整治范围。</w:t>
      </w:r>
      <w:r>
        <w:rPr>
          <w:rFonts w:hint="eastAsia" w:ascii="Times New Roman" w:hAnsi="Times New Roman" w:eastAsia="仿宋_GB2312"/>
          <w:bCs/>
          <w:color w:val="auto"/>
          <w:sz w:val="28"/>
          <w:szCs w:val="28"/>
          <w:lang w:val="en-US" w:eastAsia="zh-CN"/>
        </w:rPr>
        <w:t>规划</w:t>
      </w:r>
      <w:r>
        <w:rPr>
          <w:rFonts w:hint="eastAsia" w:ascii="Times New Roman" w:hAnsi="Times New Roman" w:eastAsia="仿宋_GB2312"/>
          <w:bCs/>
          <w:color w:val="auto"/>
          <w:sz w:val="28"/>
          <w:szCs w:val="28"/>
          <w:lang w:eastAsia="zh-CN"/>
        </w:rPr>
        <w:t>平富乡</w:t>
      </w:r>
      <w:r>
        <w:rPr>
          <w:rFonts w:ascii="Times New Roman" w:hAnsi="Times New Roman" w:eastAsia="仿宋_GB2312"/>
          <w:bCs/>
          <w:color w:val="auto"/>
          <w:sz w:val="28"/>
          <w:szCs w:val="28"/>
        </w:rPr>
        <w:t>水域综合整治面积为</w:t>
      </w:r>
      <w:r>
        <w:rPr>
          <w:rFonts w:hint="eastAsia" w:ascii="Times New Roman" w:hAnsi="Times New Roman" w:eastAsia="仿宋_GB2312"/>
          <w:bCs/>
          <w:color w:val="auto"/>
          <w:sz w:val="28"/>
          <w:szCs w:val="28"/>
          <w:lang w:val="en-US" w:eastAsia="zh-CN"/>
        </w:rPr>
        <w:t>21.32</w:t>
      </w:r>
      <w:r>
        <w:rPr>
          <w:rFonts w:ascii="Times New Roman" w:hAnsi="Times New Roman" w:eastAsia="仿宋_GB2312"/>
          <w:bCs/>
          <w:color w:val="auto"/>
          <w:sz w:val="28"/>
          <w:szCs w:val="28"/>
        </w:rPr>
        <w:t>公顷，</w:t>
      </w:r>
      <w:r>
        <w:rPr>
          <w:rFonts w:hint="eastAsia" w:ascii="Times New Roman" w:hAnsi="Times New Roman" w:eastAsia="仿宋_GB2312"/>
          <w:bCs/>
          <w:color w:val="auto"/>
          <w:sz w:val="28"/>
          <w:szCs w:val="28"/>
          <w:lang w:val="en-US" w:eastAsia="zh-CN"/>
        </w:rPr>
        <w:t>重点对平富河流域进行综合治理</w:t>
      </w:r>
      <w:r>
        <w:rPr>
          <w:rFonts w:ascii="Times New Roman" w:hAnsi="Times New Roman" w:eastAsia="仿宋_GB2312"/>
          <w:bCs/>
          <w:color w:val="auto"/>
          <w:sz w:val="28"/>
          <w:szCs w:val="28"/>
        </w:rPr>
        <w:t>，分布在</w:t>
      </w:r>
      <w:r>
        <w:rPr>
          <w:rFonts w:hint="eastAsia" w:ascii="Times New Roman" w:hAnsi="Times New Roman" w:eastAsia="仿宋_GB2312"/>
          <w:bCs/>
          <w:color w:val="auto"/>
          <w:sz w:val="28"/>
          <w:szCs w:val="28"/>
          <w:lang w:val="en-US" w:eastAsia="zh-CN"/>
        </w:rPr>
        <w:t>向前</w:t>
      </w:r>
      <w:r>
        <w:rPr>
          <w:rFonts w:ascii="Times New Roman" w:hAnsi="Times New Roman" w:eastAsia="仿宋_GB2312"/>
          <w:bCs/>
          <w:color w:val="auto"/>
          <w:sz w:val="28"/>
          <w:szCs w:val="28"/>
        </w:rPr>
        <w:t>村</w:t>
      </w:r>
      <w:r>
        <w:rPr>
          <w:rFonts w:hint="eastAsia" w:ascii="Times New Roman" w:hAnsi="Times New Roman" w:eastAsia="仿宋_GB2312"/>
          <w:bCs/>
          <w:color w:val="auto"/>
          <w:sz w:val="28"/>
          <w:szCs w:val="28"/>
          <w:lang w:eastAsia="zh-CN"/>
        </w:rPr>
        <w:t>、</w:t>
      </w:r>
      <w:r>
        <w:rPr>
          <w:rFonts w:hint="eastAsia" w:ascii="Times New Roman" w:hAnsi="Times New Roman" w:eastAsia="仿宋_GB2312"/>
          <w:bCs/>
          <w:color w:val="auto"/>
          <w:sz w:val="28"/>
          <w:szCs w:val="28"/>
          <w:lang w:val="en-US" w:eastAsia="zh-CN"/>
        </w:rPr>
        <w:t>上寨村</w:t>
      </w:r>
      <w:r>
        <w:rPr>
          <w:rFonts w:ascii="Times New Roman" w:hAnsi="Times New Roman" w:eastAsia="仿宋_GB2312"/>
          <w:bCs/>
          <w:color w:val="auto"/>
          <w:sz w:val="28"/>
          <w:szCs w:val="28"/>
        </w:rPr>
        <w:t>。</w:t>
      </w:r>
    </w:p>
    <w:p>
      <w:pPr>
        <w:pStyle w:val="17"/>
        <w:pageBreakBefore w:val="0"/>
        <w:kinsoku/>
        <w:wordWrap/>
        <w:overflowPunct/>
        <w:topLinePunct w:val="0"/>
        <w:bidi w:val="0"/>
        <w:spacing w:after="0" w:line="480" w:lineRule="exact"/>
        <w:ind w:left="0" w:leftChars="0" w:firstLine="0" w:firstLineChars="0"/>
        <w:jc w:val="center"/>
        <w:rPr>
          <w:rFonts w:ascii="Times New Roman" w:hAnsi="Times New Roman" w:eastAsia="仿宋_GB2312"/>
          <w:b/>
          <w:bCs w:val="0"/>
          <w:color w:val="auto"/>
          <w:sz w:val="21"/>
          <w:szCs w:val="21"/>
        </w:rPr>
      </w:pPr>
      <w:r>
        <w:rPr>
          <w:rFonts w:hint="eastAsia" w:ascii="Times New Roman" w:hAnsi="Times New Roman" w:eastAsia="仿宋_GB2312"/>
          <w:b/>
          <w:bCs w:val="0"/>
          <w:color w:val="auto"/>
          <w:sz w:val="21"/>
          <w:szCs w:val="21"/>
        </w:rPr>
        <w:t>表10-1</w:t>
      </w:r>
      <w:r>
        <w:rPr>
          <w:rFonts w:hint="eastAsia" w:ascii="Times New Roman" w:hAnsi="Times New Roman" w:eastAsia="仿宋_GB2312"/>
          <w:b/>
          <w:bCs w:val="0"/>
          <w:color w:val="auto"/>
          <w:sz w:val="21"/>
          <w:szCs w:val="21"/>
          <w:lang w:val="en-US" w:eastAsia="zh-CN"/>
        </w:rPr>
        <w:t>0</w:t>
      </w:r>
      <w:r>
        <w:rPr>
          <w:rFonts w:hint="eastAsia" w:ascii="Times New Roman" w:hAnsi="Times New Roman" w:eastAsia="仿宋_GB2312"/>
          <w:b/>
          <w:bCs w:val="0"/>
          <w:color w:val="auto"/>
          <w:sz w:val="21"/>
          <w:szCs w:val="21"/>
        </w:rPr>
        <w:t xml:space="preserve"> 水域综合整治表</w:t>
      </w:r>
    </w:p>
    <w:p>
      <w:pPr>
        <w:pStyle w:val="17"/>
        <w:pageBreakBefore w:val="0"/>
        <w:kinsoku/>
        <w:wordWrap/>
        <w:overflowPunct/>
        <w:topLinePunct w:val="0"/>
        <w:bidi w:val="0"/>
        <w:spacing w:after="0" w:line="480" w:lineRule="exact"/>
        <w:ind w:left="0" w:leftChars="0" w:firstLine="0" w:firstLineChars="0"/>
        <w:jc w:val="right"/>
        <w:rPr>
          <w:rFonts w:hint="default" w:ascii="Times New Roman" w:hAnsi="Times New Roman" w:eastAsia="仿宋_GB2312"/>
          <w:b/>
          <w:bCs w:val="0"/>
          <w:color w:val="auto"/>
          <w:sz w:val="21"/>
          <w:szCs w:val="21"/>
        </w:rPr>
      </w:pPr>
      <w:r>
        <w:rPr>
          <w:rFonts w:ascii="Times New Roman" w:hAnsi="Times New Roman" w:eastAsia="仿宋_GB2312"/>
          <w:b/>
          <w:bCs w:val="0"/>
          <w:color w:val="auto"/>
          <w:sz w:val="21"/>
          <w:szCs w:val="21"/>
        </w:rPr>
        <w:t>单位：公顷</w:t>
      </w:r>
    </w:p>
    <w:tbl>
      <w:tblPr>
        <w:tblStyle w:val="19"/>
        <w:tblW w:w="4998" w:type="pct"/>
        <w:tblInd w:w="0" w:type="dxa"/>
        <w:tblLayout w:type="autofit"/>
        <w:tblCellMar>
          <w:top w:w="0" w:type="dxa"/>
          <w:left w:w="108" w:type="dxa"/>
          <w:bottom w:w="0" w:type="dxa"/>
          <w:right w:w="108" w:type="dxa"/>
        </w:tblCellMar>
      </w:tblPr>
      <w:tblGrid>
        <w:gridCol w:w="1880"/>
        <w:gridCol w:w="2052"/>
        <w:gridCol w:w="2534"/>
        <w:gridCol w:w="2053"/>
      </w:tblGrid>
      <w:tr>
        <w:tblPrEx>
          <w:tblCellMar>
            <w:top w:w="0" w:type="dxa"/>
            <w:left w:w="108" w:type="dxa"/>
            <w:bottom w:w="0" w:type="dxa"/>
            <w:right w:w="108" w:type="dxa"/>
          </w:tblCellMar>
        </w:tblPrEx>
        <w:trPr>
          <w:trHeight w:val="255" w:hRule="atLeast"/>
          <w:tblHeader/>
        </w:trPr>
        <w:tc>
          <w:tcPr>
            <w:tcW w:w="1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pageBreakBefore w:val="0"/>
              <w:kinsoku/>
              <w:wordWrap/>
              <w:overflowPunct/>
              <w:topLinePunct w:val="0"/>
              <w:bidi w:val="0"/>
              <w:spacing w:after="0" w:line="480" w:lineRule="exact"/>
              <w:ind w:firstLine="422" w:firstLineChars="200"/>
              <w:jc w:val="center"/>
              <w:rPr>
                <w:rFonts w:ascii="Times New Roman" w:hAnsi="Times New Roman" w:eastAsia="仿宋_GB2312"/>
                <w:b/>
                <w:bCs w:val="0"/>
                <w:color w:val="auto"/>
                <w:sz w:val="21"/>
                <w:szCs w:val="21"/>
              </w:rPr>
            </w:pPr>
            <w:r>
              <w:rPr>
                <w:rFonts w:hint="eastAsia" w:ascii="Times New Roman" w:hAnsi="Times New Roman" w:eastAsia="仿宋_GB2312"/>
                <w:b/>
                <w:bCs w:val="0"/>
                <w:color w:val="auto"/>
                <w:sz w:val="21"/>
                <w:szCs w:val="21"/>
              </w:rPr>
              <w:t>行政区名称</w:t>
            </w:r>
          </w:p>
        </w:tc>
        <w:tc>
          <w:tcPr>
            <w:tcW w:w="1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pageBreakBefore w:val="0"/>
              <w:kinsoku/>
              <w:wordWrap/>
              <w:overflowPunct/>
              <w:topLinePunct w:val="0"/>
              <w:bidi w:val="0"/>
              <w:spacing w:after="0" w:line="480" w:lineRule="exact"/>
              <w:ind w:firstLine="422" w:firstLineChars="200"/>
              <w:jc w:val="center"/>
              <w:rPr>
                <w:rFonts w:ascii="Times New Roman" w:hAnsi="Times New Roman" w:eastAsia="仿宋_GB2312"/>
                <w:b/>
                <w:bCs w:val="0"/>
                <w:color w:val="auto"/>
                <w:sz w:val="21"/>
                <w:szCs w:val="21"/>
              </w:rPr>
            </w:pPr>
            <w:r>
              <w:rPr>
                <w:rFonts w:ascii="Times New Roman" w:hAnsi="Times New Roman" w:eastAsia="仿宋_GB2312"/>
                <w:b/>
                <w:bCs w:val="0"/>
                <w:color w:val="auto"/>
                <w:sz w:val="21"/>
                <w:szCs w:val="21"/>
              </w:rPr>
              <w:t>河道治理</w:t>
            </w:r>
          </w:p>
        </w:tc>
        <w:tc>
          <w:tcPr>
            <w:tcW w:w="148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pageBreakBefore w:val="0"/>
              <w:kinsoku/>
              <w:wordWrap/>
              <w:overflowPunct/>
              <w:topLinePunct w:val="0"/>
              <w:bidi w:val="0"/>
              <w:spacing w:after="0" w:line="480" w:lineRule="exact"/>
              <w:ind w:firstLine="422" w:firstLineChars="200"/>
              <w:jc w:val="center"/>
              <w:rPr>
                <w:rFonts w:ascii="Times New Roman" w:hAnsi="Times New Roman" w:eastAsia="仿宋_GB2312"/>
                <w:b/>
                <w:bCs w:val="0"/>
                <w:color w:val="auto"/>
                <w:sz w:val="21"/>
                <w:szCs w:val="21"/>
              </w:rPr>
            </w:pPr>
            <w:r>
              <w:rPr>
                <w:rFonts w:ascii="Times New Roman" w:hAnsi="Times New Roman" w:eastAsia="仿宋_GB2312"/>
                <w:b/>
                <w:bCs w:val="0"/>
                <w:color w:val="auto"/>
                <w:sz w:val="21"/>
                <w:szCs w:val="21"/>
              </w:rPr>
              <w:t>坑塘、沟渠综合整治</w:t>
            </w:r>
          </w:p>
        </w:tc>
        <w:tc>
          <w:tcPr>
            <w:tcW w:w="12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pageBreakBefore w:val="0"/>
              <w:kinsoku/>
              <w:wordWrap/>
              <w:overflowPunct/>
              <w:topLinePunct w:val="0"/>
              <w:bidi w:val="0"/>
              <w:spacing w:after="0" w:line="480" w:lineRule="exact"/>
              <w:ind w:firstLine="422" w:firstLineChars="200"/>
              <w:jc w:val="center"/>
              <w:rPr>
                <w:rFonts w:ascii="Times New Roman" w:hAnsi="Times New Roman" w:eastAsia="仿宋_GB2312"/>
                <w:b/>
                <w:bCs w:val="0"/>
                <w:color w:val="auto"/>
                <w:sz w:val="21"/>
                <w:szCs w:val="21"/>
              </w:rPr>
            </w:pPr>
            <w:r>
              <w:rPr>
                <w:rFonts w:hint="eastAsia" w:ascii="Times New Roman" w:hAnsi="Times New Roman" w:eastAsia="仿宋_GB2312"/>
                <w:b/>
                <w:bCs w:val="0"/>
                <w:color w:val="auto"/>
                <w:sz w:val="21"/>
                <w:szCs w:val="21"/>
              </w:rPr>
              <w:t>合计</w:t>
            </w:r>
          </w:p>
        </w:tc>
      </w:tr>
      <w:tr>
        <w:tblPrEx>
          <w:tblCellMar>
            <w:top w:w="0" w:type="dxa"/>
            <w:left w:w="108" w:type="dxa"/>
            <w:bottom w:w="0" w:type="dxa"/>
            <w:right w:w="108" w:type="dxa"/>
          </w:tblCellMar>
        </w:tblPrEx>
        <w:trPr>
          <w:trHeight w:val="255" w:hRule="atLeast"/>
        </w:trPr>
        <w:tc>
          <w:tcPr>
            <w:tcW w:w="1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pageBreakBefore w:val="0"/>
              <w:kinsoku/>
              <w:wordWrap/>
              <w:overflowPunct/>
              <w:topLinePunct w:val="0"/>
              <w:bidi w:val="0"/>
              <w:spacing w:after="0" w:line="480" w:lineRule="exact"/>
              <w:ind w:firstLine="420" w:firstLineChars="200"/>
              <w:rPr>
                <w:rFonts w:hint="default" w:ascii="Times New Roman" w:hAnsi="Times New Roman" w:eastAsia="仿宋_GB2312"/>
                <w:bCs/>
                <w:color w:val="auto"/>
                <w:sz w:val="21"/>
                <w:szCs w:val="21"/>
                <w:lang w:val="en-US" w:eastAsia="zh-CN"/>
              </w:rPr>
            </w:pPr>
            <w:r>
              <w:rPr>
                <w:rFonts w:hint="eastAsia" w:ascii="Times New Roman" w:hAnsi="Times New Roman" w:eastAsia="仿宋_GB2312"/>
                <w:bCs/>
                <w:color w:val="auto"/>
                <w:sz w:val="21"/>
                <w:szCs w:val="21"/>
                <w:lang w:val="en-US" w:eastAsia="zh-CN"/>
              </w:rPr>
              <w:t>上寨村</w:t>
            </w:r>
          </w:p>
        </w:tc>
        <w:tc>
          <w:tcPr>
            <w:tcW w:w="12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7"/>
              <w:pageBreakBefore w:val="0"/>
              <w:kinsoku/>
              <w:wordWrap/>
              <w:overflowPunct/>
              <w:topLinePunct w:val="0"/>
              <w:bidi w:val="0"/>
              <w:spacing w:after="0" w:line="480" w:lineRule="exact"/>
              <w:ind w:firstLine="420" w:firstLineChars="200"/>
              <w:rPr>
                <w:rFonts w:hint="default" w:ascii="Times New Roman" w:hAnsi="Times New Roman" w:eastAsia="仿宋_GB2312"/>
                <w:bCs/>
                <w:color w:val="auto"/>
                <w:sz w:val="21"/>
                <w:szCs w:val="21"/>
                <w:lang w:val="en-US" w:eastAsia="zh-CN"/>
              </w:rPr>
            </w:pPr>
            <w:r>
              <w:rPr>
                <w:rFonts w:hint="eastAsia" w:ascii="Times New Roman" w:hAnsi="Times New Roman" w:eastAsia="仿宋_GB2312"/>
                <w:bCs/>
                <w:color w:val="auto"/>
                <w:sz w:val="21"/>
                <w:szCs w:val="21"/>
                <w:lang w:val="en-US" w:eastAsia="zh-CN"/>
              </w:rPr>
              <w:t>4.23</w:t>
            </w:r>
          </w:p>
        </w:tc>
        <w:tc>
          <w:tcPr>
            <w:tcW w:w="14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7"/>
              <w:pageBreakBefore w:val="0"/>
              <w:kinsoku/>
              <w:wordWrap/>
              <w:overflowPunct/>
              <w:topLinePunct w:val="0"/>
              <w:bidi w:val="0"/>
              <w:spacing w:after="0" w:line="480" w:lineRule="exact"/>
              <w:ind w:firstLine="420" w:firstLineChars="200"/>
              <w:rPr>
                <w:rFonts w:ascii="Times New Roman" w:hAnsi="Times New Roman" w:eastAsia="仿宋_GB2312"/>
                <w:bCs/>
                <w:color w:val="auto"/>
                <w:sz w:val="21"/>
                <w:szCs w:val="21"/>
              </w:rPr>
            </w:pPr>
            <w:r>
              <w:rPr>
                <w:rFonts w:ascii="Times New Roman" w:hAnsi="Times New Roman" w:eastAsia="仿宋_GB2312"/>
                <w:bCs/>
                <w:color w:val="auto"/>
                <w:sz w:val="21"/>
                <w:szCs w:val="21"/>
              </w:rPr>
              <w:t>0</w:t>
            </w:r>
          </w:p>
        </w:tc>
        <w:tc>
          <w:tcPr>
            <w:tcW w:w="12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7"/>
              <w:pageBreakBefore w:val="0"/>
              <w:kinsoku/>
              <w:wordWrap/>
              <w:overflowPunct/>
              <w:topLinePunct w:val="0"/>
              <w:bidi w:val="0"/>
              <w:spacing w:after="0" w:line="480" w:lineRule="exact"/>
              <w:ind w:firstLine="420" w:firstLineChars="200"/>
              <w:rPr>
                <w:rFonts w:hint="default" w:ascii="Times New Roman" w:hAnsi="Times New Roman" w:eastAsia="仿宋_GB2312"/>
                <w:bCs/>
                <w:color w:val="auto"/>
                <w:sz w:val="21"/>
                <w:szCs w:val="21"/>
                <w:lang w:val="en-US" w:eastAsia="zh-CN"/>
              </w:rPr>
            </w:pPr>
            <w:r>
              <w:rPr>
                <w:rFonts w:hint="eastAsia" w:ascii="Times New Roman" w:hAnsi="Times New Roman" w:eastAsia="仿宋_GB2312"/>
                <w:bCs/>
                <w:color w:val="auto"/>
                <w:sz w:val="21"/>
                <w:szCs w:val="21"/>
                <w:lang w:val="en-US" w:eastAsia="zh-CN"/>
              </w:rPr>
              <w:t>4.23</w:t>
            </w:r>
          </w:p>
        </w:tc>
      </w:tr>
      <w:tr>
        <w:tblPrEx>
          <w:tblCellMar>
            <w:top w:w="0" w:type="dxa"/>
            <w:left w:w="108" w:type="dxa"/>
            <w:bottom w:w="0" w:type="dxa"/>
            <w:right w:w="108" w:type="dxa"/>
          </w:tblCellMar>
        </w:tblPrEx>
        <w:trPr>
          <w:trHeight w:val="255" w:hRule="atLeast"/>
        </w:trPr>
        <w:tc>
          <w:tcPr>
            <w:tcW w:w="1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pageBreakBefore w:val="0"/>
              <w:kinsoku/>
              <w:wordWrap/>
              <w:overflowPunct/>
              <w:topLinePunct w:val="0"/>
              <w:bidi w:val="0"/>
              <w:spacing w:after="0" w:line="480" w:lineRule="exact"/>
              <w:ind w:firstLine="420" w:firstLineChars="200"/>
              <w:rPr>
                <w:rFonts w:ascii="Times New Roman" w:hAnsi="Times New Roman" w:eastAsia="仿宋_GB2312"/>
                <w:bCs/>
                <w:color w:val="auto"/>
                <w:sz w:val="21"/>
                <w:szCs w:val="21"/>
              </w:rPr>
            </w:pPr>
            <w:r>
              <w:rPr>
                <w:rFonts w:hint="eastAsia" w:ascii="Times New Roman" w:hAnsi="Times New Roman" w:eastAsia="仿宋_GB2312"/>
                <w:bCs/>
                <w:color w:val="auto"/>
                <w:sz w:val="21"/>
                <w:szCs w:val="21"/>
                <w:lang w:val="en-US" w:eastAsia="zh-CN"/>
              </w:rPr>
              <w:t>向前</w:t>
            </w:r>
            <w:r>
              <w:rPr>
                <w:rFonts w:hint="eastAsia" w:ascii="Times New Roman" w:hAnsi="Times New Roman" w:eastAsia="仿宋_GB2312"/>
                <w:bCs/>
                <w:color w:val="auto"/>
                <w:sz w:val="21"/>
                <w:szCs w:val="21"/>
              </w:rPr>
              <w:t>村</w:t>
            </w:r>
          </w:p>
        </w:tc>
        <w:tc>
          <w:tcPr>
            <w:tcW w:w="12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7"/>
              <w:pageBreakBefore w:val="0"/>
              <w:kinsoku/>
              <w:wordWrap/>
              <w:overflowPunct/>
              <w:topLinePunct w:val="0"/>
              <w:bidi w:val="0"/>
              <w:spacing w:after="0" w:line="480" w:lineRule="exact"/>
              <w:ind w:firstLine="420" w:firstLineChars="200"/>
              <w:rPr>
                <w:rFonts w:hint="default" w:ascii="Times New Roman" w:hAnsi="Times New Roman" w:eastAsia="仿宋_GB2312"/>
                <w:bCs/>
                <w:color w:val="auto"/>
                <w:sz w:val="21"/>
                <w:szCs w:val="21"/>
                <w:lang w:val="en-US" w:eastAsia="zh-CN"/>
              </w:rPr>
            </w:pPr>
            <w:r>
              <w:rPr>
                <w:rFonts w:hint="eastAsia" w:ascii="Times New Roman" w:hAnsi="Times New Roman" w:eastAsia="仿宋_GB2312"/>
                <w:bCs/>
                <w:color w:val="auto"/>
                <w:sz w:val="21"/>
                <w:szCs w:val="21"/>
                <w:lang w:val="en-US" w:eastAsia="zh-CN"/>
              </w:rPr>
              <w:t>17.09</w:t>
            </w:r>
          </w:p>
        </w:tc>
        <w:tc>
          <w:tcPr>
            <w:tcW w:w="14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7"/>
              <w:pageBreakBefore w:val="0"/>
              <w:kinsoku/>
              <w:wordWrap/>
              <w:overflowPunct/>
              <w:topLinePunct w:val="0"/>
              <w:bidi w:val="0"/>
              <w:spacing w:after="0" w:line="480" w:lineRule="exact"/>
              <w:ind w:firstLine="420" w:firstLineChars="200"/>
              <w:rPr>
                <w:rFonts w:hint="eastAsia" w:ascii="Times New Roman" w:hAnsi="Times New Roman" w:eastAsia="仿宋_GB2312"/>
                <w:bCs/>
                <w:color w:val="auto"/>
                <w:sz w:val="21"/>
                <w:szCs w:val="21"/>
                <w:lang w:eastAsia="zh-CN"/>
              </w:rPr>
            </w:pPr>
            <w:r>
              <w:rPr>
                <w:rFonts w:hint="eastAsia" w:ascii="Times New Roman" w:hAnsi="Times New Roman" w:eastAsia="仿宋_GB2312"/>
                <w:bCs/>
                <w:color w:val="auto"/>
                <w:sz w:val="21"/>
                <w:szCs w:val="21"/>
                <w:lang w:val="en-US" w:eastAsia="zh-CN"/>
              </w:rPr>
              <w:t>0</w:t>
            </w:r>
          </w:p>
        </w:tc>
        <w:tc>
          <w:tcPr>
            <w:tcW w:w="12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7"/>
              <w:pageBreakBefore w:val="0"/>
              <w:kinsoku/>
              <w:wordWrap/>
              <w:overflowPunct/>
              <w:topLinePunct w:val="0"/>
              <w:bidi w:val="0"/>
              <w:spacing w:after="0" w:line="480" w:lineRule="exact"/>
              <w:ind w:firstLine="420" w:firstLineChars="200"/>
              <w:rPr>
                <w:rFonts w:hint="default" w:ascii="Times New Roman" w:hAnsi="Times New Roman" w:eastAsia="仿宋_GB2312"/>
                <w:bCs/>
                <w:color w:val="auto"/>
                <w:sz w:val="21"/>
                <w:szCs w:val="21"/>
                <w:lang w:val="en-US" w:eastAsia="zh-CN"/>
              </w:rPr>
            </w:pPr>
            <w:r>
              <w:rPr>
                <w:rFonts w:hint="eastAsia" w:ascii="Times New Roman" w:hAnsi="Times New Roman" w:eastAsia="仿宋_GB2312"/>
                <w:bCs/>
                <w:color w:val="auto"/>
                <w:sz w:val="21"/>
                <w:szCs w:val="21"/>
                <w:lang w:val="en-US" w:eastAsia="zh-CN"/>
              </w:rPr>
              <w:t>17.09</w:t>
            </w:r>
          </w:p>
        </w:tc>
      </w:tr>
      <w:tr>
        <w:tblPrEx>
          <w:tblCellMar>
            <w:top w:w="0" w:type="dxa"/>
            <w:left w:w="108" w:type="dxa"/>
            <w:bottom w:w="0" w:type="dxa"/>
            <w:right w:w="108" w:type="dxa"/>
          </w:tblCellMar>
        </w:tblPrEx>
        <w:trPr>
          <w:trHeight w:val="255" w:hRule="atLeast"/>
        </w:trPr>
        <w:tc>
          <w:tcPr>
            <w:tcW w:w="1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pageBreakBefore w:val="0"/>
              <w:kinsoku/>
              <w:wordWrap/>
              <w:overflowPunct/>
              <w:topLinePunct w:val="0"/>
              <w:bidi w:val="0"/>
              <w:spacing w:after="0" w:line="480" w:lineRule="exact"/>
              <w:ind w:firstLine="420" w:firstLineChars="200"/>
              <w:rPr>
                <w:rFonts w:hint="default" w:ascii="Times New Roman" w:hAnsi="Times New Roman" w:eastAsia="仿宋_GB2312"/>
                <w:bCs/>
                <w:color w:val="auto"/>
                <w:sz w:val="21"/>
                <w:szCs w:val="21"/>
                <w:lang w:val="en-US" w:eastAsia="zh-CN"/>
              </w:rPr>
            </w:pPr>
            <w:r>
              <w:rPr>
                <w:rFonts w:hint="eastAsia" w:ascii="Times New Roman" w:hAnsi="Times New Roman" w:eastAsia="仿宋_GB2312"/>
                <w:bCs/>
                <w:color w:val="auto"/>
                <w:sz w:val="21"/>
                <w:szCs w:val="21"/>
                <w:lang w:val="en-US" w:eastAsia="zh-CN"/>
              </w:rPr>
              <w:t>庄前村</w:t>
            </w:r>
          </w:p>
        </w:tc>
        <w:tc>
          <w:tcPr>
            <w:tcW w:w="12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7"/>
              <w:pageBreakBefore w:val="0"/>
              <w:kinsoku/>
              <w:wordWrap/>
              <w:overflowPunct/>
              <w:topLinePunct w:val="0"/>
              <w:bidi w:val="0"/>
              <w:spacing w:after="0" w:line="480" w:lineRule="exact"/>
              <w:ind w:firstLine="420" w:firstLineChars="200"/>
              <w:rPr>
                <w:rFonts w:ascii="Times New Roman" w:hAnsi="Times New Roman" w:eastAsia="仿宋_GB2312"/>
                <w:bCs/>
                <w:color w:val="auto"/>
                <w:sz w:val="21"/>
                <w:szCs w:val="21"/>
              </w:rPr>
            </w:pPr>
            <w:r>
              <w:rPr>
                <w:rFonts w:ascii="Times New Roman" w:hAnsi="Times New Roman" w:eastAsia="仿宋_GB2312"/>
                <w:bCs/>
                <w:color w:val="auto"/>
                <w:sz w:val="21"/>
                <w:szCs w:val="21"/>
              </w:rPr>
              <w:t>0</w:t>
            </w:r>
          </w:p>
        </w:tc>
        <w:tc>
          <w:tcPr>
            <w:tcW w:w="14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7"/>
              <w:pageBreakBefore w:val="0"/>
              <w:kinsoku/>
              <w:wordWrap/>
              <w:overflowPunct/>
              <w:topLinePunct w:val="0"/>
              <w:bidi w:val="0"/>
              <w:spacing w:after="0" w:line="480" w:lineRule="exact"/>
              <w:ind w:firstLine="420" w:firstLineChars="200"/>
              <w:rPr>
                <w:rFonts w:hint="default" w:ascii="Times New Roman" w:hAnsi="Times New Roman" w:eastAsia="仿宋_GB2312"/>
                <w:bCs/>
                <w:color w:val="auto"/>
                <w:sz w:val="21"/>
                <w:szCs w:val="21"/>
                <w:lang w:val="en-US" w:eastAsia="zh-CN"/>
              </w:rPr>
            </w:pPr>
            <w:r>
              <w:rPr>
                <w:rFonts w:hint="eastAsia" w:ascii="Times New Roman" w:hAnsi="Times New Roman" w:eastAsia="仿宋_GB2312"/>
                <w:bCs/>
                <w:color w:val="auto"/>
                <w:sz w:val="21"/>
                <w:szCs w:val="21"/>
                <w:lang w:val="en-US" w:eastAsia="zh-CN"/>
              </w:rPr>
              <w:t>1.84</w:t>
            </w:r>
          </w:p>
        </w:tc>
        <w:tc>
          <w:tcPr>
            <w:tcW w:w="12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7"/>
              <w:pageBreakBefore w:val="0"/>
              <w:kinsoku/>
              <w:wordWrap/>
              <w:overflowPunct/>
              <w:topLinePunct w:val="0"/>
              <w:bidi w:val="0"/>
              <w:spacing w:after="0" w:line="480" w:lineRule="exact"/>
              <w:ind w:firstLine="420" w:firstLineChars="200"/>
              <w:rPr>
                <w:rFonts w:hint="default" w:ascii="Times New Roman" w:hAnsi="Times New Roman" w:eastAsia="仿宋_GB2312"/>
                <w:bCs/>
                <w:color w:val="auto"/>
                <w:sz w:val="21"/>
                <w:szCs w:val="21"/>
                <w:lang w:val="en-US" w:eastAsia="zh-CN"/>
              </w:rPr>
            </w:pPr>
            <w:r>
              <w:rPr>
                <w:rFonts w:hint="eastAsia" w:ascii="Times New Roman" w:hAnsi="Times New Roman" w:eastAsia="仿宋_GB2312"/>
                <w:bCs/>
                <w:color w:val="auto"/>
                <w:sz w:val="21"/>
                <w:szCs w:val="21"/>
                <w:lang w:val="en-US" w:eastAsia="zh-CN"/>
              </w:rPr>
              <w:t>1.84</w:t>
            </w:r>
          </w:p>
        </w:tc>
      </w:tr>
      <w:tr>
        <w:tblPrEx>
          <w:tblCellMar>
            <w:top w:w="0" w:type="dxa"/>
            <w:left w:w="108" w:type="dxa"/>
            <w:bottom w:w="0" w:type="dxa"/>
            <w:right w:w="108" w:type="dxa"/>
          </w:tblCellMar>
        </w:tblPrEx>
        <w:trPr>
          <w:trHeight w:val="255" w:hRule="atLeast"/>
        </w:trPr>
        <w:tc>
          <w:tcPr>
            <w:tcW w:w="11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pageBreakBefore w:val="0"/>
              <w:kinsoku/>
              <w:wordWrap/>
              <w:overflowPunct/>
              <w:topLinePunct w:val="0"/>
              <w:bidi w:val="0"/>
              <w:spacing w:after="0" w:line="480" w:lineRule="exact"/>
              <w:ind w:firstLine="420" w:firstLineChars="200"/>
              <w:rPr>
                <w:rFonts w:ascii="Times New Roman" w:hAnsi="Times New Roman" w:eastAsia="仿宋_GB2312"/>
                <w:bCs/>
                <w:color w:val="auto"/>
                <w:sz w:val="21"/>
                <w:szCs w:val="21"/>
              </w:rPr>
            </w:pPr>
            <w:r>
              <w:rPr>
                <w:rFonts w:hint="eastAsia" w:ascii="Times New Roman" w:hAnsi="Times New Roman" w:eastAsia="仿宋_GB2312"/>
                <w:bCs/>
                <w:color w:val="auto"/>
                <w:sz w:val="21"/>
                <w:szCs w:val="21"/>
              </w:rPr>
              <w:t>总计</w:t>
            </w:r>
          </w:p>
        </w:tc>
        <w:tc>
          <w:tcPr>
            <w:tcW w:w="12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7"/>
              <w:pageBreakBefore w:val="0"/>
              <w:kinsoku/>
              <w:wordWrap/>
              <w:overflowPunct/>
              <w:topLinePunct w:val="0"/>
              <w:bidi w:val="0"/>
              <w:spacing w:after="0" w:line="480" w:lineRule="exact"/>
              <w:ind w:firstLine="420" w:firstLineChars="200"/>
              <w:rPr>
                <w:rFonts w:hint="default" w:ascii="Times New Roman" w:hAnsi="Times New Roman" w:eastAsia="仿宋_GB2312"/>
                <w:bCs/>
                <w:color w:val="auto"/>
                <w:sz w:val="21"/>
                <w:szCs w:val="21"/>
                <w:lang w:val="en-US" w:eastAsia="zh-CN"/>
              </w:rPr>
            </w:pPr>
            <w:r>
              <w:rPr>
                <w:rFonts w:hint="eastAsia" w:ascii="Times New Roman" w:hAnsi="Times New Roman" w:eastAsia="仿宋_GB2312"/>
                <w:bCs/>
                <w:color w:val="auto"/>
                <w:sz w:val="21"/>
                <w:szCs w:val="21"/>
                <w:lang w:val="en-US" w:eastAsia="zh-CN"/>
              </w:rPr>
              <w:t>21.32</w:t>
            </w:r>
          </w:p>
        </w:tc>
        <w:tc>
          <w:tcPr>
            <w:tcW w:w="1487"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7"/>
              <w:pageBreakBefore w:val="0"/>
              <w:kinsoku/>
              <w:wordWrap/>
              <w:overflowPunct/>
              <w:topLinePunct w:val="0"/>
              <w:bidi w:val="0"/>
              <w:spacing w:after="0" w:line="480" w:lineRule="exact"/>
              <w:ind w:firstLine="420" w:firstLineChars="200"/>
              <w:rPr>
                <w:rFonts w:hint="default" w:ascii="Times New Roman" w:hAnsi="Times New Roman" w:eastAsia="仿宋_GB2312"/>
                <w:bCs/>
                <w:color w:val="auto"/>
                <w:sz w:val="21"/>
                <w:szCs w:val="21"/>
                <w:lang w:val="en-US" w:eastAsia="zh-CN"/>
              </w:rPr>
            </w:pPr>
            <w:r>
              <w:rPr>
                <w:rFonts w:hint="eastAsia" w:ascii="Times New Roman" w:hAnsi="Times New Roman" w:eastAsia="仿宋_GB2312"/>
                <w:bCs/>
                <w:color w:val="auto"/>
                <w:sz w:val="21"/>
                <w:szCs w:val="21"/>
                <w:lang w:val="en-US" w:eastAsia="zh-CN"/>
              </w:rPr>
              <w:t>1.84</w:t>
            </w:r>
          </w:p>
        </w:tc>
        <w:tc>
          <w:tcPr>
            <w:tcW w:w="1204"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7"/>
              <w:pageBreakBefore w:val="0"/>
              <w:kinsoku/>
              <w:wordWrap/>
              <w:overflowPunct/>
              <w:topLinePunct w:val="0"/>
              <w:bidi w:val="0"/>
              <w:spacing w:after="0" w:line="480" w:lineRule="exact"/>
              <w:ind w:firstLine="420" w:firstLineChars="200"/>
              <w:rPr>
                <w:rFonts w:hint="default" w:ascii="Times New Roman" w:hAnsi="Times New Roman" w:eastAsia="仿宋_GB2312"/>
                <w:bCs/>
                <w:color w:val="auto"/>
                <w:sz w:val="21"/>
                <w:szCs w:val="21"/>
                <w:lang w:val="en-US" w:eastAsia="zh-CN"/>
              </w:rPr>
            </w:pPr>
            <w:r>
              <w:rPr>
                <w:rFonts w:hint="eastAsia" w:ascii="Times New Roman" w:hAnsi="Times New Roman" w:eastAsia="仿宋_GB2312"/>
                <w:bCs/>
                <w:color w:val="auto"/>
                <w:sz w:val="21"/>
                <w:szCs w:val="21"/>
                <w:lang w:val="en-US" w:eastAsia="zh-CN"/>
              </w:rPr>
              <w:t>23.16</w:t>
            </w:r>
          </w:p>
        </w:tc>
      </w:tr>
    </w:tbl>
    <w:p>
      <w:pPr>
        <w:snapToGrid w:val="0"/>
        <w:spacing w:line="480" w:lineRule="exact"/>
        <w:ind w:firstLine="562"/>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四、土壤污染治理工程</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hint="eastAsia" w:ascii="Times New Roman" w:hAnsi="Times New Roman" w:eastAsia="仿宋_GB2312"/>
          <w:bCs/>
          <w:color w:val="auto"/>
          <w:sz w:val="28"/>
          <w:szCs w:val="28"/>
          <w:lang w:val="en-US" w:eastAsia="zh-CN"/>
        </w:rPr>
        <w:t>1</w:t>
      </w:r>
      <w:r>
        <w:rPr>
          <w:rFonts w:ascii="Times New Roman" w:hAnsi="Times New Roman" w:eastAsia="仿宋_GB2312"/>
          <w:bCs/>
          <w:color w:val="auto"/>
          <w:sz w:val="28"/>
          <w:szCs w:val="28"/>
        </w:rPr>
        <w:t>、土壤污染情况</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根据</w:t>
      </w:r>
      <w:r>
        <w:rPr>
          <w:rFonts w:hint="eastAsia" w:ascii="Times New Roman" w:hAnsi="Times New Roman" w:eastAsia="仿宋_GB2312"/>
          <w:bCs/>
          <w:color w:val="auto"/>
          <w:sz w:val="28"/>
          <w:szCs w:val="28"/>
          <w:lang w:eastAsia="zh-CN"/>
        </w:rPr>
        <w:t>上犹县</w:t>
      </w:r>
      <w:r>
        <w:rPr>
          <w:rFonts w:ascii="Times New Roman" w:hAnsi="Times New Roman" w:eastAsia="仿宋_GB2312"/>
          <w:bCs/>
          <w:color w:val="auto"/>
          <w:sz w:val="28"/>
          <w:szCs w:val="28"/>
        </w:rPr>
        <w:t>土壤污染情况调查显示，</w:t>
      </w:r>
      <w:r>
        <w:rPr>
          <w:rFonts w:hint="eastAsia" w:ascii="Times New Roman" w:hAnsi="Times New Roman" w:eastAsia="仿宋_GB2312"/>
          <w:bCs/>
          <w:color w:val="auto"/>
          <w:sz w:val="28"/>
          <w:szCs w:val="28"/>
          <w:lang w:eastAsia="zh-CN"/>
        </w:rPr>
        <w:t>平富乡域</w:t>
      </w:r>
      <w:r>
        <w:rPr>
          <w:rFonts w:ascii="Times New Roman" w:hAnsi="Times New Roman" w:eastAsia="仿宋_GB2312"/>
          <w:bCs/>
          <w:color w:val="auto"/>
          <w:sz w:val="28"/>
          <w:szCs w:val="28"/>
        </w:rPr>
        <w:t>范围内未涉及土壤污染地块。</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hint="eastAsia" w:ascii="Times New Roman" w:hAnsi="Times New Roman" w:eastAsia="仿宋_GB2312"/>
          <w:bCs/>
          <w:color w:val="auto"/>
          <w:sz w:val="28"/>
          <w:szCs w:val="28"/>
          <w:lang w:val="en-US" w:eastAsia="zh-CN"/>
        </w:rPr>
        <w:t>2、</w:t>
      </w:r>
      <w:r>
        <w:rPr>
          <w:rFonts w:ascii="Times New Roman" w:hAnsi="Times New Roman" w:eastAsia="仿宋_GB2312"/>
          <w:bCs/>
          <w:color w:val="auto"/>
          <w:sz w:val="28"/>
          <w:szCs w:val="28"/>
        </w:rPr>
        <w:t>土壤污染防治措施</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w:t>
      </w:r>
      <w:r>
        <w:rPr>
          <w:rFonts w:hint="eastAsia" w:ascii="Times New Roman" w:hAnsi="Times New Roman" w:eastAsia="仿宋_GB2312"/>
          <w:bCs/>
          <w:color w:val="auto"/>
          <w:sz w:val="28"/>
          <w:szCs w:val="28"/>
          <w:lang w:val="en-US" w:eastAsia="zh-CN"/>
        </w:rPr>
        <w:t>1</w:t>
      </w:r>
      <w:r>
        <w:rPr>
          <w:rFonts w:ascii="Times New Roman" w:hAnsi="Times New Roman" w:eastAsia="仿宋_GB2312"/>
          <w:bCs/>
          <w:color w:val="auto"/>
          <w:sz w:val="28"/>
          <w:szCs w:val="28"/>
        </w:rPr>
        <w:t>）建立健全土壤环境监测、信息化体系</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加强土壤环境监测能力建设，逐步建立县级土壤环境质量监测网。在全县现有土壤污染状况调查的基础上，统一规划、整合优化土壤环境质量监测点位，完成土壤环境质量国控监测点位设置，实现县级土壤环境质量监测网络。整合相关数据，建立土壤环境基础数据库，与国家土壤环境信息化管理平台对接，发挥土壤环境大数据在污染防治、城乡规划、土地利用、农业生产、林业生产中的作用。加强数据共享，逐步建立县级土壤环境数据采集与共享机制。</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w:t>
      </w:r>
      <w:r>
        <w:rPr>
          <w:rFonts w:hint="eastAsia" w:ascii="Times New Roman" w:hAnsi="Times New Roman" w:eastAsia="仿宋_GB2312"/>
          <w:bCs/>
          <w:color w:val="auto"/>
          <w:sz w:val="28"/>
          <w:szCs w:val="28"/>
          <w:lang w:val="en-US" w:eastAsia="zh-CN"/>
        </w:rPr>
        <w:t>2</w:t>
      </w:r>
      <w:r>
        <w:rPr>
          <w:rFonts w:ascii="Times New Roman" w:hAnsi="Times New Roman" w:eastAsia="仿宋_GB2312"/>
          <w:bCs/>
          <w:color w:val="auto"/>
          <w:sz w:val="28"/>
          <w:szCs w:val="28"/>
        </w:rPr>
        <w:t>）分类管理，加强农用地保护及安全利用</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根据国家农用地土壤环境质量类别划分技术指南，按污染程度将农用地划分为三个类别，未污染和轻微污染的划为优先保护类，轻度和中度污染的划为安全利用类，重度污染的划为严格管控类，以耕地为重点，分别采取相应的管理措施，保障农产品质量安全。</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以土壤污染状况详查为依据，完成农用地土壤环境质量类别划定，建立分类清单。根据土地利用变更和土壤环境质量变化情况，定期对各类别耕地面积、分布等信息进行更新。待条件成熟后，逐步开展林地、园地等其他农用地土壤环境质量类别的划定工作。</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严格按照制定的土壤环境保护方案开展土壤环境保护工作，将符合条件的优先保护类耕地划为永久基本农田，实行严格保护，确保其面积不减少、土壤环境质量不下降，除法律规定的重点建设项目选址确实无法避让外，其他任何建设不得占用。</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推行秸秆还田、增施有机肥、少耕免耕、农膜减量与回收利用等措施，避免因过度施肥、滥用农药等掠夺式农业生产方式造成土壤环境质量下降。严格控制在优先保护类耕地集中区域新建有色金属冶炼、石油加工、化工、焦化、电镀、制革、铅酸蓄电池等行业企业，防控企业污染。</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加强对严格管控类耕地的用途管理，依法划定特定农产品禁止生产区域，对威胁地下水、饮用水水源安全的，制定环境风险管控方案，并落实相关措施。制定实施重度污染耕地种植结构调整或退耕还林还草计划。严格控制林地、园地的农药使用量，禁止使用高毒、高残留农药。加强对重度污染林地、园地产出食用农（林）产品质量监测，发现超标的要采取种植结构调整等措施。</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w:t>
      </w:r>
      <w:r>
        <w:rPr>
          <w:rFonts w:hint="eastAsia" w:ascii="Times New Roman" w:hAnsi="Times New Roman" w:eastAsia="仿宋_GB2312"/>
          <w:bCs/>
          <w:color w:val="auto"/>
          <w:sz w:val="28"/>
          <w:szCs w:val="28"/>
          <w:lang w:val="en-US" w:eastAsia="zh-CN"/>
        </w:rPr>
        <w:t>3</w:t>
      </w:r>
      <w:r>
        <w:rPr>
          <w:rFonts w:ascii="Times New Roman" w:hAnsi="Times New Roman" w:eastAsia="仿宋_GB2312"/>
          <w:bCs/>
          <w:color w:val="auto"/>
          <w:sz w:val="28"/>
          <w:szCs w:val="28"/>
        </w:rPr>
        <w:t>）风险管控，控制建设用地环境风险</w:t>
      </w:r>
    </w:p>
    <w:p>
      <w:pPr>
        <w:pStyle w:val="17"/>
        <w:pageBreakBefore w:val="0"/>
        <w:kinsoku/>
        <w:wordWrap/>
        <w:overflowPunct/>
        <w:topLinePunct w:val="0"/>
        <w:bidi w:val="0"/>
        <w:spacing w:after="0" w:line="480" w:lineRule="exact"/>
        <w:ind w:left="0" w:leftChars="0" w:firstLine="560" w:firstLineChars="200"/>
        <w:rPr>
          <w:rFonts w:ascii="Times New Roman" w:hAnsi="Times New Roman" w:eastAsia="仿宋_GB2312"/>
          <w:bCs/>
          <w:color w:val="auto"/>
          <w:sz w:val="28"/>
          <w:szCs w:val="28"/>
        </w:rPr>
      </w:pPr>
      <w:r>
        <w:rPr>
          <w:rFonts w:ascii="Times New Roman" w:hAnsi="Times New Roman" w:eastAsia="仿宋_GB2312"/>
          <w:bCs/>
          <w:color w:val="auto"/>
          <w:sz w:val="28"/>
          <w:szCs w:val="28"/>
        </w:rPr>
        <w:t>将建设用地土壤环境管理要求纳入规划和供地管理，土地开发利用必须符合土壤环境质量要求。编制</w:t>
      </w:r>
      <w:r>
        <w:rPr>
          <w:rFonts w:hint="eastAsia" w:ascii="Times New Roman" w:hAnsi="Times New Roman" w:eastAsia="仿宋_GB2312"/>
          <w:bCs/>
          <w:color w:val="auto"/>
          <w:sz w:val="28"/>
          <w:szCs w:val="28"/>
          <w:lang w:val="en-US" w:eastAsia="zh-CN"/>
        </w:rPr>
        <w:t>各类</w:t>
      </w:r>
      <w:r>
        <w:rPr>
          <w:rFonts w:ascii="Times New Roman" w:hAnsi="Times New Roman" w:eastAsia="仿宋_GB2312"/>
          <w:bCs/>
          <w:color w:val="auto"/>
          <w:sz w:val="28"/>
          <w:szCs w:val="28"/>
        </w:rPr>
        <w:t>规划时，应充分考虑污染地块的环境风险，合理确定土地用途。</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w:t>
      </w:r>
      <w:r>
        <w:rPr>
          <w:rFonts w:hint="eastAsia" w:ascii="Times New Roman" w:hAnsi="Times New Roman" w:eastAsia="仿宋_GB2312"/>
          <w:bCs/>
          <w:color w:val="auto"/>
          <w:sz w:val="28"/>
          <w:szCs w:val="28"/>
          <w:lang w:val="en-US" w:eastAsia="zh-CN"/>
        </w:rPr>
        <w:t>4</w:t>
      </w:r>
      <w:r>
        <w:rPr>
          <w:rFonts w:ascii="Times New Roman" w:hAnsi="Times New Roman" w:eastAsia="仿宋_GB2312"/>
          <w:bCs/>
          <w:color w:val="auto"/>
          <w:sz w:val="28"/>
          <w:szCs w:val="28"/>
        </w:rPr>
        <w:t>）强化保护，严控新增土壤污染</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严守生态红线，在红线区域实施严格的土地用途管制和产业退出制度。全面落实主体功能区规划，合理布局重点行业企业，实行规划环评与建设项目环评联动机制。加强规划区域和建设项目布局论证，根据土壤环境承载能力，合理确定区域功能定位、空间布局。</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鼓励工业企业集聚发展，提高土地节约集约利用水平，减少土壤污染。严格执行相关行业企业布局选址要求，禁止在居民区、学校、医疗和养老机构等周边新建有色金属冶炼、焦化等行业企业。</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结合区域功能定位和土壤污染防治需要，科学布局生活垃圾处理、危险废物处置、废旧资源再生利用等设施和场所，合理确定畜禽养殖布局和规模。按照科学有序原则开发利用未利用地，防止造成土壤污染。拟开发为农用地的，要组织开展土壤环境质量状况评估，不符合相应标准的，不得种植食用农（林）产品。</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加强纳入耕地后备资源的未利用地保护，定期开展巡查。加强对矿山等矿产资源开采活动影响区域内未利用地的环境监管，发现土壤污染问题的，要及时督促有关企业采取防治措施。排放重点污染物的建设项目，在开展环境影响评价时，要增加对土壤环境影响的评价内容，并提出防范土壤污染的具体措施。需要建设的土壤污染防治设施，要与主体工程同时设计、同时施工、同时投产使用。</w:t>
      </w:r>
      <w:r>
        <w:rPr>
          <w:rFonts w:hint="eastAsia" w:ascii="Times New Roman" w:hAnsi="Times New Roman" w:eastAsia="仿宋_GB2312"/>
          <w:bCs/>
          <w:color w:val="auto"/>
          <w:sz w:val="28"/>
          <w:szCs w:val="28"/>
          <w:lang w:eastAsia="zh-CN"/>
        </w:rPr>
        <w:t>生态环境部</w:t>
      </w:r>
      <w:r>
        <w:rPr>
          <w:rFonts w:ascii="Times New Roman" w:hAnsi="Times New Roman" w:eastAsia="仿宋_GB2312"/>
          <w:bCs/>
          <w:color w:val="auto"/>
          <w:sz w:val="28"/>
          <w:szCs w:val="28"/>
        </w:rPr>
        <w:t>门要做好有关措施落实情况的监督管理工作。</w:t>
      </w:r>
    </w:p>
    <w:p>
      <w:pPr>
        <w:snapToGrid w:val="0"/>
        <w:spacing w:line="480" w:lineRule="exact"/>
        <w:ind w:firstLine="562"/>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五、重要生态系统保护修复工程</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hint="eastAsia" w:ascii="Times New Roman" w:hAnsi="Times New Roman" w:eastAsia="仿宋_GB2312"/>
          <w:bCs/>
          <w:color w:val="auto"/>
          <w:sz w:val="28"/>
          <w:szCs w:val="28"/>
          <w:lang w:val="en-US" w:eastAsia="zh-CN"/>
        </w:rPr>
        <w:t>1</w:t>
      </w:r>
      <w:r>
        <w:rPr>
          <w:rFonts w:ascii="Times New Roman" w:hAnsi="Times New Roman" w:eastAsia="仿宋_GB2312"/>
          <w:bCs/>
          <w:color w:val="auto"/>
          <w:sz w:val="28"/>
          <w:szCs w:val="28"/>
        </w:rPr>
        <w:t>、湿地生态修复工程</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退耕还湿是恢复保护区湿地水文环境、有效地防止湿地水体污染而导致湿地水域生态系统破坏的一项切实可行的湿地生态恢复举措。</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hint="eastAsia" w:ascii="Times New Roman" w:hAnsi="Times New Roman" w:eastAsia="仿宋_GB2312"/>
          <w:bCs/>
          <w:color w:val="auto"/>
          <w:sz w:val="28"/>
          <w:szCs w:val="28"/>
          <w:lang w:val="en-US" w:eastAsia="zh-CN"/>
        </w:rPr>
        <w:t>根据上位规划</w:t>
      </w:r>
      <w:r>
        <w:rPr>
          <w:rFonts w:hint="eastAsia" w:ascii="Times New Roman" w:hAnsi="Times New Roman" w:eastAsia="仿宋_GB2312"/>
          <w:bCs/>
          <w:color w:val="auto"/>
          <w:sz w:val="28"/>
          <w:szCs w:val="28"/>
          <w:lang w:eastAsia="zh-CN"/>
        </w:rPr>
        <w:t>平富乡</w:t>
      </w:r>
      <w:r>
        <w:rPr>
          <w:rFonts w:hint="eastAsia" w:ascii="Times New Roman" w:hAnsi="Times New Roman" w:eastAsia="仿宋_GB2312"/>
          <w:bCs/>
          <w:color w:val="auto"/>
          <w:sz w:val="28"/>
          <w:szCs w:val="28"/>
          <w:lang w:val="en-US" w:eastAsia="zh-CN"/>
        </w:rPr>
        <w:t>不涉及</w:t>
      </w:r>
      <w:r>
        <w:rPr>
          <w:rFonts w:ascii="Times New Roman" w:hAnsi="Times New Roman" w:eastAsia="仿宋_GB2312"/>
          <w:bCs/>
          <w:color w:val="auto"/>
          <w:sz w:val="28"/>
          <w:szCs w:val="28"/>
        </w:rPr>
        <w:t>湿地</w:t>
      </w:r>
      <w:r>
        <w:rPr>
          <w:rFonts w:hint="eastAsia" w:ascii="Times New Roman" w:hAnsi="Times New Roman" w:eastAsia="仿宋_GB2312"/>
          <w:bCs/>
          <w:color w:val="auto"/>
          <w:sz w:val="28"/>
          <w:szCs w:val="28"/>
          <w:lang w:val="en-US" w:eastAsia="zh-CN"/>
        </w:rPr>
        <w:t>修复项目</w:t>
      </w:r>
      <w:r>
        <w:rPr>
          <w:rFonts w:ascii="Times New Roman" w:hAnsi="Times New Roman" w:eastAsia="仿宋_GB2312"/>
          <w:bCs/>
          <w:color w:val="auto"/>
          <w:sz w:val="28"/>
          <w:szCs w:val="28"/>
        </w:rPr>
        <w:t>。</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hint="eastAsia" w:ascii="Times New Roman" w:hAnsi="Times New Roman" w:eastAsia="仿宋_GB2312"/>
          <w:bCs/>
          <w:color w:val="auto"/>
          <w:sz w:val="28"/>
          <w:szCs w:val="28"/>
          <w:lang w:val="en-US" w:eastAsia="zh-CN"/>
        </w:rPr>
        <w:t>2</w:t>
      </w:r>
      <w:r>
        <w:rPr>
          <w:rFonts w:ascii="Times New Roman" w:hAnsi="Times New Roman" w:eastAsia="仿宋_GB2312"/>
          <w:bCs/>
          <w:color w:val="auto"/>
          <w:sz w:val="28"/>
          <w:szCs w:val="28"/>
        </w:rPr>
        <w:t>、山体综合整治工程</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（1）坡面治理措施</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坡面治理主要包括坡面拦蓄、田间工程和水土保持绿化等内容。在制定水土保持的绿化措施时，需要遵循“相关配置”的原则，也就是综合利用边坡生态修复方法和水土保持造林、种草方法及其他相关方法对内裸地区和侵蚀地区进行治理。在顺坡垄或者内斜坡地带（坡度范围在0.25°-5°）， 需要转换为横坡垄作；如果坡地的厚度超过25 厘米，同时坡度范围在大于5°且小于15°，就要转化为地埂植物带，并开展水平梯田、坡式梯田建设工作；如果坡耕地的坡度超过了15°，就要将坡耕地转化成林地，进行木林和果林开发，增强植被涵养水源的能力。</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（2）生态修复的具体措施</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人工修复和自然修复是水土流失生态修复的具体措施，对于人工修复，其主要是指以人工补植的方法进行种植，提升区域植被覆盖率，在施工单位的选择上，可以直接在荒坡上播撒合适的草种植被，进一步扩大植被覆盖面积；自然修复手段主要指通过禁牧和禁伐等措施来对小流域水土保持进行综合治理，发挥自然本身力量，让山体植被覆盖率逐渐提升，最终对水土流失问题起到抑制作用。</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（3）建设减压脚</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大部分的山体滑坡主要是由于坡体的抗滑力减小而导致的。减压脚措施主要是在坡体的驱滑段，削减出一些</w:t>
      </w:r>
      <w:r>
        <w:rPr>
          <w:rFonts w:hint="eastAsia" w:ascii="Times New Roman" w:hAnsi="Times New Roman" w:eastAsia="仿宋_GB2312"/>
          <w:bCs/>
          <w:color w:val="auto"/>
          <w:sz w:val="28"/>
          <w:szCs w:val="28"/>
          <w:lang w:eastAsia="zh-CN"/>
        </w:rPr>
        <w:t>土石</w:t>
      </w:r>
      <w:r>
        <w:rPr>
          <w:rFonts w:ascii="Times New Roman" w:hAnsi="Times New Roman" w:eastAsia="仿宋_GB2312"/>
          <w:bCs/>
          <w:color w:val="auto"/>
          <w:sz w:val="28"/>
          <w:szCs w:val="28"/>
        </w:rPr>
        <w:t>，将这些土石压到坡体的阻滑段这样就可以使得坡体的下滑力小于坡体的抗滑力有效地避免山体滑坡，对于开挖土方的量，需要按照滑坡脚压的具体稳定性来进一步确定。</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（4）挡土墙支挡措施</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在山体滑坡的治理过程当中，建设挡土墙是一种比较常见的治理措施。挡土墙的建设材料可以选择块石、片石或者条石等材料，一般被设立在坡体的边缘地带，来阻止山体的滑坡，设计挡土墙时需要将滑坡的推力大小作为参考和依据，只要设计得科学合理，就能够有效地阻止山体滑坡现象的发生。</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（5）对山体滑坡地区进行严格的</w:t>
      </w:r>
      <w:r>
        <w:rPr>
          <w:rFonts w:hint="eastAsia" w:ascii="Times New Roman" w:hAnsi="Times New Roman" w:eastAsia="仿宋_GB2312"/>
          <w:bCs/>
          <w:color w:val="auto"/>
          <w:sz w:val="28"/>
          <w:szCs w:val="28"/>
          <w:lang w:eastAsia="zh-CN"/>
        </w:rPr>
        <w:t>监测</w:t>
      </w:r>
      <w:r>
        <w:rPr>
          <w:rFonts w:ascii="Times New Roman" w:hAnsi="Times New Roman" w:eastAsia="仿宋_GB2312"/>
          <w:bCs/>
          <w:color w:val="auto"/>
          <w:sz w:val="28"/>
          <w:szCs w:val="28"/>
        </w:rPr>
        <w:t>活动</w:t>
      </w:r>
    </w:p>
    <w:p>
      <w:pPr>
        <w:pStyle w:val="17"/>
        <w:pageBreakBefore w:val="0"/>
        <w:kinsoku/>
        <w:wordWrap/>
        <w:overflowPunct/>
        <w:topLinePunct w:val="0"/>
        <w:bidi w:val="0"/>
        <w:spacing w:after="0" w:line="480" w:lineRule="exact"/>
        <w:ind w:left="0" w:leftChars="0" w:firstLine="560" w:firstLineChars="200"/>
        <w:rPr>
          <w:rFonts w:hint="default" w:ascii="Times New Roman" w:hAnsi="Times New Roman" w:eastAsia="仿宋_GB2312"/>
          <w:bCs/>
          <w:color w:val="auto"/>
          <w:sz w:val="28"/>
          <w:szCs w:val="28"/>
        </w:rPr>
      </w:pPr>
      <w:r>
        <w:rPr>
          <w:rFonts w:ascii="Times New Roman" w:hAnsi="Times New Roman" w:eastAsia="仿宋_GB2312"/>
          <w:bCs/>
          <w:color w:val="auto"/>
          <w:sz w:val="28"/>
          <w:szCs w:val="28"/>
        </w:rPr>
        <w:t>在发生山体滑坡之后，一般还会出现多次的滑坡。救援人员和专家在到达现场之后，首先要对滑坡的现场进行一个仔细地观察、要进一步确定滑坡地的主要地质特征，对可能再次发生滑坡的地点进行预测。在对山体滑坡进行检测的时候，需要当地进行宏观的检测，救援人员要在当地专业技术人员的引导之下，采用相应的检测仪器和工具对地表的裂缝进行进一步的观测。</w:t>
      </w:r>
    </w:p>
    <w:p>
      <w:pPr>
        <w:keepNext/>
        <w:pageBreakBefore w:val="0"/>
        <w:kinsoku/>
        <w:wordWrap/>
        <w:overflowPunct/>
        <w:topLinePunct w:val="0"/>
        <w:bidi w:val="0"/>
        <w:snapToGrid w:val="0"/>
        <w:spacing w:line="480" w:lineRule="exact"/>
        <w:ind w:firstLine="0" w:firstLineChars="0"/>
        <w:jc w:val="center"/>
        <w:rPr>
          <w:rFonts w:hint="eastAsia"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表10-11 国土综合整治和生态修复重大工程安排表</w:t>
      </w:r>
    </w:p>
    <w:p>
      <w:pPr>
        <w:keepNext/>
        <w:pageBreakBefore w:val="0"/>
        <w:kinsoku/>
        <w:wordWrap/>
        <w:overflowPunct/>
        <w:topLinePunct w:val="0"/>
        <w:bidi w:val="0"/>
        <w:snapToGrid w:val="0"/>
        <w:spacing w:line="480" w:lineRule="exact"/>
        <w:ind w:firstLine="0" w:firstLineChars="0"/>
        <w:jc w:val="right"/>
        <w:rPr>
          <w:rFonts w:hint="default"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单位：公顷</w:t>
      </w:r>
    </w:p>
    <w:tbl>
      <w:tblPr>
        <w:tblStyle w:val="19"/>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
        <w:gridCol w:w="1354"/>
        <w:gridCol w:w="757"/>
        <w:gridCol w:w="2834"/>
        <w:gridCol w:w="733"/>
        <w:gridCol w:w="872"/>
        <w:gridCol w:w="762"/>
        <w:gridCol w:w="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5" w:hRule="atLeast"/>
          <w:tblHeader/>
        </w:trPr>
        <w:tc>
          <w:tcPr>
            <w:tcW w:w="254" w:type="pct"/>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序号</w:t>
            </w:r>
          </w:p>
        </w:tc>
        <w:tc>
          <w:tcPr>
            <w:tcW w:w="794" w:type="pct"/>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工程名称</w:t>
            </w:r>
          </w:p>
        </w:tc>
        <w:tc>
          <w:tcPr>
            <w:tcW w:w="444" w:type="pct"/>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工程类型</w:t>
            </w:r>
          </w:p>
        </w:tc>
        <w:tc>
          <w:tcPr>
            <w:tcW w:w="1663" w:type="pct"/>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重点任务</w:t>
            </w:r>
          </w:p>
        </w:tc>
        <w:tc>
          <w:tcPr>
            <w:tcW w:w="430" w:type="pct"/>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实施区域</w:t>
            </w:r>
          </w:p>
        </w:tc>
        <w:tc>
          <w:tcPr>
            <w:tcW w:w="511" w:type="pct"/>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建设规模</w:t>
            </w:r>
          </w:p>
        </w:tc>
        <w:tc>
          <w:tcPr>
            <w:tcW w:w="447" w:type="pct"/>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主要技术指标</w:t>
            </w:r>
          </w:p>
        </w:tc>
        <w:tc>
          <w:tcPr>
            <w:tcW w:w="454" w:type="pct"/>
            <w:noWrap/>
            <w:vAlign w:val="center"/>
          </w:tcPr>
          <w:p>
            <w:pPr>
              <w:pageBreakBefore w:val="0"/>
              <w:kinsoku/>
              <w:wordWrap/>
              <w:overflowPunct/>
              <w:topLinePunct w:val="0"/>
              <w:bidi w:val="0"/>
              <w:spacing w:before="50" w:after="50" w:line="480" w:lineRule="exact"/>
              <w:ind w:firstLine="0" w:firstLineChars="0"/>
              <w:jc w:val="center"/>
              <w:rPr>
                <w:rFonts w:hint="eastAsia"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建设时序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254" w:type="pc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1</w:t>
            </w:r>
          </w:p>
        </w:tc>
        <w:tc>
          <w:tcPr>
            <w:tcW w:w="794" w:type="pc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高标准农田建设</w:t>
            </w:r>
          </w:p>
        </w:tc>
        <w:tc>
          <w:tcPr>
            <w:tcW w:w="444" w:type="pct"/>
            <w:vMerge w:val="restar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国土综合整治</w:t>
            </w:r>
          </w:p>
        </w:tc>
        <w:tc>
          <w:tcPr>
            <w:tcW w:w="1663" w:type="pct"/>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按照“地平整、土肥沃、旱能灌、涝能排、路相通”等建设要求，推进高标准农田集中连片建设，开展田块平整，完善水、电、路配套设施，提高耕地质量和地力等级，加强科技服务能力，提升生态修复能力。</w:t>
            </w:r>
          </w:p>
        </w:tc>
        <w:tc>
          <w:tcPr>
            <w:tcW w:w="430" w:type="pc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全域</w:t>
            </w:r>
          </w:p>
        </w:tc>
        <w:tc>
          <w:tcPr>
            <w:tcW w:w="511" w:type="pc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271.96公顷</w:t>
            </w:r>
          </w:p>
        </w:tc>
        <w:tc>
          <w:tcPr>
            <w:tcW w:w="447" w:type="pc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p>
        </w:tc>
        <w:tc>
          <w:tcPr>
            <w:tcW w:w="454" w:type="pc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2021-2035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54" w:type="pc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w:t>
            </w:r>
          </w:p>
        </w:tc>
        <w:tc>
          <w:tcPr>
            <w:tcW w:w="794" w:type="pc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高标准农田提质改造</w:t>
            </w:r>
          </w:p>
        </w:tc>
        <w:tc>
          <w:tcPr>
            <w:tcW w:w="444" w:type="pct"/>
            <w:vMerge w:val="continue"/>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p>
        </w:tc>
        <w:tc>
          <w:tcPr>
            <w:tcW w:w="1663" w:type="pct"/>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对建设标准低、损毁严重的高标准农田进行改造提升，选取一批相对集中连片耕地区域，打造成高标准农田改造提升示范项目。</w:t>
            </w:r>
          </w:p>
        </w:tc>
        <w:tc>
          <w:tcPr>
            <w:tcW w:w="430" w:type="pc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全域</w:t>
            </w:r>
          </w:p>
        </w:tc>
        <w:tc>
          <w:tcPr>
            <w:tcW w:w="511" w:type="pc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53.84公顷</w:t>
            </w:r>
          </w:p>
        </w:tc>
        <w:tc>
          <w:tcPr>
            <w:tcW w:w="447" w:type="pc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p>
        </w:tc>
        <w:tc>
          <w:tcPr>
            <w:tcW w:w="454" w:type="pc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2021-2025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54" w:type="pc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3</w:t>
            </w:r>
          </w:p>
        </w:tc>
        <w:tc>
          <w:tcPr>
            <w:tcW w:w="794" w:type="pc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宜耕后备土地资源开发</w:t>
            </w:r>
          </w:p>
        </w:tc>
        <w:tc>
          <w:tcPr>
            <w:tcW w:w="444" w:type="pct"/>
            <w:vMerge w:val="continue"/>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p>
        </w:tc>
        <w:tc>
          <w:tcPr>
            <w:tcW w:w="1663" w:type="pct"/>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以生态优先，注重保护为前提，通过采取客土覆盖、土壤施肥等一系列措施，将符合条件的其他草地、裸土地等后备资源适度有序开发为耕地。</w:t>
            </w:r>
          </w:p>
        </w:tc>
        <w:tc>
          <w:tcPr>
            <w:tcW w:w="430" w:type="pc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全域</w:t>
            </w:r>
          </w:p>
        </w:tc>
        <w:tc>
          <w:tcPr>
            <w:tcW w:w="511" w:type="pc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24.03公顷</w:t>
            </w:r>
          </w:p>
        </w:tc>
        <w:tc>
          <w:tcPr>
            <w:tcW w:w="447"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补充耕地</w:t>
            </w:r>
            <w:r>
              <w:rPr>
                <w:rFonts w:hint="default" w:ascii="Times New Roman" w:hAnsi="Times New Roman" w:eastAsia="仿宋_GB2312" w:cs="微软雅黑"/>
                <w:bCs/>
                <w:color w:val="auto"/>
                <w:kern w:val="0"/>
                <w:sz w:val="21"/>
                <w:szCs w:val="21"/>
                <w:lang w:val="en-US" w:eastAsia="zh-CN" w:bidi="zh-CN"/>
              </w:rPr>
              <w:t>19.22</w:t>
            </w:r>
            <w:r>
              <w:rPr>
                <w:rFonts w:hint="eastAsia" w:ascii="Times New Roman" w:hAnsi="Times New Roman" w:eastAsia="仿宋_GB2312" w:cs="微软雅黑"/>
                <w:bCs/>
                <w:color w:val="auto"/>
                <w:kern w:val="0"/>
                <w:sz w:val="21"/>
                <w:szCs w:val="21"/>
                <w:lang w:val="en-US" w:eastAsia="zh-CN" w:bidi="zh-CN"/>
              </w:rPr>
              <w:t>公顷</w:t>
            </w:r>
          </w:p>
        </w:tc>
        <w:tc>
          <w:tcPr>
            <w:tcW w:w="454" w:type="pc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2021-2035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54" w:type="pc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4</w:t>
            </w:r>
          </w:p>
        </w:tc>
        <w:tc>
          <w:tcPr>
            <w:tcW w:w="794" w:type="pc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低效农村居民点整理</w:t>
            </w:r>
          </w:p>
        </w:tc>
        <w:tc>
          <w:tcPr>
            <w:tcW w:w="444" w:type="pct"/>
            <w:vMerge w:val="continue"/>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p>
        </w:tc>
        <w:tc>
          <w:tcPr>
            <w:tcW w:w="1663" w:type="pct"/>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对现状低效的农村居民点进行整治或区位调整，以提高农村居民点使用效率、满足村庄未来发展。</w:t>
            </w:r>
          </w:p>
        </w:tc>
        <w:tc>
          <w:tcPr>
            <w:tcW w:w="430" w:type="pc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全域</w:t>
            </w:r>
          </w:p>
        </w:tc>
        <w:tc>
          <w:tcPr>
            <w:tcW w:w="511" w:type="pc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23.56公顷</w:t>
            </w:r>
          </w:p>
        </w:tc>
        <w:tc>
          <w:tcPr>
            <w:tcW w:w="447" w:type="pct"/>
            <w:shd w:val="clear" w:color="auto" w:fill="auto"/>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补充耕地</w:t>
            </w:r>
            <w:r>
              <w:rPr>
                <w:rFonts w:hint="default" w:ascii="Times New Roman" w:hAnsi="Times New Roman" w:eastAsia="仿宋_GB2312" w:cs="微软雅黑"/>
                <w:bCs/>
                <w:color w:val="auto"/>
                <w:kern w:val="0"/>
                <w:sz w:val="21"/>
                <w:szCs w:val="21"/>
                <w:lang w:val="en-US" w:eastAsia="zh-CN" w:bidi="zh-CN"/>
              </w:rPr>
              <w:t>7.90</w:t>
            </w:r>
            <w:r>
              <w:rPr>
                <w:rFonts w:hint="eastAsia" w:ascii="Times New Roman" w:hAnsi="Times New Roman" w:eastAsia="仿宋_GB2312" w:cs="微软雅黑"/>
                <w:bCs/>
                <w:color w:val="auto"/>
                <w:kern w:val="0"/>
                <w:sz w:val="21"/>
                <w:szCs w:val="21"/>
                <w:lang w:val="en-US" w:eastAsia="zh-CN" w:bidi="zh-CN"/>
              </w:rPr>
              <w:t>公顷</w:t>
            </w:r>
          </w:p>
        </w:tc>
        <w:tc>
          <w:tcPr>
            <w:tcW w:w="454" w:type="pc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2021-2035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54" w:type="pc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5</w:t>
            </w:r>
          </w:p>
        </w:tc>
        <w:tc>
          <w:tcPr>
            <w:tcW w:w="794" w:type="pc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矿山地质环境综合治理</w:t>
            </w:r>
          </w:p>
        </w:tc>
        <w:tc>
          <w:tcPr>
            <w:tcW w:w="444" w:type="pc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矿山生态修复</w:t>
            </w:r>
          </w:p>
        </w:tc>
        <w:tc>
          <w:tcPr>
            <w:tcW w:w="1663" w:type="pct"/>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修筑截排水工程和支挡工程、清理碎石土和危岩、防渗处理、削高填低、植被重建等工程对滑坡、崩塌、泥石流、地面塌陷等地质灾害进行预防及治理。</w:t>
            </w:r>
          </w:p>
        </w:tc>
        <w:tc>
          <w:tcPr>
            <w:tcW w:w="430" w:type="pc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全域</w:t>
            </w:r>
          </w:p>
        </w:tc>
        <w:tc>
          <w:tcPr>
            <w:tcW w:w="511" w:type="pc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default"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1.69</w:t>
            </w:r>
          </w:p>
        </w:tc>
        <w:tc>
          <w:tcPr>
            <w:tcW w:w="447" w:type="pc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p>
        </w:tc>
        <w:tc>
          <w:tcPr>
            <w:tcW w:w="454" w:type="pc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2021-2035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54" w:type="pc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6</w:t>
            </w:r>
          </w:p>
        </w:tc>
        <w:tc>
          <w:tcPr>
            <w:tcW w:w="794" w:type="pc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流域综合治理</w:t>
            </w:r>
          </w:p>
        </w:tc>
        <w:tc>
          <w:tcPr>
            <w:tcW w:w="444" w:type="pct"/>
            <w:vMerge w:val="restar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山水林田湖草沙生态修复</w:t>
            </w:r>
          </w:p>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p>
        </w:tc>
        <w:tc>
          <w:tcPr>
            <w:tcW w:w="1663" w:type="pct"/>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主要对平富河水系的周边工业、农业和生活用水污染源采取截流措施，有效减少污染入河量，并对河道进行清障、清淤疏浚、生态护岸建设等，修复平富河滨水生态风光带。</w:t>
            </w:r>
          </w:p>
        </w:tc>
        <w:tc>
          <w:tcPr>
            <w:tcW w:w="430" w:type="pc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平富河沿岸</w:t>
            </w:r>
          </w:p>
        </w:tc>
        <w:tc>
          <w:tcPr>
            <w:tcW w:w="511" w:type="pc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21.32公顷</w:t>
            </w:r>
          </w:p>
        </w:tc>
        <w:tc>
          <w:tcPr>
            <w:tcW w:w="447" w:type="pc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p>
        </w:tc>
        <w:tc>
          <w:tcPr>
            <w:tcW w:w="454" w:type="pc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2021-2035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54" w:type="pc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7</w:t>
            </w:r>
          </w:p>
        </w:tc>
        <w:tc>
          <w:tcPr>
            <w:tcW w:w="794" w:type="pc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坑塘、沟渠综合整治</w:t>
            </w:r>
          </w:p>
        </w:tc>
        <w:tc>
          <w:tcPr>
            <w:tcW w:w="444" w:type="pct"/>
            <w:vMerge w:val="continue"/>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p>
        </w:tc>
        <w:tc>
          <w:tcPr>
            <w:tcW w:w="1663" w:type="pct"/>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对乡域内环境较差，蓄水能力下降的坑塘进行治理、清淤等。</w:t>
            </w:r>
          </w:p>
        </w:tc>
        <w:tc>
          <w:tcPr>
            <w:tcW w:w="430" w:type="pc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全域</w:t>
            </w:r>
          </w:p>
        </w:tc>
        <w:tc>
          <w:tcPr>
            <w:tcW w:w="511" w:type="pc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1.84公顷</w:t>
            </w:r>
          </w:p>
        </w:tc>
        <w:tc>
          <w:tcPr>
            <w:tcW w:w="447" w:type="pc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p>
        </w:tc>
        <w:tc>
          <w:tcPr>
            <w:tcW w:w="454" w:type="pc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2021-2035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254" w:type="pc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8</w:t>
            </w:r>
          </w:p>
        </w:tc>
        <w:tc>
          <w:tcPr>
            <w:tcW w:w="794" w:type="pc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国土造林绿化</w:t>
            </w:r>
          </w:p>
        </w:tc>
        <w:tc>
          <w:tcPr>
            <w:tcW w:w="444" w:type="pct"/>
            <w:vMerge w:val="continue"/>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p>
        </w:tc>
        <w:tc>
          <w:tcPr>
            <w:tcW w:w="1663" w:type="pct"/>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采取森林更新改造、补植补造等方式，对疏林地、荒地、荒坡等进行改造修复，丰富森林色彩层次。</w:t>
            </w:r>
          </w:p>
        </w:tc>
        <w:tc>
          <w:tcPr>
            <w:tcW w:w="430" w:type="pct"/>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全域</w:t>
            </w:r>
          </w:p>
        </w:tc>
        <w:tc>
          <w:tcPr>
            <w:tcW w:w="511" w:type="pc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3.44公顷</w:t>
            </w:r>
          </w:p>
        </w:tc>
        <w:tc>
          <w:tcPr>
            <w:tcW w:w="447" w:type="pc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p>
        </w:tc>
        <w:tc>
          <w:tcPr>
            <w:tcW w:w="454" w:type="pct"/>
            <w:noWrap/>
            <w:vAlign w:val="center"/>
          </w:tcPr>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2021-2035</w:t>
            </w:r>
          </w:p>
        </w:tc>
      </w:tr>
    </w:tbl>
    <w:p>
      <w:pPr>
        <w:keepNext w:val="0"/>
        <w:keepLines w:val="0"/>
        <w:pageBreakBefore w:val="0"/>
        <w:widowControl w:val="0"/>
        <w:kinsoku/>
        <w:wordWrap/>
        <w:overflowPunct/>
        <w:topLinePunct w:val="0"/>
        <w:autoSpaceDE/>
        <w:autoSpaceDN/>
        <w:bidi w:val="0"/>
        <w:adjustRightInd/>
        <w:snapToGrid/>
        <w:spacing w:before="50" w:after="50" w:line="240" w:lineRule="auto"/>
        <w:ind w:firstLine="0" w:firstLineChars="0"/>
        <w:jc w:val="center"/>
        <w:textAlignment w:val="auto"/>
        <w:rPr>
          <w:rFonts w:hint="eastAsia" w:ascii="Times New Roman" w:hAnsi="Times New Roman" w:eastAsia="仿宋_GB2312" w:cs="微软雅黑"/>
          <w:bCs/>
          <w:color w:val="auto"/>
          <w:kern w:val="0"/>
          <w:sz w:val="21"/>
          <w:szCs w:val="21"/>
          <w:lang w:val="en-US" w:eastAsia="zh-CN" w:bidi="zh-CN"/>
        </w:rPr>
      </w:pPr>
    </w:p>
    <w:p>
      <w:pPr>
        <w:rPr>
          <w:rFonts w:hint="eastAsia" w:ascii="Times New Roman" w:hAnsi="Times New Roman" w:eastAsia="Arial Unicode MS" w:cs="Times New Roman"/>
          <w:b/>
          <w:color w:val="auto"/>
          <w:kern w:val="44"/>
          <w:sz w:val="32"/>
          <w:szCs w:val="44"/>
          <w:lang w:val="en-US" w:eastAsia="zh-CN" w:bidi="ar-SA"/>
        </w:rPr>
      </w:pPr>
      <w:r>
        <w:rPr>
          <w:rFonts w:hint="eastAsia" w:ascii="Times New Roman" w:hAnsi="Times New Roman" w:eastAsia="Arial Unicode MS" w:cs="Times New Roman"/>
          <w:b/>
          <w:color w:val="auto"/>
          <w:kern w:val="44"/>
          <w:sz w:val="32"/>
          <w:szCs w:val="44"/>
          <w:lang w:val="en-US" w:eastAsia="zh-CN" w:bidi="ar-SA"/>
        </w:rPr>
        <w:br w:type="page"/>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0" w:firstLineChars="0"/>
        <w:jc w:val="center"/>
        <w:textAlignment w:val="auto"/>
        <w:outlineLvl w:val="0"/>
        <w:rPr>
          <w:rFonts w:hint="eastAsia" w:ascii="Times New Roman" w:hAnsi="Times New Roman" w:eastAsia="Arial Unicode MS" w:cs="Times New Roman"/>
          <w:b/>
          <w:color w:val="auto"/>
          <w:kern w:val="44"/>
          <w:sz w:val="32"/>
          <w:szCs w:val="44"/>
          <w:lang w:val="en-US" w:eastAsia="zh-CN" w:bidi="ar-SA"/>
        </w:rPr>
      </w:pPr>
      <w:bookmarkStart w:id="66" w:name="_Toc6050"/>
      <w:r>
        <w:rPr>
          <w:rFonts w:hint="eastAsia" w:ascii="Times New Roman" w:hAnsi="Times New Roman" w:eastAsia="Arial Unicode MS" w:cs="Times New Roman"/>
          <w:b/>
          <w:color w:val="auto"/>
          <w:kern w:val="44"/>
          <w:sz w:val="32"/>
          <w:szCs w:val="44"/>
          <w:lang w:val="en-US" w:eastAsia="zh-CN" w:bidi="ar-SA"/>
        </w:rPr>
        <w:t>第十一章 综合支撑体系</w:t>
      </w:r>
      <w:bookmarkEnd w:id="66"/>
    </w:p>
    <w:p>
      <w:pPr>
        <w:pStyle w:val="33"/>
        <w:spacing w:before="156" w:beforeLines="50" w:after="156" w:afterLines="50" w:line="520" w:lineRule="exact"/>
        <w:rPr>
          <w:rFonts w:hint="eastAsia" w:ascii="Times New Roman" w:hAnsi="Times New Roman"/>
          <w:color w:val="auto"/>
          <w:kern w:val="2"/>
          <w:szCs w:val="32"/>
          <w:lang w:val="en-US" w:eastAsia="zh-CN"/>
        </w:rPr>
      </w:pPr>
      <w:bookmarkStart w:id="67" w:name="_Toc3074"/>
      <w:r>
        <w:rPr>
          <w:rFonts w:hint="eastAsia" w:ascii="Times New Roman" w:hAnsi="Times New Roman"/>
          <w:color w:val="auto"/>
          <w:kern w:val="2"/>
          <w:szCs w:val="32"/>
          <w:lang w:val="en-US" w:eastAsia="zh-CN"/>
        </w:rPr>
        <w:t>第一节 综合交通体系</w:t>
      </w:r>
      <w:bookmarkEnd w:id="67"/>
    </w:p>
    <w:p>
      <w:pPr>
        <w:snapToGrid w:val="0"/>
        <w:spacing w:line="480" w:lineRule="exact"/>
        <w:ind w:firstLine="562"/>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一、综合交通现状情况</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1、公路</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0" w:firstLineChars="200"/>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（1）国道</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平富乡境内有1条国道220。乡域内总里程约10公里。是平富乡主要对外交通通道。</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（2）农村公路</w:t>
      </w:r>
    </w:p>
    <w:p>
      <w:pPr>
        <w:pStyle w:val="17"/>
        <w:keepNext w:val="0"/>
        <w:keepLines w:val="0"/>
        <w:pageBreakBefore w:val="0"/>
        <w:kinsoku/>
        <w:wordWrap/>
        <w:overflowPunct/>
        <w:topLinePunct w:val="0"/>
        <w:bidi w:val="0"/>
        <w:adjustRightInd/>
        <w:snapToGrid/>
        <w:spacing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平富乡境内有1条县道和1条乡道，是乡域内部主要连接通道，分别为X873、Y223。</w:t>
      </w:r>
    </w:p>
    <w:p>
      <w:pPr>
        <w:snapToGrid w:val="0"/>
        <w:spacing w:line="480" w:lineRule="exact"/>
        <w:ind w:firstLine="562"/>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二、综合交通体系规划</w:t>
      </w:r>
    </w:p>
    <w:p>
      <w:pPr>
        <w:pStyle w:val="17"/>
        <w:keepNext w:val="0"/>
        <w:keepLines w:val="0"/>
        <w:pageBreakBefore w:val="0"/>
        <w:kinsoku/>
        <w:wordWrap/>
        <w:overflowPunct/>
        <w:topLinePunct w:val="0"/>
        <w:bidi w:val="0"/>
        <w:adjustRightInd/>
        <w:snapToGrid/>
        <w:spacing w:line="480" w:lineRule="exact"/>
        <w:ind w:left="0" w:leftChars="0" w:firstLine="560" w:firstLineChars="200"/>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1、国道</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落实上位规划要求，提升220国道，加强乡域对外交通联系。</w:t>
      </w:r>
    </w:p>
    <w:p>
      <w:pPr>
        <w:pStyle w:val="17"/>
        <w:keepNext w:val="0"/>
        <w:keepLines w:val="0"/>
        <w:pageBreakBefore w:val="0"/>
        <w:widowControl w:val="0"/>
        <w:numPr>
          <w:ilvl w:val="0"/>
          <w:numId w:val="0"/>
        </w:numPr>
        <w:kinsoku/>
        <w:wordWrap/>
        <w:overflowPunct/>
        <w:topLinePunct w:val="0"/>
        <w:autoSpaceDE w:val="0"/>
        <w:autoSpaceDN w:val="0"/>
        <w:bidi w:val="0"/>
        <w:adjustRightInd/>
        <w:snapToGrid/>
        <w:spacing w:after="0" w:line="480" w:lineRule="exact"/>
        <w:ind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2、对内交通</w:t>
      </w:r>
    </w:p>
    <w:p>
      <w:pPr>
        <w:pStyle w:val="17"/>
        <w:keepNext w:val="0"/>
        <w:keepLines w:val="0"/>
        <w:pageBreakBefore w:val="0"/>
        <w:widowControl w:val="0"/>
        <w:kinsoku/>
        <w:wordWrap/>
        <w:overflowPunct/>
        <w:topLinePunct w:val="0"/>
        <w:autoSpaceDE w:val="0"/>
        <w:autoSpaceDN w:val="0"/>
        <w:bidi w:val="0"/>
        <w:adjustRightInd/>
        <w:snapToGrid w:val="0"/>
        <w:spacing w:after="0" w:line="480" w:lineRule="exact"/>
        <w:ind w:left="0" w:leftChars="0" w:firstLine="560" w:firstLineChars="200"/>
        <w:jc w:val="left"/>
        <w:textAlignment w:val="auto"/>
        <w:outlineLvl w:val="9"/>
        <w:rPr>
          <w:rFonts w:hint="eastAsia" w:ascii="Times New Roman" w:hAnsi="Times New Roman" w:eastAsia="仿宋_GB2312" w:cs="Times New Roman"/>
          <w:b w:val="0"/>
          <w:bCs w:val="0"/>
          <w:color w:val="auto"/>
          <w:kern w:val="2"/>
          <w:sz w:val="28"/>
          <w:szCs w:val="28"/>
          <w:highlight w:val="none"/>
          <w:u w:val="none"/>
          <w:lang w:val="en-US" w:eastAsia="zh-CN" w:bidi="ar-SA"/>
        </w:rPr>
      </w:pPr>
      <w:r>
        <w:rPr>
          <w:rFonts w:hint="eastAsia" w:ascii="Times New Roman" w:hAnsi="Times New Roman" w:eastAsia="仿宋_GB2312" w:cs="Times New Roman"/>
          <w:b w:val="0"/>
          <w:bCs w:val="0"/>
          <w:color w:val="auto"/>
          <w:kern w:val="2"/>
          <w:sz w:val="28"/>
          <w:szCs w:val="28"/>
          <w:highlight w:val="none"/>
          <w:u w:val="none"/>
          <w:lang w:val="en-US" w:eastAsia="zh-CN" w:bidi="ar-SA"/>
        </w:rPr>
        <w:t>构建四通八达的乡域交通网，优化乡域道路网络骨架，完善和提升现有道路等级，形成“县道—乡道—村道”三级道路体系，提高内部道路通行能力和运转效率。构筑便捷畅达的乡域公交网，各村均应设置公交乘降点，力争300米半径覆盖率不小于90%，加强与慢行交通衔接换乘，步行短时间可达。</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2"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b/>
          <w:bCs/>
          <w:color w:val="auto"/>
          <w:kern w:val="2"/>
          <w:sz w:val="28"/>
          <w:szCs w:val="28"/>
          <w:highlight w:val="none"/>
          <w:lang w:val="en-US" w:eastAsia="zh-CN" w:bidi="ar-SA"/>
        </w:rPr>
        <w:t>县道。</w:t>
      </w:r>
      <w:r>
        <w:rPr>
          <w:rFonts w:hint="eastAsia" w:ascii="Times New Roman" w:hAnsi="Times New Roman" w:eastAsia="仿宋_GB2312" w:cs="Times New Roman"/>
          <w:color w:val="auto"/>
          <w:kern w:val="2"/>
          <w:sz w:val="28"/>
          <w:szCs w:val="28"/>
          <w:lang w:val="en-US" w:eastAsia="zh-CN" w:bidi="ar-SA"/>
        </w:rPr>
        <w:t>规划改造提升X873全路段，</w:t>
      </w:r>
      <w:r>
        <w:rPr>
          <w:rFonts w:hint="eastAsia" w:ascii="Times New Roman" w:hAnsi="Times New Roman" w:eastAsia="仿宋_GB2312" w:cs="Times New Roman"/>
          <w:kern w:val="2"/>
          <w:sz w:val="28"/>
          <w:szCs w:val="28"/>
          <w:lang w:val="en-US" w:eastAsia="zh-CN" w:bidi="ar-SA"/>
        </w:rPr>
        <w:t>提升改造长度</w:t>
      </w:r>
      <w:r>
        <w:rPr>
          <w:rFonts w:hint="eastAsia" w:ascii="Times New Roman" w:hAnsi="Times New Roman" w:eastAsia="仿宋_GB2312" w:cs="Times New Roman"/>
          <w:color w:val="auto"/>
          <w:kern w:val="2"/>
          <w:sz w:val="28"/>
          <w:szCs w:val="28"/>
          <w:lang w:val="en-US" w:eastAsia="zh-CN" w:bidi="ar-SA"/>
        </w:rPr>
        <w:t>为12公里。</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2"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b/>
          <w:bCs/>
          <w:color w:val="auto"/>
          <w:kern w:val="2"/>
          <w:sz w:val="28"/>
          <w:szCs w:val="28"/>
          <w:highlight w:val="none"/>
          <w:lang w:val="en-US" w:eastAsia="zh-CN" w:bidi="ar-SA"/>
        </w:rPr>
        <w:t>乡道。</w:t>
      </w:r>
      <w:r>
        <w:rPr>
          <w:rFonts w:hint="eastAsia" w:ascii="Times New Roman" w:hAnsi="Times New Roman" w:eastAsia="仿宋_GB2312" w:cs="Times New Roman"/>
          <w:color w:val="auto"/>
          <w:kern w:val="2"/>
          <w:sz w:val="28"/>
          <w:szCs w:val="28"/>
          <w:lang w:val="en-US" w:eastAsia="zh-CN" w:bidi="ar-SA"/>
        </w:rPr>
        <w:t>规划改造提升Y223全路段，</w:t>
      </w:r>
      <w:r>
        <w:rPr>
          <w:rFonts w:hint="eastAsia" w:ascii="Times New Roman" w:hAnsi="Times New Roman" w:eastAsia="仿宋_GB2312" w:cs="Times New Roman"/>
          <w:kern w:val="2"/>
          <w:sz w:val="28"/>
          <w:szCs w:val="28"/>
          <w:lang w:val="en-US" w:eastAsia="zh-CN" w:bidi="ar-SA"/>
        </w:rPr>
        <w:t>提升改造长度</w:t>
      </w:r>
      <w:r>
        <w:rPr>
          <w:rFonts w:hint="eastAsia" w:ascii="Times New Roman" w:hAnsi="Times New Roman" w:eastAsia="仿宋_GB2312" w:cs="Times New Roman"/>
          <w:color w:val="auto"/>
          <w:kern w:val="2"/>
          <w:sz w:val="28"/>
          <w:szCs w:val="28"/>
          <w:lang w:val="en-US" w:eastAsia="zh-CN" w:bidi="ar-SA"/>
        </w:rPr>
        <w:t>为6公里。</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2" w:firstLineChars="200"/>
        <w:textAlignment w:val="auto"/>
        <w:rPr>
          <w:rFonts w:hint="default" w:ascii="Times New Roman" w:hAnsi="Times New Roman" w:eastAsia="仿宋_GB2312" w:cs="Times New Roman"/>
          <w:kern w:val="2"/>
          <w:sz w:val="28"/>
          <w:szCs w:val="28"/>
          <w:lang w:val="en-US" w:eastAsia="zh-CN" w:bidi="ar-SA"/>
        </w:rPr>
      </w:pPr>
      <w:r>
        <w:rPr>
          <w:rFonts w:hint="eastAsia" w:ascii="Times New Roman" w:hAnsi="Times New Roman" w:eastAsia="仿宋_GB2312" w:cs="Times New Roman"/>
          <w:b/>
          <w:bCs/>
          <w:color w:val="auto"/>
          <w:kern w:val="2"/>
          <w:sz w:val="28"/>
          <w:szCs w:val="28"/>
          <w:highlight w:val="none"/>
          <w:lang w:val="en-US" w:eastAsia="zh-CN" w:bidi="ar-SA"/>
        </w:rPr>
        <w:t>村道。</w:t>
      </w:r>
      <w:r>
        <w:rPr>
          <w:rFonts w:hint="eastAsia" w:ascii="Times New Roman" w:hAnsi="Times New Roman" w:eastAsia="仿宋_GB2312" w:cs="Times New Roman"/>
          <w:kern w:val="2"/>
          <w:sz w:val="28"/>
          <w:szCs w:val="28"/>
          <w:lang w:val="en-US" w:eastAsia="zh-CN" w:bidi="ar-SA"/>
        </w:rPr>
        <w:t>规划</w:t>
      </w:r>
      <w:r>
        <w:rPr>
          <w:rFonts w:hint="eastAsia" w:ascii="Times New Roman" w:hAnsi="Times New Roman" w:eastAsia="仿宋_GB2312" w:cs="Times New Roman"/>
          <w:color w:val="auto"/>
          <w:kern w:val="2"/>
          <w:sz w:val="28"/>
          <w:szCs w:val="28"/>
          <w:lang w:val="en-US" w:eastAsia="zh-CN" w:bidi="ar-SA"/>
        </w:rPr>
        <w:t>改造提升横坑村、信地村及向前村村庄道路，</w:t>
      </w:r>
      <w:r>
        <w:rPr>
          <w:rFonts w:hint="eastAsia" w:ascii="Times New Roman" w:hAnsi="Times New Roman" w:eastAsia="仿宋_GB2312" w:cs="Times New Roman"/>
          <w:kern w:val="2"/>
          <w:sz w:val="28"/>
          <w:szCs w:val="28"/>
          <w:lang w:val="en-US" w:eastAsia="zh-CN" w:bidi="ar-SA"/>
        </w:rPr>
        <w:t>提升改造长度</w:t>
      </w:r>
      <w:r>
        <w:rPr>
          <w:rFonts w:hint="eastAsia" w:ascii="Times New Roman" w:hAnsi="Times New Roman" w:eastAsia="仿宋_GB2312" w:cs="Times New Roman"/>
          <w:color w:val="auto"/>
          <w:kern w:val="2"/>
          <w:sz w:val="28"/>
          <w:szCs w:val="28"/>
          <w:lang w:val="en-US" w:eastAsia="zh-CN" w:bidi="ar-SA"/>
        </w:rPr>
        <w:t>为5公里。</w:t>
      </w:r>
    </w:p>
    <w:p>
      <w:pPr>
        <w:pStyle w:val="33"/>
        <w:spacing w:before="156" w:beforeLines="50" w:after="156" w:afterLines="50" w:line="520" w:lineRule="exact"/>
        <w:rPr>
          <w:rFonts w:hint="eastAsia" w:ascii="Times New Roman" w:hAnsi="Times New Roman"/>
          <w:color w:val="auto"/>
          <w:kern w:val="2"/>
          <w:szCs w:val="32"/>
          <w:lang w:val="en-US" w:eastAsia="zh-CN"/>
        </w:rPr>
      </w:pPr>
      <w:bookmarkStart w:id="68" w:name="_Toc18726"/>
      <w:r>
        <w:rPr>
          <w:rFonts w:hint="eastAsia" w:ascii="Times New Roman" w:hAnsi="Times New Roman"/>
          <w:color w:val="auto"/>
          <w:kern w:val="2"/>
          <w:szCs w:val="32"/>
          <w:lang w:val="en-US" w:eastAsia="zh-CN"/>
        </w:rPr>
        <w:t>第二节 公共服务设施体系</w:t>
      </w:r>
      <w:bookmarkEnd w:id="68"/>
    </w:p>
    <w:p>
      <w:pPr>
        <w:snapToGrid w:val="0"/>
        <w:spacing w:line="480" w:lineRule="exact"/>
        <w:ind w:firstLine="562"/>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一、乡域公共服务设施体系规划</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1、配置原则</w:t>
      </w:r>
    </w:p>
    <w:p>
      <w:pPr>
        <w:keepNext/>
        <w:keepLines/>
        <w:pageBreakBefore w:val="0"/>
        <w:widowControl w:val="0"/>
        <w:numPr>
          <w:ilvl w:val="0"/>
          <w:numId w:val="0"/>
        </w:numPr>
        <w:kinsoku/>
        <w:wordWrap/>
        <w:overflowPunct/>
        <w:topLinePunct w:val="0"/>
        <w:autoSpaceDE/>
        <w:autoSpaceDN/>
        <w:bidi w:val="0"/>
        <w:adjustRightInd/>
        <w:snapToGrid/>
        <w:spacing w:before="0" w:beforeLines="0" w:after="0" w:line="480" w:lineRule="exact"/>
        <w:ind w:leftChars="0" w:firstLine="560" w:firstLineChars="200"/>
        <w:textAlignment w:val="auto"/>
        <w:outlineLvl w:val="9"/>
        <w:rPr>
          <w:rFonts w:hint="eastAsia" w:ascii="Times New Roman" w:hAnsi="Times New Roman" w:eastAsia="仿宋_GB2312" w:cs="Times New Roman"/>
          <w:color w:val="auto"/>
          <w:kern w:val="2"/>
          <w:sz w:val="28"/>
          <w:szCs w:val="28"/>
          <w:u w:val="none"/>
          <w:lang w:val="en-US" w:eastAsia="zh-CN" w:bidi="ar-SA"/>
        </w:rPr>
      </w:pPr>
      <w:r>
        <w:rPr>
          <w:rFonts w:hint="eastAsia" w:ascii="Times New Roman" w:hAnsi="Times New Roman" w:eastAsia="仿宋_GB2312" w:cs="Times New Roman"/>
          <w:color w:val="auto"/>
          <w:kern w:val="2"/>
          <w:sz w:val="28"/>
          <w:szCs w:val="28"/>
          <w:lang w:val="en-US" w:eastAsia="zh-CN" w:bidi="ar-SA"/>
        </w:rPr>
        <w:t>（1）统筹</w:t>
      </w:r>
      <w:r>
        <w:rPr>
          <w:rFonts w:hint="eastAsia" w:ascii="Times New Roman" w:hAnsi="Times New Roman" w:eastAsia="仿宋_GB2312" w:cs="Times New Roman"/>
          <w:color w:val="auto"/>
          <w:kern w:val="2"/>
          <w:sz w:val="28"/>
          <w:szCs w:val="28"/>
          <w:u w:val="none"/>
          <w:lang w:val="en-US" w:eastAsia="zh-CN" w:bidi="ar-SA"/>
        </w:rPr>
        <w:t xml:space="preserve">乡域公共服务设施布局，加强集镇公共服务设施的区域服务能力，避免重复投资，提高设施使用效率，提升设施建设水平。 </w:t>
      </w:r>
    </w:p>
    <w:p>
      <w:pPr>
        <w:keepNext/>
        <w:keepLines/>
        <w:pageBreakBefore w:val="0"/>
        <w:widowControl w:val="0"/>
        <w:numPr>
          <w:ilvl w:val="0"/>
          <w:numId w:val="0"/>
        </w:numPr>
        <w:kinsoku/>
        <w:wordWrap/>
        <w:overflowPunct/>
        <w:topLinePunct w:val="0"/>
        <w:autoSpaceDE/>
        <w:autoSpaceDN/>
        <w:bidi w:val="0"/>
        <w:adjustRightInd/>
        <w:snapToGrid/>
        <w:spacing w:before="0" w:beforeLines="0" w:after="0" w:line="480" w:lineRule="exact"/>
        <w:ind w:leftChars="0" w:firstLine="560" w:firstLineChars="200"/>
        <w:textAlignment w:val="auto"/>
        <w:outlineLvl w:val="9"/>
        <w:rPr>
          <w:rFonts w:hint="eastAsia" w:ascii="Times New Roman" w:hAnsi="Times New Roman" w:eastAsia="仿宋_GB2312" w:cs="Times New Roman"/>
          <w:color w:val="auto"/>
          <w:kern w:val="2"/>
          <w:sz w:val="28"/>
          <w:szCs w:val="28"/>
          <w:u w:val="none"/>
          <w:lang w:val="en-US" w:eastAsia="zh-CN" w:bidi="ar-SA"/>
        </w:rPr>
      </w:pPr>
      <w:r>
        <w:rPr>
          <w:rFonts w:hint="eastAsia" w:ascii="Times New Roman" w:hAnsi="Times New Roman" w:eastAsia="仿宋_GB2312" w:cs="Times New Roman"/>
          <w:color w:val="auto"/>
          <w:kern w:val="2"/>
          <w:sz w:val="28"/>
          <w:szCs w:val="28"/>
          <w:u w:val="none"/>
          <w:lang w:val="en-US" w:eastAsia="zh-CN" w:bidi="ar-SA"/>
        </w:rPr>
        <w:t xml:space="preserve">（2）公共设施配置应与经济发展水平、城镇规模等级和城镇职能类型相适应，发挥公共服务设施对城镇功能的支撑作用。 </w:t>
      </w:r>
    </w:p>
    <w:p>
      <w:pPr>
        <w:keepNext/>
        <w:keepLines/>
        <w:pageBreakBefore w:val="0"/>
        <w:widowControl w:val="0"/>
        <w:numPr>
          <w:ilvl w:val="0"/>
          <w:numId w:val="0"/>
        </w:numPr>
        <w:kinsoku/>
        <w:wordWrap/>
        <w:overflowPunct/>
        <w:topLinePunct w:val="0"/>
        <w:autoSpaceDE/>
        <w:autoSpaceDN/>
        <w:bidi w:val="0"/>
        <w:adjustRightInd/>
        <w:snapToGrid/>
        <w:spacing w:before="0" w:beforeLines="0" w:after="0" w:line="480" w:lineRule="exact"/>
        <w:ind w:leftChars="0" w:firstLine="560" w:firstLineChars="200"/>
        <w:textAlignment w:val="auto"/>
        <w:outlineLvl w:val="9"/>
        <w:rPr>
          <w:rFonts w:hint="eastAsia" w:ascii="Times New Roman" w:hAnsi="Times New Roman" w:eastAsia="仿宋_GB2312" w:cs="Times New Roman"/>
          <w:color w:val="auto"/>
          <w:kern w:val="2"/>
          <w:sz w:val="28"/>
          <w:szCs w:val="28"/>
          <w:u w:val="none"/>
          <w:lang w:val="en-US" w:eastAsia="zh-CN" w:bidi="ar-SA"/>
        </w:rPr>
      </w:pPr>
      <w:r>
        <w:rPr>
          <w:rFonts w:hint="eastAsia" w:ascii="Times New Roman" w:hAnsi="Times New Roman" w:eastAsia="仿宋_GB2312" w:cs="Times New Roman"/>
          <w:color w:val="auto"/>
          <w:kern w:val="2"/>
          <w:sz w:val="28"/>
          <w:szCs w:val="28"/>
          <w:u w:val="none"/>
          <w:lang w:val="en-US" w:eastAsia="zh-CN" w:bidi="ar-SA"/>
        </w:rPr>
        <w:t>（3）突出城市政府的公共管理与公共服务职能，重点保障公益性公共服务设施。</w:t>
      </w:r>
    </w:p>
    <w:p>
      <w:pPr>
        <w:pStyle w:val="4"/>
        <w:keepNext/>
        <w:keepLines/>
        <w:pageBreakBefore w:val="0"/>
        <w:widowControl w:val="0"/>
        <w:numPr>
          <w:ilvl w:val="0"/>
          <w:numId w:val="0"/>
        </w:numPr>
        <w:suppressLineNumbers w:val="0"/>
        <w:kinsoku/>
        <w:wordWrap/>
        <w:overflowPunct/>
        <w:topLinePunct w:val="0"/>
        <w:autoSpaceDE w:val="0"/>
        <w:autoSpaceDN/>
        <w:bidi w:val="0"/>
        <w:adjustRightInd/>
        <w:snapToGrid/>
        <w:spacing w:before="157" w:beforeLines="50" w:beforeAutospacing="0" w:after="157" w:afterLines="50" w:afterAutospacing="0" w:line="480" w:lineRule="exact"/>
        <w:ind w:firstLine="560" w:firstLineChars="200"/>
        <w:jc w:val="left"/>
        <w:textAlignment w:val="auto"/>
        <w:outlineLvl w:val="2"/>
        <w:rPr>
          <w:rFonts w:hint="eastAsia" w:ascii="Times New Roman" w:hAnsi="Times New Roman" w:eastAsia="仿宋_GB2312" w:cs="Times New Roman"/>
          <w:b w:val="0"/>
          <w:bCs/>
          <w:color w:val="auto"/>
          <w:kern w:val="2"/>
          <w:sz w:val="28"/>
          <w:szCs w:val="28"/>
          <w:u w:val="none"/>
          <w:lang w:val="en-US" w:eastAsia="zh-CN" w:bidi="ar-SA"/>
        </w:rPr>
      </w:pPr>
      <w:r>
        <w:rPr>
          <w:rFonts w:hint="eastAsia" w:ascii="Times New Roman" w:hAnsi="Times New Roman" w:eastAsia="仿宋_GB2312" w:cs="Times New Roman"/>
          <w:b w:val="0"/>
          <w:bCs/>
          <w:color w:val="auto"/>
          <w:kern w:val="2"/>
          <w:sz w:val="28"/>
          <w:szCs w:val="28"/>
          <w:u w:val="none"/>
          <w:lang w:val="en-US" w:eastAsia="zh-CN" w:bidi="ar-SA"/>
        </w:rPr>
        <w:t>2、乡域公共服务设施体系规划</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Lines="0" w:beforeAutospacing="0" w:after="0" w:afterAutospacing="0" w:line="480" w:lineRule="exact"/>
        <w:ind w:left="0" w:leftChars="0" w:right="0" w:rightChars="0" w:firstLine="560" w:firstLineChars="200"/>
        <w:jc w:val="left"/>
        <w:textAlignment w:val="auto"/>
        <w:outlineLvl w:val="9"/>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乡域范围内规划形成按照分层分级、协同共享的原则，构建城乡生活圈，规划乡域形成“乡镇级—村级”二级公共服务体系，形成网络健全、结构合理、发展均衡、运行有效、惠及全民的社会公共服务设施系统。包括城镇社区生活圈、乡村社区生活圈两个层级。</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Lines="0" w:beforeAutospacing="0" w:after="0" w:afterAutospacing="0" w:line="480" w:lineRule="exact"/>
        <w:ind w:right="0" w:rightChars="0" w:firstLine="560" w:firstLineChars="200"/>
        <w:jc w:val="left"/>
        <w:textAlignment w:val="auto"/>
        <w:outlineLvl w:val="9"/>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（1）乡集镇社区生活圈</w:t>
      </w:r>
    </w:p>
    <w:p>
      <w:pPr>
        <w:keepNext w:val="0"/>
        <w:keepLines w:val="0"/>
        <w:pageBreakBefore w:val="0"/>
        <w:widowControl w:val="0"/>
        <w:numPr>
          <w:ilvl w:val="0"/>
          <w:numId w:val="0"/>
        </w:numPr>
        <w:suppressLineNumbers w:val="0"/>
        <w:kinsoku/>
        <w:wordWrap/>
        <w:overflowPunct/>
        <w:topLinePunct w:val="0"/>
        <w:autoSpaceDE w:val="0"/>
        <w:autoSpaceDN/>
        <w:bidi w:val="0"/>
        <w:adjustRightInd/>
        <w:snapToGrid/>
        <w:spacing w:beforeLines="0" w:beforeAutospacing="0" w:after="0" w:afterAutospacing="0" w:line="480" w:lineRule="exact"/>
        <w:ind w:right="0" w:rightChars="0" w:firstLine="560" w:firstLineChars="200"/>
        <w:jc w:val="left"/>
        <w:textAlignment w:val="auto"/>
        <w:outlineLvl w:val="9"/>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依托集镇社区管理边界及集镇居民日常生活特征，划定15分钟社区生活圈范围。主要设施除满足集镇居民生活需求外，应结合考虑乡镇全域辐射需要，社区生活圈应配置乡镇卫生院、敬老院、初中、小学、中心幼儿园、文化活动中心、室外综合健身场地、菜市场、集贸市场、邮政营业场所、农业服务中心。</w:t>
      </w:r>
    </w:p>
    <w:p>
      <w:pPr>
        <w:keepNext w:val="0"/>
        <w:keepLines w:val="0"/>
        <w:pageBreakBefore w:val="0"/>
        <w:widowControl w:val="0"/>
        <w:numPr>
          <w:ilvl w:val="0"/>
          <w:numId w:val="0"/>
        </w:numPr>
        <w:kinsoku/>
        <w:wordWrap/>
        <w:overflowPunct/>
        <w:topLinePunct w:val="0"/>
        <w:autoSpaceDE/>
        <w:autoSpaceDN/>
        <w:bidi w:val="0"/>
        <w:adjustRightInd/>
        <w:snapToGrid/>
        <w:spacing w:beforeLines="0" w:line="480" w:lineRule="exact"/>
        <w:ind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（2）乡村社区生活圈</w:t>
      </w:r>
    </w:p>
    <w:p>
      <w:pPr>
        <w:pStyle w:val="17"/>
        <w:keepNext w:val="0"/>
        <w:keepLines w:val="0"/>
        <w:pageBreakBefore w:val="0"/>
        <w:widowControl w:val="0"/>
        <w:kinsoku/>
        <w:wordWrap/>
        <w:overflowPunct/>
        <w:topLinePunct w:val="0"/>
        <w:bidi w:val="0"/>
        <w:adjustRightInd/>
        <w:snapToGrid/>
        <w:spacing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包括所有乡镇下辖村庄的社区生活圈。宜依托行政村集中居民点或自然村组，综合考虑乡村居民常用交通方式，按照15分钟可达的空间尺度，配置满足就近使用需求的服务要素，并注重相邻村庄之间服务要素的错位配置和共享使用。主要设施包括村卫生室、老年活动室、文化活动室、农家书屋、小学、幼儿园、便民商店、村委会。</w:t>
      </w:r>
    </w:p>
    <w:p>
      <w:pPr>
        <w:snapToGrid w:val="0"/>
        <w:spacing w:line="480" w:lineRule="exact"/>
        <w:ind w:firstLine="562"/>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二、教育设施</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1、现状概况</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2020年，集镇内现有各类学校3所（幼儿园1所，九年制学校1所）；乡域各行政村无幼儿园。</w:t>
      </w:r>
    </w:p>
    <w:p>
      <w:pPr>
        <w:pStyle w:val="17"/>
        <w:keepNext w:val="0"/>
        <w:keepLines w:val="0"/>
        <w:pageBreakBefore w:val="0"/>
        <w:widowControl w:val="0"/>
        <w:numPr>
          <w:ilvl w:val="0"/>
          <w:numId w:val="0"/>
        </w:numPr>
        <w:kinsoku/>
        <w:wordWrap/>
        <w:overflowPunct/>
        <w:topLinePunct w:val="0"/>
        <w:autoSpaceDE w:val="0"/>
        <w:autoSpaceDN w:val="0"/>
        <w:bidi w:val="0"/>
        <w:adjustRightInd/>
        <w:snapToGrid/>
        <w:spacing w:after="0" w:line="480" w:lineRule="exact"/>
        <w:ind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2、规划原则与目标</w:t>
      </w:r>
    </w:p>
    <w:p>
      <w:pPr>
        <w:pStyle w:val="17"/>
        <w:keepNext w:val="0"/>
        <w:keepLines w:val="0"/>
        <w:pageBreakBefore w:val="0"/>
        <w:widowControl w:val="0"/>
        <w:numPr>
          <w:ilvl w:val="0"/>
          <w:numId w:val="0"/>
        </w:numPr>
        <w:kinsoku/>
        <w:wordWrap/>
        <w:overflowPunct/>
        <w:topLinePunct w:val="0"/>
        <w:autoSpaceDE w:val="0"/>
        <w:autoSpaceDN w:val="0"/>
        <w:bidi w:val="0"/>
        <w:adjustRightInd/>
        <w:snapToGrid/>
        <w:spacing w:after="0" w:line="480" w:lineRule="exact"/>
        <w:ind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建设公平、优质、创新、开放的教育体系，努力办好人民满意的教育，建立优质均衡、公平开放的基础教育体系。增加学前教育资源供给，优化布局，扩大普惠性幼儿园覆盖率。推进义务教育向优质普惠迈进，完善义务教育，全面实施素质教育。</w:t>
      </w:r>
    </w:p>
    <w:p>
      <w:pPr>
        <w:pStyle w:val="17"/>
        <w:keepNext w:val="0"/>
        <w:keepLines w:val="0"/>
        <w:pageBreakBefore w:val="0"/>
        <w:widowControl w:val="0"/>
        <w:numPr>
          <w:ilvl w:val="0"/>
          <w:numId w:val="0"/>
        </w:numPr>
        <w:kinsoku/>
        <w:wordWrap/>
        <w:overflowPunct/>
        <w:topLinePunct w:val="0"/>
        <w:autoSpaceDE w:val="0"/>
        <w:autoSpaceDN w:val="0"/>
        <w:bidi w:val="0"/>
        <w:adjustRightInd/>
        <w:snapToGrid/>
        <w:spacing w:after="0" w:line="480" w:lineRule="exact"/>
        <w:ind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3、乡域教育设施规划</w:t>
      </w:r>
    </w:p>
    <w:p>
      <w:pPr>
        <w:pStyle w:val="17"/>
        <w:keepNext w:val="0"/>
        <w:keepLines w:val="0"/>
        <w:pageBreakBefore w:val="0"/>
        <w:widowControl w:val="0"/>
        <w:numPr>
          <w:ilvl w:val="0"/>
          <w:numId w:val="0"/>
        </w:numPr>
        <w:kinsoku/>
        <w:wordWrap/>
        <w:overflowPunct/>
        <w:topLinePunct w:val="0"/>
        <w:autoSpaceDE w:val="0"/>
        <w:autoSpaceDN w:val="0"/>
        <w:bidi w:val="0"/>
        <w:adjustRightInd/>
        <w:snapToGrid/>
        <w:spacing w:after="0" w:line="480" w:lineRule="exact"/>
        <w:ind w:leftChars="0" w:firstLine="560" w:firstLineChars="200"/>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平富乡构建“初中—小学—幼儿园”的教育体系。同时大力发展3岁以下婴幼儿照护服务，提供普惠托育服务，基本形成学前教育一体化体系。到2035年，适龄儿童少年义务教育入学率保持在100%。</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0" w:firstLineChars="200"/>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（1）乡镇级</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规划优化集镇现状九年制学校和中心</w:t>
      </w:r>
      <w:r>
        <w:rPr>
          <w:rFonts w:hint="eastAsia" w:ascii="仿宋_GB2312" w:hAnsi="仿宋_GB2312" w:eastAsia="仿宋_GB2312" w:cs="仿宋_GB2312"/>
          <w:bCs/>
          <w:color w:val="auto"/>
          <w:sz w:val="28"/>
          <w:szCs w:val="28"/>
          <w:lang w:val="en-US" w:eastAsia="zh-CN"/>
        </w:rPr>
        <w:t>幼儿园</w:t>
      </w:r>
      <w:r>
        <w:rPr>
          <w:rFonts w:hint="eastAsia" w:ascii="Times New Roman" w:hAnsi="Times New Roman" w:eastAsia="仿宋_GB2312" w:cs="Times New Roman"/>
          <w:color w:val="auto"/>
          <w:kern w:val="2"/>
          <w:sz w:val="28"/>
          <w:szCs w:val="28"/>
          <w:lang w:val="en-US" w:eastAsia="zh-CN" w:bidi="ar-SA"/>
        </w:rPr>
        <w:t>，提升教学设施</w:t>
      </w:r>
      <w:r>
        <w:rPr>
          <w:rFonts w:hint="eastAsia" w:ascii="仿宋_GB2312" w:hAnsi="仿宋_GB2312" w:eastAsia="仿宋_GB2312" w:cs="仿宋_GB2312"/>
          <w:bCs/>
          <w:color w:val="auto"/>
          <w:sz w:val="28"/>
          <w:szCs w:val="28"/>
          <w:lang w:val="en-US" w:eastAsia="zh-CN"/>
        </w:rPr>
        <w:t>，加强配套设施建设</w:t>
      </w:r>
      <w:r>
        <w:rPr>
          <w:rFonts w:hint="eastAsia" w:ascii="Times New Roman" w:hAnsi="Times New Roman" w:eastAsia="仿宋_GB2312" w:cs="Times New Roman"/>
          <w:color w:val="auto"/>
          <w:kern w:val="2"/>
          <w:sz w:val="28"/>
          <w:szCs w:val="28"/>
          <w:lang w:val="en-US" w:eastAsia="zh-CN" w:bidi="ar-SA"/>
        </w:rPr>
        <w:t>。</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（2）行政村</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保留各行政村现有教育设施用地，闲置教育设施用地可充分利用作为文化、体育、养老设施，加强儿童学前教育，配备完善的教学设备。</w:t>
      </w:r>
    </w:p>
    <w:p>
      <w:pPr>
        <w:snapToGrid w:val="0"/>
        <w:spacing w:line="480" w:lineRule="exact"/>
        <w:ind w:firstLine="562"/>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三、医疗卫生设施</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1、现状概况</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2020年，平富乡集镇现有卫生院1所；乡域各行政村均设有卫生室。</w:t>
      </w:r>
    </w:p>
    <w:p>
      <w:pPr>
        <w:pStyle w:val="17"/>
        <w:keepNext w:val="0"/>
        <w:keepLines w:val="0"/>
        <w:pageBreakBefore w:val="0"/>
        <w:widowControl w:val="0"/>
        <w:numPr>
          <w:ilvl w:val="0"/>
          <w:numId w:val="0"/>
        </w:numPr>
        <w:kinsoku/>
        <w:wordWrap/>
        <w:overflowPunct/>
        <w:topLinePunct w:val="0"/>
        <w:autoSpaceDE w:val="0"/>
        <w:autoSpaceDN w:val="0"/>
        <w:bidi w:val="0"/>
        <w:adjustRightInd/>
        <w:snapToGrid/>
        <w:spacing w:after="0" w:line="480" w:lineRule="exact"/>
        <w:ind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2、规划原则与目标</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建设健康城市，以提高人民健康水平为核心，为人群提供全方位、全生命周期的健康服务，合理配置医疗卫生资源，促进医疗卫生服务均等化，提升应对重大疫情和突发公共卫生事件的能力。</w:t>
      </w:r>
    </w:p>
    <w:p>
      <w:pPr>
        <w:pStyle w:val="17"/>
        <w:keepNext w:val="0"/>
        <w:keepLines w:val="0"/>
        <w:pageBreakBefore w:val="0"/>
        <w:widowControl w:val="0"/>
        <w:numPr>
          <w:ilvl w:val="0"/>
          <w:numId w:val="0"/>
        </w:numPr>
        <w:kinsoku/>
        <w:wordWrap/>
        <w:overflowPunct/>
        <w:topLinePunct w:val="0"/>
        <w:autoSpaceDE w:val="0"/>
        <w:autoSpaceDN w:val="0"/>
        <w:bidi w:val="0"/>
        <w:adjustRightInd/>
        <w:snapToGrid/>
        <w:spacing w:after="0" w:line="480" w:lineRule="exact"/>
        <w:ind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3、乡域医疗卫生设施规划</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0" w:firstLineChars="200"/>
        <w:textAlignment w:val="auto"/>
        <w:rPr>
          <w:rFonts w:hint="default" w:ascii="Times New Roman" w:hAnsi="Times New Roman" w:eastAsia="仿宋_GB2312" w:cs="Times New Roman"/>
          <w:color w:val="auto"/>
          <w:kern w:val="2"/>
          <w:sz w:val="28"/>
          <w:szCs w:val="28"/>
          <w:highlight w:val="red"/>
          <w:lang w:val="en-US" w:eastAsia="zh-CN" w:bidi="ar-SA"/>
        </w:rPr>
      </w:pPr>
      <w:r>
        <w:rPr>
          <w:rFonts w:hint="eastAsia" w:ascii="Times New Roman" w:hAnsi="Times New Roman" w:eastAsia="仿宋_GB2312" w:cs="Times New Roman"/>
          <w:color w:val="auto"/>
          <w:kern w:val="2"/>
          <w:sz w:val="28"/>
          <w:szCs w:val="28"/>
          <w:lang w:val="en-US" w:eastAsia="zh-CN" w:bidi="ar-SA"/>
        </w:rPr>
        <w:t>完善乡、村两级医疗服务体系。探索医养结合的模式，满足人民群众多层次、多样化的医疗服务需求。至2035年，规划平富乡每千人口医疗卫生机构床位数达到3.5张。</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0" w:firstLineChars="200"/>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（1）乡镇级</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保留、提升现状卫生院，考虑旅游人口医疗卫生服务的需求，提供基本医疗、预防保健、康复等综合性服务。</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（2）行政村</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规划按照一村一室进行配置村级卫生室，对现有村级卫生室进行提升，完善乡村一级医疗卫生水平，强化基层医疗作用，做到小病不出村。</w:t>
      </w:r>
    </w:p>
    <w:p>
      <w:pPr>
        <w:snapToGrid w:val="0"/>
        <w:spacing w:line="480" w:lineRule="exact"/>
        <w:ind w:firstLine="562"/>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 xml:space="preserve">四、文化设施 </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1、现状概况</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2020年，集镇内现有文化站1所；乡域各行政村均设有文化活动室。</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2、规划原则与目标</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建立供给丰富、均衡高效的文化服务体系，扩大公共文化服务有效供给，建设一批高品质文化设施，鼓励学校、企事业单位文化设施向社会开放，实现城乡文化服务互联互通。</w:t>
      </w:r>
    </w:p>
    <w:p>
      <w:pPr>
        <w:pStyle w:val="17"/>
        <w:keepNext w:val="0"/>
        <w:keepLines w:val="0"/>
        <w:pageBreakBefore w:val="0"/>
        <w:widowControl w:val="0"/>
        <w:numPr>
          <w:ilvl w:val="0"/>
          <w:numId w:val="0"/>
        </w:numPr>
        <w:kinsoku/>
        <w:wordWrap/>
        <w:overflowPunct/>
        <w:topLinePunct w:val="0"/>
        <w:autoSpaceDE w:val="0"/>
        <w:autoSpaceDN w:val="0"/>
        <w:bidi w:val="0"/>
        <w:adjustRightInd/>
        <w:snapToGrid/>
        <w:spacing w:after="0" w:line="480" w:lineRule="exact"/>
        <w:ind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3、乡域文化设施规划</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完善乡镇、社区/村各层级的文化娱乐设施，形成布点均衡、功能齐全的文化设施网络。</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0" w:firstLineChars="200"/>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（1）乡镇级</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规划保留平富乡集镇现状文化站。作为全镇文化活动中心，完善文化活动站建设，满足居民和游客的文化活动需求，开展图书阅览、科普知识宣传与教育、影视厅、舞厅、游艺厅、球类、棋类、科技与艺术等活动；宜包括儿童之家服务功能。</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（2）行政村</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结合村委会综合设置，主要包括村文化活动室、图书阅览室等，以满足广大农村居民的日常文化生活需要。</w:t>
      </w:r>
    </w:p>
    <w:p>
      <w:pPr>
        <w:snapToGrid w:val="0"/>
        <w:spacing w:line="480" w:lineRule="exact"/>
        <w:ind w:firstLine="562"/>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五、体育设施</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1、现状概况</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2020年，集镇与各行政村有若干健身活动广场。</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2、规划原则与目标</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建立体系完善、惠及大众的全民健身公共服务体系。兼顾竞技体育与全民健身的需求，侧重全民健身设施的建设。推动学校体育设施向社会开放，鼓励体育设施与其他公共服务设施共建共享，鼓励公园绿地、滨水空间及其他开敞空间提供体育健身服务功能。</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3、乡域体育设施规划</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完善乡镇、社区/村两级公共体育设施网络，在集镇社区实现 15 分钟健身圈全覆盖，乡镇要 同步规划、同步建设健身设施。</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0" w:firstLineChars="200"/>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（1）乡镇级</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规划集镇结合公园绿地配置体育设施，并配置全民健身场所。</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（2）行政村</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各行政村按200平方米以上的标准配置全民健身场所，鼓励结合休闲广场设置，配置篮球、羽毛球、乒乓球、单双杠及其他健身器械等。</w:t>
      </w:r>
    </w:p>
    <w:p>
      <w:pPr>
        <w:snapToGrid w:val="0"/>
        <w:spacing w:line="480" w:lineRule="exact"/>
        <w:ind w:firstLine="562"/>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六、社会福利设施</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1、现状概况</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2020年，集镇有敬老院1所；各行政村均设有养老服务设施。</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2、规划原则与目标</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提升社会保障水平，坚持普惠性、保基本、均等化、可持续、高标准建设社会保障服务设施，切实保障老人、儿童和残障人士的基本公共服务，建成以家庭为基础、社区为依托、机构养老为补充、医养相结合的养老服务体系，形成网络健全、便捷高效的养老服务格局。</w:t>
      </w:r>
    </w:p>
    <w:p>
      <w:pPr>
        <w:pStyle w:val="17"/>
        <w:keepNext w:val="0"/>
        <w:keepLines w:val="0"/>
        <w:pageBreakBefore w:val="0"/>
        <w:widowControl w:val="0"/>
        <w:numPr>
          <w:ilvl w:val="0"/>
          <w:numId w:val="0"/>
        </w:numPr>
        <w:kinsoku/>
        <w:wordWrap/>
        <w:overflowPunct/>
        <w:topLinePunct w:val="0"/>
        <w:autoSpaceDE w:val="0"/>
        <w:autoSpaceDN w:val="0"/>
        <w:bidi w:val="0"/>
        <w:adjustRightInd/>
        <w:snapToGrid/>
        <w:spacing w:after="0" w:line="480" w:lineRule="exact"/>
        <w:ind w:left="420" w:leftChars="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3、乡域社会福利设施规划</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以乡卫生院为枢纽，村为基础的两级养老服务网络，至2035年，人均养老服务设施用地面积不少于0.2㎡/人。</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0" w:firstLineChars="200"/>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（1）乡镇级</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保留现状敬老院。用地面积为0.22公顷，床位数不宜低于40床。</w:t>
      </w:r>
    </w:p>
    <w:p>
      <w:pPr>
        <w:pStyle w:val="17"/>
        <w:keepNext w:val="0"/>
        <w:keepLines w:val="0"/>
        <w:pageBreakBefore w:val="0"/>
        <w:widowControl w:val="0"/>
        <w:numPr>
          <w:ilvl w:val="0"/>
          <w:numId w:val="0"/>
        </w:numPr>
        <w:kinsoku/>
        <w:wordWrap/>
        <w:overflowPunct/>
        <w:topLinePunct w:val="0"/>
        <w:autoSpaceDE w:val="0"/>
        <w:autoSpaceDN w:val="0"/>
        <w:bidi w:val="0"/>
        <w:adjustRightInd/>
        <w:snapToGrid/>
        <w:spacing w:after="0" w:line="480" w:lineRule="exact"/>
        <w:ind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（2）行政村</w:t>
      </w:r>
    </w:p>
    <w:p>
      <w:pPr>
        <w:keepNext w:val="0"/>
        <w:keepLines w:val="0"/>
        <w:widowControl/>
        <w:suppressLineNumbers w:val="0"/>
        <w:jc w:val="left"/>
        <w:rPr>
          <w:color w:val="auto"/>
        </w:rPr>
      </w:pPr>
      <w:r>
        <w:rPr>
          <w:rFonts w:hint="eastAsia" w:ascii="Times New Roman" w:hAnsi="Times New Roman" w:eastAsia="仿宋_GB2312" w:cs="Times New Roman"/>
          <w:color w:val="auto"/>
          <w:kern w:val="2"/>
          <w:sz w:val="28"/>
          <w:szCs w:val="28"/>
          <w:lang w:val="en-US" w:eastAsia="zh-CN" w:bidi="ar-SA"/>
        </w:rPr>
        <w:t>规划结合村委会以及闲置校舍综合设置老年人日间照料中心、老年人活动室等。</w:t>
      </w:r>
    </w:p>
    <w:p>
      <w:pPr>
        <w:pStyle w:val="33"/>
        <w:spacing w:before="156" w:beforeLines="50" w:after="156" w:afterLines="50" w:line="520" w:lineRule="exact"/>
        <w:rPr>
          <w:rFonts w:hint="eastAsia" w:ascii="Times New Roman" w:hAnsi="Times New Roman"/>
          <w:color w:val="auto"/>
          <w:kern w:val="2"/>
          <w:szCs w:val="32"/>
          <w:lang w:val="en-US" w:eastAsia="zh-CN"/>
        </w:rPr>
      </w:pPr>
      <w:bookmarkStart w:id="69" w:name="_Toc4511"/>
      <w:r>
        <w:rPr>
          <w:rFonts w:hint="eastAsia" w:ascii="Times New Roman" w:hAnsi="Times New Roman"/>
          <w:color w:val="auto"/>
          <w:kern w:val="2"/>
          <w:szCs w:val="32"/>
          <w:lang w:val="en-US" w:eastAsia="zh-CN"/>
        </w:rPr>
        <w:t>第三节 市政基础设施体系</w:t>
      </w:r>
      <w:bookmarkEnd w:id="69"/>
    </w:p>
    <w:p>
      <w:pPr>
        <w:snapToGrid w:val="0"/>
        <w:spacing w:line="480" w:lineRule="exact"/>
        <w:ind w:firstLine="562"/>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 xml:space="preserve">一、给水工程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1、给水现状</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平富乡集镇现状接营前镇水厂，水源为地表水，</w:t>
      </w:r>
      <w:r>
        <w:rPr>
          <w:rFonts w:hint="eastAsia" w:ascii="Times New Roman" w:hAnsi="Times New Roman" w:eastAsia="仿宋_GB2312" w:cs="Times New Roman"/>
          <w:b w:val="0"/>
          <w:bCs w:val="0"/>
          <w:color w:val="auto"/>
          <w:kern w:val="2"/>
          <w:sz w:val="28"/>
          <w:szCs w:val="28"/>
          <w:highlight w:val="none"/>
          <w:lang w:val="en-US" w:eastAsia="zh-CN" w:bidi="ar-SA"/>
        </w:rPr>
        <w:t>主要取自营前镇石溪河</w:t>
      </w:r>
      <w:r>
        <w:rPr>
          <w:rFonts w:hint="eastAsia" w:ascii="Times New Roman" w:hAnsi="Times New Roman" w:eastAsia="仿宋_GB2312" w:cs="Times New Roman"/>
          <w:color w:val="auto"/>
          <w:kern w:val="2"/>
          <w:sz w:val="28"/>
          <w:szCs w:val="28"/>
          <w:lang w:val="en-US" w:eastAsia="zh-CN" w:bidi="ar-SA"/>
        </w:rPr>
        <w:t xml:space="preserve">。乡域内其他各村村民用水一般采用水井和山泉水供水。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2、规划目标</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加强水源工程建设，提高供水保障率，统筹区域水资源，推进城乡一体化供水。全面完成应急备用水源建设，确保供水安全性。规划至2035年，集镇自来水普及率达到100%，全乡集中供水覆盖率达90%以上，自来水普及率达85%以上。</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3、供水设施规划</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规划平富乡集镇及周边村庄接营前镇供水体系，实现以营前为核心的城乡供水一体化。其他乡村地区完善农饮水工程建设，确保村民供水安全有保障。</w:t>
      </w:r>
    </w:p>
    <w:p>
      <w:pPr>
        <w:snapToGrid w:val="0"/>
        <w:spacing w:line="480" w:lineRule="exact"/>
        <w:ind w:firstLine="562"/>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二、排水工程</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1、排水现状</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集镇北部建有一小型污水处理厂，日处理能力300吨。乡域局部道路有少量的排水沟，大部分村庄没有排水设施，雨水、污水均沿地势自由排放，影响周边自然环境。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2、规划目标</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在集镇全面建立污水集中处理设施，污水处理后实行资源化利用；在各村地区推行污水处理模式多元化发展。至2035年，城镇生活污水收集、处理率达100%，农村污水治理率达到80%。</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ind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3、排水设施规划</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color w:val="auto"/>
        </w:rPr>
      </w:pPr>
      <w:r>
        <w:rPr>
          <w:rFonts w:hint="eastAsia" w:ascii="Times New Roman" w:hAnsi="Times New Roman" w:eastAsia="仿宋_GB2312" w:cs="Times New Roman"/>
          <w:color w:val="auto"/>
          <w:kern w:val="2"/>
          <w:sz w:val="28"/>
          <w:szCs w:val="28"/>
          <w:lang w:val="en-US" w:eastAsia="zh-CN" w:bidi="ar-SA"/>
        </w:rPr>
        <w:t>规划在平富乡采用雨污分流排放体制，规划平富乡集镇设污水处理厂，处理能力500吨/日。其余各村根据自身条件采用雨污合流或分流的排水体制，雨水就近排放（不可排入水源保护区内），污水处理可考虑联村或单村建设污水处理池</w:t>
      </w:r>
      <w:r>
        <w:rPr>
          <w:rFonts w:hint="eastAsia" w:ascii="宋体" w:hAnsi="宋体" w:eastAsia="宋体" w:cs="宋体"/>
          <w:color w:val="auto"/>
          <w:kern w:val="0"/>
          <w:sz w:val="28"/>
          <w:szCs w:val="28"/>
          <w:lang w:val="en-US" w:eastAsia="zh-CN" w:bidi="ar"/>
        </w:rPr>
        <w:t>。</w:t>
      </w:r>
    </w:p>
    <w:p>
      <w:pPr>
        <w:numPr>
          <w:ilvl w:val="0"/>
          <w:numId w:val="10"/>
        </w:numPr>
        <w:snapToGrid w:val="0"/>
        <w:spacing w:line="480" w:lineRule="exact"/>
        <w:ind w:left="0" w:leftChars="0" w:firstLine="562" w:firstLineChars="200"/>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电力工程</w:t>
      </w:r>
    </w:p>
    <w:p>
      <w:pPr>
        <w:numPr>
          <w:ilvl w:val="0"/>
          <w:numId w:val="0"/>
        </w:numPr>
        <w:snapToGrid w:val="0"/>
        <w:spacing w:line="480" w:lineRule="exact"/>
        <w:ind w:leftChars="200" w:firstLine="280" w:firstLineChars="100"/>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1、电力现状</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现状平富乡无变电站，用电主要接营前35kv变电站。多条高压走廊途经平富乡域。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2、规划目标</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优化区域电网设施配置，实现区域资源共享，提高电网设施运行效率，构建科学合理、安全稳定的网络结构，保障供电安全。至2035年，集镇供电可靠率不低于99.85%，其他地区不宜低于99.80%。</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3、电力设施规划</w:t>
      </w:r>
    </w:p>
    <w:p>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优化区域电网设施配置，实现区域资源共享，提高电网设施运行效率，构建科学合理、安全稳定的网络结构。规划推进城乡一体化的电网建设。规划至2035年，乡域用电接营前110kv变电站。</w:t>
      </w:r>
    </w:p>
    <w:p>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规划远期（2035年）规划全乡人均综合用电量为1200kWh/d，规划人口以户籍1.39万人口计，则远期全镇年总用电量为1660万kWh。 </w:t>
      </w:r>
    </w:p>
    <w:p>
      <w:pPr>
        <w:numPr>
          <w:ilvl w:val="0"/>
          <w:numId w:val="10"/>
        </w:numPr>
        <w:snapToGrid w:val="0"/>
        <w:spacing w:line="480" w:lineRule="exact"/>
        <w:ind w:left="0" w:leftChars="0" w:firstLine="562" w:firstLineChars="200"/>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 xml:space="preserve">通信工程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ind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1、通信现状</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平富乡集镇现有电信所、邮政所，用地均为农村宅基地一层店铺。垦殖场场区有业务代办网点。</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2、规划目标</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至2035年，宽带普及率达100％，光纤到户比例达100％，广播电视综合覆盖率达100％，乡域实现村村通广播电视，有线电视入户率达100％通信设施规划。以“少局所，大容量，多接入点”的原则，结合用地布局，完善各级电信局所建设。保留乡镇电信所及邮政所，行政村设置服务网点。推动新型基础设施建设，实施“新基建+”行动，推进骨干网、城域网扩容，持续推进高速光纤入户和无线城市建设，加快实现城乡有线/无线宽带“双千兆”服务能力。</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3、电信规划</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规划保留现状电信所，位于乡政府北侧。建立起覆盖全镇的移动通信信息网，规划期内实现集镇无缝隙覆盖率达到</w:t>
      </w:r>
      <w:r>
        <w:rPr>
          <w:rFonts w:hint="default" w:ascii="Times New Roman" w:hAnsi="Times New Roman" w:eastAsia="仿宋_GB2312" w:cs="Times New Roman"/>
          <w:color w:val="auto"/>
          <w:kern w:val="2"/>
          <w:sz w:val="28"/>
          <w:szCs w:val="28"/>
          <w:lang w:val="en-US" w:eastAsia="zh-CN" w:bidi="ar-SA"/>
        </w:rPr>
        <w:t>100%</w:t>
      </w:r>
      <w:r>
        <w:rPr>
          <w:rFonts w:hint="eastAsia" w:ascii="Times New Roman" w:hAnsi="Times New Roman" w:eastAsia="仿宋_GB2312" w:cs="Times New Roman"/>
          <w:color w:val="auto"/>
          <w:kern w:val="2"/>
          <w:sz w:val="28"/>
          <w:szCs w:val="28"/>
          <w:lang w:val="en-US" w:eastAsia="zh-CN" w:bidi="ar-SA"/>
        </w:rPr>
        <w:t>，逐步发展数据通信、图像通信、多媒体通信及各种智能化业务和宽带业务。</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4、通讯规划</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规划保留现状邮政所，位于乡政府北侧。新建邮政物流配送中心。建立数字化网络，实现邮政和银行的信息流、资金流、实物流的三网合一。积极发展现代邮政储蓄、邮政汇兑、特快专递、大宗包裹邮件、邮政广告、物流、农资和集邮等业务，提高邮政业务处理机械化、智能化水平和网络化水平。</w:t>
      </w:r>
    </w:p>
    <w:p>
      <w:pPr>
        <w:numPr>
          <w:ilvl w:val="0"/>
          <w:numId w:val="10"/>
        </w:numPr>
        <w:snapToGrid w:val="0"/>
        <w:spacing w:line="480" w:lineRule="exact"/>
        <w:ind w:left="0" w:leftChars="0" w:firstLine="562" w:firstLineChars="200"/>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燃气工程</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ind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1、燃气现状</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default"/>
          <w:color w:val="auto"/>
          <w:lang w:val="en-US" w:eastAsia="zh-CN"/>
        </w:rPr>
      </w:pPr>
      <w:r>
        <w:rPr>
          <w:rFonts w:hint="eastAsia" w:ascii="Times New Roman" w:hAnsi="Times New Roman" w:eastAsia="仿宋_GB2312" w:cs="Times New Roman"/>
          <w:color w:val="auto"/>
          <w:kern w:val="2"/>
          <w:sz w:val="28"/>
          <w:szCs w:val="28"/>
          <w:lang w:val="en-US" w:eastAsia="zh-CN" w:bidi="ar-SA"/>
        </w:rPr>
        <w:t>平富乡现状以瓶装燃气为主。</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ind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2、规划目标</w:t>
      </w:r>
    </w:p>
    <w:p>
      <w:pPr>
        <w:keepNext w:val="0"/>
        <w:keepLines w:val="0"/>
        <w:pageBreakBefore w:val="0"/>
        <w:widowControl/>
        <w:suppressLineNumbers w:val="0"/>
        <w:kinsoku/>
        <w:wordWrap/>
        <w:overflowPunct/>
        <w:topLinePunct w:val="0"/>
        <w:autoSpaceDE/>
        <w:autoSpaceDN/>
        <w:bidi w:val="0"/>
        <w:adjustRightInd/>
        <w:snapToGrid/>
        <w:spacing w:line="480" w:lineRule="exact"/>
        <w:ind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至2035年，乡镇气化率达到70%。</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3、燃气设施规划</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规划平富乡集镇接营前镇燃气站，沿国道220沿线布置燃气管道。各村瓶装燃气为主。</w:t>
      </w:r>
    </w:p>
    <w:p>
      <w:pPr>
        <w:numPr>
          <w:ilvl w:val="0"/>
          <w:numId w:val="10"/>
        </w:numPr>
        <w:snapToGrid w:val="0"/>
        <w:spacing w:line="480" w:lineRule="exact"/>
        <w:ind w:left="0" w:leftChars="0" w:firstLine="562" w:firstLineChars="200"/>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 xml:space="preserve">环卫工程 </w:t>
      </w:r>
    </w:p>
    <w:p>
      <w:pPr>
        <w:keepNext w:val="0"/>
        <w:keepLines w:val="0"/>
        <w:pageBreakBefore w:val="0"/>
        <w:widowControl/>
        <w:numPr>
          <w:ilvl w:val="0"/>
          <w:numId w:val="0"/>
        </w:numPr>
        <w:suppressLineNumbers w:val="0"/>
        <w:kinsoku/>
        <w:wordWrap/>
        <w:overflowPunct/>
        <w:topLinePunct w:val="0"/>
        <w:bidi w:val="0"/>
        <w:adjustRightInd/>
        <w:snapToGrid/>
        <w:spacing w:line="480" w:lineRule="exact"/>
        <w:ind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1、环卫设施现状</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集镇现状在集镇北部有一环卫所，各村设有垃圾收集点，垃圾统一收集至县城进行无害化处理。</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2、规划目标</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建设无害再生的垃圾处理系统，保障规划期内环卫设施的用地需求。至2035年，乡域生活垃圾无害化处理率达100%，分类收集率达80%，生活垃圾资源化利用率达35%以上。</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3、环卫设施规划</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highlight w:val="none"/>
          <w:lang w:val="en-US" w:eastAsia="zh-CN" w:bidi="ar-SA"/>
        </w:rPr>
        <w:t>规划</w:t>
      </w:r>
      <w:r>
        <w:rPr>
          <w:rFonts w:hint="eastAsia" w:ascii="Times New Roman" w:hAnsi="Times New Roman" w:eastAsia="仿宋_GB2312" w:cs="Times New Roman"/>
          <w:color w:val="auto"/>
          <w:kern w:val="2"/>
          <w:sz w:val="28"/>
          <w:szCs w:val="28"/>
          <w:lang w:val="en-US" w:eastAsia="zh-CN" w:bidi="ar-SA"/>
        </w:rPr>
        <w:t>平富乡集镇西边设置一处小型垃圾中转站，用地面积为0.05公顷。</w:t>
      </w:r>
      <w:r>
        <w:rPr>
          <w:rFonts w:hint="eastAsia" w:ascii="Times New Roman" w:hAnsi="Times New Roman" w:eastAsia="仿宋_GB2312" w:cs="Times New Roman"/>
          <w:color w:val="auto"/>
          <w:kern w:val="2"/>
          <w:sz w:val="28"/>
          <w:szCs w:val="28"/>
          <w:highlight w:val="none"/>
          <w:lang w:val="en-US" w:eastAsia="zh-CN" w:bidi="ar-SA"/>
        </w:rPr>
        <w:t>根据资源共建共享的原则，规划对全乡生活垃圾采取“村收集、集镇转运、分片集中处理”的无害化处理模式</w:t>
      </w:r>
      <w:r>
        <w:rPr>
          <w:rFonts w:hint="eastAsia" w:ascii="Times New Roman" w:hAnsi="Times New Roman" w:eastAsia="仿宋_GB2312" w:cs="Times New Roman"/>
          <w:color w:val="auto"/>
          <w:kern w:val="2"/>
          <w:sz w:val="28"/>
          <w:szCs w:val="28"/>
          <w:lang w:val="en-US" w:eastAsia="zh-CN" w:bidi="ar-SA"/>
        </w:rPr>
        <w:t>。</w:t>
      </w:r>
    </w:p>
    <w:p>
      <w:pPr>
        <w:pStyle w:val="33"/>
        <w:spacing w:before="156" w:beforeLines="50" w:after="156" w:afterLines="50" w:line="520" w:lineRule="exact"/>
        <w:rPr>
          <w:rFonts w:hint="eastAsia" w:ascii="Times New Roman" w:hAnsi="Times New Roman"/>
          <w:color w:val="auto"/>
          <w:kern w:val="2"/>
          <w:szCs w:val="32"/>
          <w:lang w:val="en-US" w:eastAsia="zh-CN"/>
        </w:rPr>
      </w:pPr>
      <w:bookmarkStart w:id="70" w:name="_Toc3192"/>
      <w:r>
        <w:rPr>
          <w:rFonts w:hint="eastAsia" w:ascii="Times New Roman" w:hAnsi="Times New Roman"/>
          <w:color w:val="auto"/>
          <w:kern w:val="2"/>
          <w:szCs w:val="32"/>
          <w:lang w:val="en-US" w:eastAsia="zh-CN"/>
        </w:rPr>
        <w:t>第四节 综合防灾减灾体系</w:t>
      </w:r>
      <w:bookmarkEnd w:id="70"/>
    </w:p>
    <w:p>
      <w:pPr>
        <w:numPr>
          <w:ilvl w:val="0"/>
          <w:numId w:val="0"/>
        </w:numPr>
        <w:snapToGrid w:val="0"/>
        <w:spacing w:line="480" w:lineRule="exact"/>
        <w:ind w:firstLine="562" w:firstLineChars="200"/>
        <w:rPr>
          <w:rFonts w:hint="eastAsia" w:ascii="Times New Roman" w:hAnsi="Times New Roman" w:eastAsia="仿宋_GB2312" w:cs="Times New Roman"/>
          <w:b/>
          <w:color w:val="auto"/>
          <w:sz w:val="28"/>
          <w:szCs w:val="28"/>
          <w:lang w:val="en-US" w:eastAsia="zh-CN"/>
        </w:rPr>
      </w:pPr>
      <w:r>
        <w:rPr>
          <w:rFonts w:hint="eastAsia" w:ascii="Times New Roman" w:hAnsi="Times New Roman" w:eastAsia="仿宋_GB2312" w:cs="Times New Roman"/>
          <w:b/>
          <w:color w:val="auto"/>
          <w:sz w:val="28"/>
          <w:szCs w:val="28"/>
          <w:lang w:val="en-US" w:eastAsia="zh-CN"/>
        </w:rPr>
        <w:t>一、防震减灾规划</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ind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平富乡属6度以下标准设防城镇，一般建筑物按6度设防。</w:t>
      </w:r>
    </w:p>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规划在乡政府设置抗震救灾指挥中心。</w:t>
      </w:r>
    </w:p>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避灾疏散通道和疏散场地疏散通道主要利用城镇的主次干道及对外交通设施，形成通畅的快速疏散体系。农村以村村通道路和公路作为主要疏散通道，以农田空地作为主要疏散场地。</w:t>
      </w:r>
    </w:p>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生命线系统及建筑设施重点加强对供水、电力、交通、电信、燃气、医疗救护、粮食供应、防洪、防地质灾害、消防等生命线系统的防护措施，这些工程必须严格按照标准设防，所有的工程设施不符合抗震要求的建筑物，必须进行加固和改造处理。城镇的其他各类建筑物及工程构建物工程设计，必须遵照《建筑抗震设计规范》（GB50011-2010）执行。</w:t>
      </w:r>
    </w:p>
    <w:p>
      <w:pPr>
        <w:keepNext w:val="0"/>
        <w:keepLines w:val="0"/>
        <w:pageBreakBefore w:val="0"/>
        <w:widowControl/>
        <w:numPr>
          <w:ilvl w:val="0"/>
          <w:numId w:val="13"/>
        </w:numPr>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政府、医院、学校、体育场馆、商场、交通枢纽、消防车库及其值班用房、加油站等属于重点设防类，在原有地震标准上提高一度设防。</w:t>
      </w:r>
    </w:p>
    <w:p>
      <w:pPr>
        <w:keepNext w:val="0"/>
        <w:keepLines w:val="0"/>
        <w:pageBreakBefore w:val="0"/>
        <w:widowControl/>
        <w:numPr>
          <w:ilvl w:val="0"/>
          <w:numId w:val="14"/>
        </w:numPr>
        <w:suppressLineNumbers w:val="0"/>
        <w:kinsoku/>
        <w:wordWrap/>
        <w:overflowPunct/>
        <w:topLinePunct w:val="0"/>
        <w:bidi w:val="0"/>
        <w:adjustRightInd/>
        <w:snapToGrid/>
        <w:spacing w:line="480" w:lineRule="exact"/>
        <w:ind w:leftChars="0"/>
        <w:jc w:val="left"/>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防洪规划</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1、防洪标准</w:t>
      </w:r>
    </w:p>
    <w:p>
      <w:pPr>
        <w:keepNext w:val="0"/>
        <w:keepLines w:val="0"/>
        <w:pageBreakBefore w:val="0"/>
        <w:widowControl w:val="0"/>
        <w:numPr>
          <w:ilvl w:val="0"/>
          <w:numId w:val="0"/>
        </w:numPr>
        <w:kinsoku/>
        <w:wordWrap/>
        <w:overflowPunct/>
        <w:topLinePunct w:val="0"/>
        <w:autoSpaceDE/>
        <w:autoSpaceDN/>
        <w:bidi w:val="0"/>
        <w:adjustRightInd/>
        <w:snapToGrid/>
        <w:spacing w:beforeLines="0" w:line="520" w:lineRule="exact"/>
        <w:ind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根据国家有关规范，结合平富乡实际情况，平富河防洪标准乡村地区按10年一遇标准设防，集镇按20年一遇标准设防。</w:t>
      </w:r>
    </w:p>
    <w:p>
      <w:pPr>
        <w:keepNext w:val="0"/>
        <w:keepLines w:val="0"/>
        <w:pageBreakBefore w:val="0"/>
        <w:widowControl w:val="0"/>
        <w:numPr>
          <w:ilvl w:val="0"/>
          <w:numId w:val="0"/>
        </w:numPr>
        <w:kinsoku/>
        <w:wordWrap/>
        <w:overflowPunct/>
        <w:topLinePunct w:val="0"/>
        <w:autoSpaceDE/>
        <w:autoSpaceDN/>
        <w:bidi w:val="0"/>
        <w:adjustRightInd/>
        <w:snapToGrid/>
        <w:spacing w:beforeLines="0" w:line="520" w:lineRule="exact"/>
        <w:ind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合理布局防洪工程，建设防洪闭合圈，生态化整治河道，尽量保留现有湖泊、水塘、湿地等天然水域。对沿河的一般村庄和耕地则采用</w:t>
      </w:r>
      <w:r>
        <w:rPr>
          <w:rFonts w:hint="default" w:ascii="Times New Roman" w:hAnsi="Times New Roman" w:eastAsia="仿宋_GB2312" w:cs="Times New Roman"/>
          <w:color w:val="auto"/>
          <w:kern w:val="2"/>
          <w:sz w:val="28"/>
          <w:szCs w:val="28"/>
          <w:lang w:val="en-US" w:eastAsia="zh-CN" w:bidi="ar-SA"/>
        </w:rPr>
        <w:t>10</w:t>
      </w:r>
      <w:r>
        <w:rPr>
          <w:rFonts w:hint="eastAsia" w:ascii="Times New Roman" w:hAnsi="Times New Roman" w:eastAsia="仿宋_GB2312" w:cs="Times New Roman"/>
          <w:color w:val="auto"/>
          <w:kern w:val="2"/>
          <w:sz w:val="28"/>
          <w:szCs w:val="28"/>
          <w:lang w:val="en-US" w:eastAsia="zh-CN" w:bidi="ar-SA"/>
        </w:rPr>
        <w:t>年一遇的防洪标准。</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2、排涝工程规划</w:t>
      </w:r>
    </w:p>
    <w:p>
      <w:pPr>
        <w:keepNext w:val="0"/>
        <w:keepLines w:val="0"/>
        <w:pageBreakBefore w:val="0"/>
        <w:widowControl w:val="0"/>
        <w:numPr>
          <w:ilvl w:val="0"/>
          <w:numId w:val="0"/>
        </w:numPr>
        <w:kinsoku/>
        <w:wordWrap/>
        <w:overflowPunct/>
        <w:topLinePunct w:val="0"/>
        <w:autoSpaceDE/>
        <w:autoSpaceDN/>
        <w:bidi w:val="0"/>
        <w:adjustRightInd/>
        <w:snapToGrid/>
        <w:spacing w:beforeLines="0" w:line="520" w:lineRule="exact"/>
        <w:ind w:firstLine="560" w:firstLineChars="200"/>
        <w:textAlignment w:val="auto"/>
        <w:rPr>
          <w:rFonts w:hint="eastAsia" w:ascii="仿宋_GB2312" w:hAnsi="仿宋_GB2312" w:eastAsia="仿宋_GB2312" w:cs="仿宋_GB2312"/>
          <w:color w:val="auto"/>
          <w:lang w:val="en-US" w:eastAsia="zh-CN"/>
        </w:rPr>
      </w:pPr>
      <w:r>
        <w:rPr>
          <w:rFonts w:hint="eastAsia" w:ascii="Times New Roman" w:hAnsi="Times New Roman" w:eastAsia="仿宋_GB2312" w:cs="Times New Roman"/>
          <w:color w:val="auto"/>
          <w:kern w:val="2"/>
          <w:sz w:val="28"/>
          <w:szCs w:val="28"/>
          <w:lang w:val="en-US" w:eastAsia="zh-CN" w:bidi="ar-SA"/>
        </w:rPr>
        <w:t>规划集镇排涝标准按照10年一遇的排涝标准设防。</w:t>
      </w:r>
      <w:r>
        <w:rPr>
          <w:rFonts w:hint="eastAsia" w:ascii="仿宋_GB2312" w:hAnsi="仿宋_GB2312" w:eastAsia="仿宋_GB2312" w:cs="仿宋_GB2312"/>
          <w:b w:val="0"/>
          <w:bCs/>
          <w:color w:val="auto"/>
          <w:kern w:val="2"/>
          <w:sz w:val="28"/>
          <w:szCs w:val="28"/>
          <w:lang w:val="en-US" w:eastAsia="zh-CN" w:bidi="ar-SA"/>
        </w:rPr>
        <w:t>村庄集中居民点与耕地防护区按1年一遇最大暴雨居民住宅和工商建筑物的底层不进水，道路中一条车行道的积水深度不超过15cm。</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3、排涝工程规划措施 </w:t>
      </w:r>
    </w:p>
    <w:p>
      <w:pPr>
        <w:pStyle w:val="17"/>
        <w:pageBreakBefore w:val="0"/>
        <w:kinsoku/>
        <w:wordWrap/>
        <w:overflowPunct/>
        <w:topLinePunct w:val="0"/>
        <w:bidi w:val="0"/>
        <w:adjustRightInd/>
        <w:snapToGrid/>
        <w:spacing w:line="480" w:lineRule="exact"/>
        <w:ind w:left="0" w:leftChars="0" w:firstLine="560" w:firstLineChars="200"/>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尽量保留现状水系，打通各水系间的联系，调节雨水径流洪峰量，缓解内涝；修缮现有排涝站，提高排水能力。</w:t>
      </w:r>
    </w:p>
    <w:p>
      <w:pPr>
        <w:keepNext w:val="0"/>
        <w:keepLines w:val="0"/>
        <w:pageBreakBefore w:val="0"/>
        <w:widowControl/>
        <w:numPr>
          <w:ilvl w:val="0"/>
          <w:numId w:val="14"/>
        </w:numPr>
        <w:suppressLineNumbers w:val="0"/>
        <w:kinsoku/>
        <w:wordWrap/>
        <w:overflowPunct/>
        <w:topLinePunct w:val="0"/>
        <w:bidi w:val="0"/>
        <w:adjustRightInd/>
        <w:snapToGrid/>
        <w:spacing w:line="480" w:lineRule="exact"/>
        <w:ind w:leftChars="0"/>
        <w:jc w:val="left"/>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消防规划</w:t>
      </w:r>
    </w:p>
    <w:p>
      <w:pPr>
        <w:pStyle w:val="17"/>
        <w:pageBreakBefore w:val="0"/>
        <w:kinsoku/>
        <w:wordWrap/>
        <w:overflowPunct/>
        <w:topLinePunct w:val="0"/>
        <w:bidi w:val="0"/>
        <w:adjustRightInd/>
        <w:snapToGrid/>
        <w:spacing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1、集镇采用消防站等专业灭火救助队伍承担消防任务，集镇内设置1处微型消防站。有条件的大型企事业单位或重点防火单位应自建消防队，承担本单位的消防任务。</w:t>
      </w:r>
    </w:p>
    <w:p>
      <w:pPr>
        <w:pStyle w:val="17"/>
        <w:pageBreakBefore w:val="0"/>
        <w:kinsoku/>
        <w:wordWrap/>
        <w:overflowPunct/>
        <w:topLinePunct w:val="0"/>
        <w:bidi w:val="0"/>
        <w:adjustRightInd/>
        <w:snapToGrid/>
        <w:spacing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2、乡域内外围各村庄社区分别设置1处消防点，附建村委会内，配备消防通信设备。鼓励群防群治，互帮互助的防火形势，提高群众自救能力。</w:t>
      </w:r>
    </w:p>
    <w:p>
      <w:pPr>
        <w:pStyle w:val="17"/>
        <w:pageBreakBefore w:val="0"/>
        <w:kinsoku/>
        <w:wordWrap/>
        <w:overflowPunct/>
        <w:topLinePunct w:val="0"/>
        <w:bidi w:val="0"/>
        <w:adjustRightInd/>
        <w:snapToGrid/>
        <w:spacing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3、消防水源主要供水管网。加强消防水源建设的同时，完善消防报警、通讯调度等通信设施。</w:t>
      </w:r>
    </w:p>
    <w:p>
      <w:pPr>
        <w:pStyle w:val="17"/>
        <w:pageBreakBefore w:val="0"/>
        <w:kinsoku/>
        <w:wordWrap/>
        <w:overflowPunct/>
        <w:topLinePunct w:val="0"/>
        <w:bidi w:val="0"/>
        <w:adjustRightInd/>
        <w:snapToGrid/>
        <w:spacing w:line="480" w:lineRule="exact"/>
        <w:ind w:left="0" w:leftChars="0" w:firstLine="562" w:firstLineChars="200"/>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 xml:space="preserve">四、地质灾害减防规划 </w:t>
      </w:r>
    </w:p>
    <w:p>
      <w:pPr>
        <w:pStyle w:val="17"/>
        <w:pageBreakBefore w:val="0"/>
        <w:kinsoku/>
        <w:wordWrap/>
        <w:overflowPunct/>
        <w:topLinePunct w:val="0"/>
        <w:bidi w:val="0"/>
        <w:adjustRightInd/>
        <w:snapToGrid/>
        <w:spacing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1、地质灾害现状</w:t>
      </w:r>
    </w:p>
    <w:p>
      <w:pPr>
        <w:pStyle w:val="17"/>
        <w:pageBreakBefore w:val="0"/>
        <w:kinsoku/>
        <w:wordWrap/>
        <w:overflowPunct/>
        <w:topLinePunct w:val="0"/>
        <w:bidi w:val="0"/>
        <w:adjustRightInd/>
        <w:snapToGrid/>
        <w:spacing w:line="480" w:lineRule="exact"/>
        <w:ind w:left="0" w:leftChars="0" w:firstLine="560" w:firstLineChars="200"/>
        <w:textAlignment w:val="auto"/>
        <w:rPr>
          <w:rFonts w:hint="eastAsia" w:ascii="Times New Roman" w:hAnsi="Times New Roman" w:eastAsia="仿宋_GB2312" w:cs="Times New Roman"/>
          <w:color w:val="auto"/>
          <w:kern w:val="2"/>
          <w:sz w:val="28"/>
          <w:szCs w:val="28"/>
          <w:highlight w:val="none"/>
          <w:lang w:val="en-US" w:eastAsia="zh-CN" w:bidi="ar-SA"/>
        </w:rPr>
      </w:pPr>
      <w:r>
        <w:rPr>
          <w:rFonts w:hint="eastAsia" w:ascii="Times New Roman" w:hAnsi="Times New Roman" w:eastAsia="仿宋_GB2312" w:cs="Times New Roman"/>
          <w:color w:val="auto"/>
          <w:kern w:val="2"/>
          <w:sz w:val="28"/>
          <w:szCs w:val="28"/>
          <w:highlight w:val="none"/>
          <w:lang w:val="en-US" w:eastAsia="zh-CN" w:bidi="ar-SA"/>
        </w:rPr>
        <w:t>乡域内有3种地灾类型，共50处自然灾害点。其中28处滑坡点，分布于乡域中部地区；不稳定斜坡21处，分布于乡域中部及西部地区；崩塌点有1处，位于庄前村。</w:t>
      </w:r>
    </w:p>
    <w:p>
      <w:pPr>
        <w:pStyle w:val="17"/>
        <w:pageBreakBefore w:val="0"/>
        <w:kinsoku/>
        <w:wordWrap/>
        <w:overflowPunct/>
        <w:topLinePunct w:val="0"/>
        <w:bidi w:val="0"/>
        <w:adjustRightInd/>
        <w:snapToGrid/>
        <w:spacing w:line="480" w:lineRule="exact"/>
        <w:ind w:left="0" w:leftChars="0" w:firstLine="560" w:firstLineChars="200"/>
        <w:textAlignment w:val="auto"/>
        <w:rPr>
          <w:rFonts w:hint="eastAsia" w:ascii="Times New Roman" w:hAnsi="Times New Roman" w:eastAsia="仿宋_GB2312" w:cs="Times New Roman"/>
          <w:color w:val="auto"/>
          <w:kern w:val="2"/>
          <w:sz w:val="28"/>
          <w:szCs w:val="28"/>
          <w:highlight w:val="none"/>
          <w:lang w:val="en-US" w:eastAsia="zh-CN" w:bidi="ar-SA"/>
        </w:rPr>
      </w:pPr>
    </w:p>
    <w:p>
      <w:pPr>
        <w:pStyle w:val="17"/>
        <w:pageBreakBefore w:val="0"/>
        <w:kinsoku/>
        <w:wordWrap/>
        <w:overflowPunct/>
        <w:topLinePunct w:val="0"/>
        <w:bidi w:val="0"/>
        <w:adjustRightInd/>
        <w:snapToGrid/>
        <w:spacing w:line="480" w:lineRule="exact"/>
        <w:ind w:left="0" w:leftChars="0" w:firstLine="560" w:firstLineChars="200"/>
        <w:textAlignment w:val="auto"/>
        <w:rPr>
          <w:rFonts w:hint="eastAsia" w:ascii="Times New Roman" w:hAnsi="Times New Roman" w:eastAsia="仿宋_GB2312" w:cs="Times New Roman"/>
          <w:color w:val="auto"/>
          <w:kern w:val="2"/>
          <w:sz w:val="28"/>
          <w:szCs w:val="28"/>
          <w:highlight w:val="none"/>
          <w:lang w:val="en-US" w:eastAsia="zh-CN" w:bidi="ar-SA"/>
        </w:rPr>
      </w:pPr>
    </w:p>
    <w:p>
      <w:pPr>
        <w:pStyle w:val="17"/>
        <w:pageBreakBefore w:val="0"/>
        <w:kinsoku/>
        <w:wordWrap/>
        <w:overflowPunct/>
        <w:topLinePunct w:val="0"/>
        <w:bidi w:val="0"/>
        <w:adjustRightInd/>
        <w:snapToGrid/>
        <w:spacing w:line="480" w:lineRule="exact"/>
        <w:ind w:left="0" w:leftChars="0" w:firstLine="0" w:firstLineChars="0"/>
        <w:jc w:val="center"/>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b/>
          <w:bCs/>
          <w:color w:val="auto"/>
          <w:kern w:val="2"/>
          <w:sz w:val="21"/>
          <w:szCs w:val="21"/>
          <w:lang w:val="en-US" w:eastAsia="zh-CN" w:bidi="ar-SA"/>
        </w:rPr>
        <w:t>表11-1 地质灾害点现状一览表</w:t>
      </w:r>
    </w:p>
    <w:tbl>
      <w:tblPr>
        <w:tblStyle w:val="19"/>
        <w:tblW w:w="842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811"/>
        <w:gridCol w:w="1450"/>
        <w:gridCol w:w="1217"/>
        <w:gridCol w:w="9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vAlign w:val="top"/>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Times New Roman" w:hAnsi="Times New Roman" w:eastAsia="仿宋_GB2312" w:cs="Times New Roman"/>
                <w:b w:val="0"/>
                <w:bCs w:val="0"/>
                <w:color w:val="auto"/>
                <w:kern w:val="2"/>
                <w:sz w:val="21"/>
                <w:szCs w:val="21"/>
                <w:lang w:val="en-US" w:eastAsia="zh-CN" w:bidi="ar-SA"/>
              </w:rPr>
            </w:pPr>
            <w:r>
              <w:rPr>
                <w:rFonts w:hint="eastAsia" w:ascii="Times New Roman" w:hAnsi="Times New Roman" w:eastAsia="仿宋_GB2312" w:cs="Times New Roman"/>
                <w:b w:val="0"/>
                <w:bCs w:val="0"/>
                <w:color w:val="auto"/>
                <w:kern w:val="2"/>
                <w:sz w:val="21"/>
                <w:szCs w:val="21"/>
                <w:lang w:val="en-US" w:eastAsia="zh-CN" w:bidi="ar-SA"/>
              </w:rPr>
              <w:t>灾害点</w:t>
            </w:r>
          </w:p>
        </w:tc>
        <w:tc>
          <w:tcPr>
            <w:tcW w:w="1450" w:type="dxa"/>
            <w:tcBorders>
              <w:top w:val="single" w:color="000000" w:sz="4" w:space="0"/>
              <w:left w:val="single" w:color="000000" w:sz="4" w:space="0"/>
              <w:bottom w:val="single" w:color="000000" w:sz="4" w:space="0"/>
              <w:right w:val="single" w:color="000000" w:sz="4" w:space="0"/>
            </w:tcBorders>
            <w:shd w:val="clear" w:color="auto" w:fill="auto"/>
            <w:vAlign w:val="top"/>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Times New Roman" w:hAnsi="Times New Roman" w:eastAsia="仿宋_GB2312" w:cs="Times New Roman"/>
                <w:b w:val="0"/>
                <w:bCs w:val="0"/>
                <w:color w:val="auto"/>
                <w:kern w:val="2"/>
                <w:sz w:val="21"/>
                <w:szCs w:val="21"/>
                <w:lang w:val="en-US" w:eastAsia="zh-CN" w:bidi="ar-SA"/>
              </w:rPr>
            </w:pPr>
            <w:r>
              <w:rPr>
                <w:rFonts w:hint="eastAsia" w:ascii="Times New Roman" w:hAnsi="Times New Roman" w:eastAsia="仿宋_GB2312" w:cs="Times New Roman"/>
                <w:b w:val="0"/>
                <w:bCs w:val="0"/>
                <w:color w:val="auto"/>
                <w:kern w:val="2"/>
                <w:sz w:val="21"/>
                <w:szCs w:val="21"/>
                <w:lang w:val="en-US" w:eastAsia="zh-CN" w:bidi="ar-SA"/>
              </w:rPr>
              <w:t>类型</w:t>
            </w:r>
          </w:p>
        </w:tc>
        <w:tc>
          <w:tcPr>
            <w:tcW w:w="1217" w:type="dxa"/>
            <w:tcBorders>
              <w:top w:val="single" w:color="000000" w:sz="4" w:space="0"/>
              <w:left w:val="single" w:color="000000" w:sz="4" w:space="0"/>
              <w:bottom w:val="single" w:color="000000" w:sz="4" w:space="0"/>
              <w:right w:val="single" w:color="000000" w:sz="4" w:space="0"/>
            </w:tcBorders>
            <w:shd w:val="clear" w:color="auto" w:fill="auto"/>
            <w:vAlign w:val="top"/>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Times New Roman" w:hAnsi="Times New Roman" w:eastAsia="仿宋_GB2312" w:cs="Times New Roman"/>
                <w:b w:val="0"/>
                <w:bCs w:val="0"/>
                <w:color w:val="auto"/>
                <w:kern w:val="2"/>
                <w:sz w:val="21"/>
                <w:szCs w:val="21"/>
                <w:lang w:val="en-US" w:eastAsia="zh-CN" w:bidi="ar-SA"/>
              </w:rPr>
            </w:pPr>
            <w:r>
              <w:rPr>
                <w:rFonts w:hint="eastAsia" w:ascii="Times New Roman" w:hAnsi="Times New Roman" w:eastAsia="仿宋_GB2312" w:cs="Times New Roman"/>
                <w:b w:val="0"/>
                <w:bCs w:val="0"/>
                <w:color w:val="auto"/>
                <w:kern w:val="2"/>
                <w:sz w:val="21"/>
                <w:szCs w:val="21"/>
                <w:lang w:val="en-US" w:eastAsia="zh-CN" w:bidi="ar-SA"/>
              </w:rPr>
              <w:t>位置</w:t>
            </w:r>
          </w:p>
        </w:tc>
        <w:tc>
          <w:tcPr>
            <w:tcW w:w="951" w:type="dxa"/>
            <w:tcBorders>
              <w:top w:val="single" w:color="000000" w:sz="4" w:space="0"/>
              <w:left w:val="single" w:color="000000" w:sz="4" w:space="0"/>
              <w:bottom w:val="single" w:color="000000" w:sz="4" w:space="0"/>
              <w:right w:val="single" w:color="000000" w:sz="4" w:space="0"/>
            </w:tcBorders>
            <w:shd w:val="clear" w:color="auto" w:fill="auto"/>
            <w:vAlign w:val="top"/>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Times New Roman" w:hAnsi="Times New Roman" w:eastAsia="仿宋_GB2312" w:cs="Times New Roman"/>
                <w:b w:val="0"/>
                <w:bCs w:val="0"/>
                <w:color w:val="auto"/>
                <w:kern w:val="2"/>
                <w:sz w:val="21"/>
                <w:szCs w:val="21"/>
                <w:lang w:val="en-US" w:eastAsia="zh-CN" w:bidi="ar-SA"/>
              </w:rPr>
            </w:pPr>
            <w:r>
              <w:rPr>
                <w:rFonts w:hint="eastAsia" w:ascii="Times New Roman" w:hAnsi="Times New Roman" w:eastAsia="仿宋_GB2312" w:cs="Times New Roman"/>
                <w:b w:val="0"/>
                <w:bCs w:val="0"/>
                <w:color w:val="auto"/>
                <w:kern w:val="2"/>
                <w:sz w:val="21"/>
                <w:szCs w:val="21"/>
                <w:lang w:val="en-US" w:eastAsia="zh-CN" w:bidi="ar-SA"/>
              </w:rPr>
              <w:t>险情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江西省赣州市上犹县平富乡信地畲族村新屋组蓝汉华屋后滑坡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滑坡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信地畲族村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大屋组黄东伟房后滑坡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滑坡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上寨村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坑屋桥组S230省道与崇义交界处不稳定斜坡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不稳定斜坡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上寨村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岭下组S230省道岭下口公路不稳定斜坡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不稳定斜坡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上寨村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暖塘组S230县道暖塘组不稳定斜坡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不稳定斜坡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上寨村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白水组赖传生房后滑坡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滑坡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向前村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白水组赖传周房后滑坡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滑坡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向前村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下坝组钟辉光，钟煌光房后滑坡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滑坡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向前村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下坎组钟仁辉，钟益辉房后不稳定斜坡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不稳定斜坡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向前村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下坎组田允树房后滑坡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滑坡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向前村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下坝组S230省道公路不稳定边坡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不稳定斜坡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向前村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两卡水组钟世华，钟世平房后滑坡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滑坡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向前村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两卡水组钟世星，钟世耀房后不稳定斜坡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不稳定斜坡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向前村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下庄坑组黄甫横房后滑坡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滑坡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庄坑村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刘屋组钟石招房后滑坡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滑坡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庄坑村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廖屋组何秀莲房后不稳定斜坡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不稳定斜坡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庄坑村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上坑组黄平招房后不稳定斜坡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不稳定斜坡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平富村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上坑组乡村公路滑坡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滑坡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平富村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社下组胡益军房后不稳定斜坡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不稳定斜坡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平富村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虎头一组蓝文瑶房后滑坡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滑坡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平富村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虎头二组张正清房后滑坡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滑坡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平富村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树下组田承华等4户房后不稳定斜坡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不稳定斜坡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平富村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树下组村公路滑坡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滑坡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平富村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桥头组兰茅庆，兰茅庭房后滑坡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滑坡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横坑村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桥头组兰显芬，兰金华放后滑坡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滑坡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横坑村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桥头组兰显岳房后滑坡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滑坡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横坑村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新屋组兰显义等四户房后不稳定斜坡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不稳定斜坡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横坑村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申山组兰亮祥，兰显成房后滑坡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滑坡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横坑村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坑尾组刘长林房后滑坡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滑坡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大潭村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雁鹅组萧达传房后不稳定斜坡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不稳定斜坡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向前村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石桥组余作桓房后不稳定斜坡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不稳定斜坡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上寨村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S230省道下寨段公路滑坡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滑坡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上寨村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对门组曾玕先房后不稳定斜坡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不稳定斜坡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向前村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沙坪组刘长招、黄华英房后不稳定斜坡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不稳定斜坡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向前村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靴形组邱奎余、黄源平房后滑坡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滑坡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上寨村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S230省道上寨作业区段公路滑坡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滑坡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平富村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S230公路平富村虎头一组段公路滑坡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滑坡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平富村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铁马再组钟世琅房后滑坡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滑坡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信地村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新屋组蓝文龙房前，房后不稳定斜坡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不稳定斜坡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信地村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新屋组蓝文卓，蓝春华房后滑坡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滑坡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信地村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沙石棚组黄义先房后不稳定斜坡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不稳定斜坡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向前村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浊水组曾庆森房后滑坡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滑坡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向前村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Times New Roman" w:hAnsi="Times New Roman" w:eastAsia="仿宋_GB2312" w:cs="Times New Roman"/>
                <w:b w:val="0"/>
                <w:bCs w:val="0"/>
                <w:color w:val="auto"/>
                <w:kern w:val="2"/>
                <w:sz w:val="21"/>
                <w:szCs w:val="21"/>
                <w:lang w:val="en-US" w:eastAsia="zh-CN" w:bidi="ar-SA"/>
              </w:rPr>
            </w:pPr>
            <w:r>
              <w:rPr>
                <w:rFonts w:hint="eastAsia" w:ascii="Times New Roman" w:hAnsi="Times New Roman" w:eastAsia="仿宋_GB2312" w:cs="Times New Roman"/>
                <w:b w:val="0"/>
                <w:bCs w:val="0"/>
                <w:color w:val="auto"/>
                <w:kern w:val="2"/>
                <w:sz w:val="21"/>
                <w:szCs w:val="21"/>
                <w:lang w:val="en-US" w:eastAsia="zh-CN" w:bidi="ar-SA"/>
              </w:rPr>
              <w:t>庄坑组王仁生房后崩塌</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崩塌</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庄前村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S230省道平富乡财政所附近路段公路不稳定斜坡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不稳定斜坡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向前村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垇背组黄礼军、黄礼文房后滑坡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滑坡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上寨村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梧桐垇组周穆冲房后不稳定斜坡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不稳定斜坡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横坑村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梧桐垇组周昭余房后滑坡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滑坡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横坑村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上村组沈训忠房后滑坡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滑坡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信地村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垇下组吴立平、廖忠塅房后不稳定斜坡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不稳定斜坡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上寨村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 w:hRule="atLeast"/>
        </w:trPr>
        <w:tc>
          <w:tcPr>
            <w:tcW w:w="4811"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虎形组邹龙元房后不稳定斜坡</w:t>
            </w:r>
          </w:p>
        </w:tc>
        <w:tc>
          <w:tcPr>
            <w:tcW w:w="145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不稳定斜坡</w:t>
            </w:r>
          </w:p>
        </w:tc>
        <w:tc>
          <w:tcPr>
            <w:tcW w:w="1217"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横坑村</w:t>
            </w:r>
          </w:p>
        </w:tc>
        <w:tc>
          <w:tcPr>
            <w:tcW w:w="9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Times New Roman" w:hAnsi="Times New Roman" w:eastAsia="仿宋_GB2312" w:cs="Times New Roman"/>
                <w:b w:val="0"/>
                <w:bCs w:val="0"/>
                <w:color w:val="auto"/>
                <w:kern w:val="2"/>
                <w:sz w:val="21"/>
                <w:szCs w:val="21"/>
                <w:lang w:val="en-US" w:eastAsia="zh-CN" w:bidi="ar-SA"/>
              </w:rPr>
            </w:pPr>
            <w:r>
              <w:rPr>
                <w:rFonts w:hint="default" w:ascii="Times New Roman" w:hAnsi="Times New Roman" w:eastAsia="仿宋_GB2312" w:cs="Times New Roman"/>
                <w:b w:val="0"/>
                <w:bCs w:val="0"/>
                <w:color w:val="auto"/>
                <w:kern w:val="2"/>
                <w:sz w:val="21"/>
                <w:szCs w:val="21"/>
                <w:lang w:val="en-US" w:eastAsia="zh-CN" w:bidi="ar-SA"/>
              </w:rPr>
              <w:t>小型</w:t>
            </w:r>
          </w:p>
        </w:tc>
      </w:tr>
    </w:tbl>
    <w:p>
      <w:pPr>
        <w:pStyle w:val="17"/>
        <w:pageBreakBefore w:val="0"/>
        <w:kinsoku/>
        <w:wordWrap/>
        <w:overflowPunct/>
        <w:topLinePunct w:val="0"/>
        <w:bidi w:val="0"/>
        <w:adjustRightInd/>
        <w:snapToGrid/>
        <w:spacing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2、规划原则</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（1）以人为本，预防为主</w:t>
      </w:r>
    </w:p>
    <w:p>
      <w:pPr>
        <w:keepNext w:val="0"/>
        <w:keepLines w:val="0"/>
        <w:pageBreakBefore w:val="0"/>
        <w:widowControl/>
        <w:suppressLineNumbers w:val="0"/>
        <w:kinsoku/>
        <w:wordWrap/>
        <w:overflowPunct/>
        <w:topLinePunct w:val="0"/>
        <w:bidi w:val="0"/>
        <w:adjustRightInd/>
        <w:snapToGrid/>
        <w:spacing w:line="480" w:lineRule="exact"/>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将保障人民群众生命财产安全作为地质灾害防治工作的出发点 </w:t>
      </w:r>
    </w:p>
    <w:p>
      <w:pPr>
        <w:keepNext w:val="0"/>
        <w:keepLines w:val="0"/>
        <w:pageBreakBefore w:val="0"/>
        <w:widowControl/>
        <w:suppressLineNumbers w:val="0"/>
        <w:kinsoku/>
        <w:wordWrap/>
        <w:overflowPunct/>
        <w:topLinePunct w:val="0"/>
        <w:bidi w:val="0"/>
        <w:adjustRightInd/>
        <w:snapToGrid/>
        <w:spacing w:line="480" w:lineRule="exact"/>
        <w:ind w:left="0" w:leftChars="0" w:firstLine="0" w:firstLineChars="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和落脚点，加强调查监测、预警预报、应急处置、宣传培训、监督管 </w:t>
      </w:r>
    </w:p>
    <w:p>
      <w:pPr>
        <w:keepNext w:val="0"/>
        <w:keepLines w:val="0"/>
        <w:pageBreakBefore w:val="0"/>
        <w:widowControl/>
        <w:suppressLineNumbers w:val="0"/>
        <w:kinsoku/>
        <w:wordWrap/>
        <w:overflowPunct/>
        <w:topLinePunct w:val="0"/>
        <w:bidi w:val="0"/>
        <w:adjustRightInd/>
        <w:snapToGrid/>
        <w:spacing w:line="480" w:lineRule="exact"/>
        <w:ind w:left="0" w:leftChars="0" w:firstLine="0" w:firstLineChars="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理等工作，增强防灾意识和防灾能力，坚持“关口前移”的原则，把 </w:t>
      </w:r>
    </w:p>
    <w:p>
      <w:pPr>
        <w:keepNext w:val="0"/>
        <w:keepLines w:val="0"/>
        <w:pageBreakBefore w:val="0"/>
        <w:widowControl/>
        <w:suppressLineNumbers w:val="0"/>
        <w:kinsoku/>
        <w:wordWrap/>
        <w:overflowPunct/>
        <w:topLinePunct w:val="0"/>
        <w:bidi w:val="0"/>
        <w:adjustRightInd/>
        <w:snapToGrid/>
        <w:spacing w:line="480" w:lineRule="exact"/>
        <w:ind w:left="0" w:leftChars="0" w:firstLine="0" w:firstLineChars="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“事后补救”转变为“事前防范”，把地质灾害预防工作做在灾害发 </w:t>
      </w:r>
    </w:p>
    <w:p>
      <w:pPr>
        <w:keepNext w:val="0"/>
        <w:keepLines w:val="0"/>
        <w:pageBreakBefore w:val="0"/>
        <w:widowControl/>
        <w:suppressLineNumbers w:val="0"/>
        <w:kinsoku/>
        <w:wordWrap/>
        <w:overflowPunct/>
        <w:topLinePunct w:val="0"/>
        <w:bidi w:val="0"/>
        <w:adjustRightInd/>
        <w:snapToGrid/>
        <w:spacing w:line="480" w:lineRule="exact"/>
        <w:ind w:left="0" w:leftChars="0" w:firstLine="0" w:firstLineChars="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生前和工程规划与建设之前，提高预防效果。</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（2）统筹规划，重点治理 </w:t>
      </w:r>
    </w:p>
    <w:p>
      <w:pPr>
        <w:keepNext w:val="0"/>
        <w:keepLines w:val="0"/>
        <w:pageBreakBefore w:val="0"/>
        <w:widowControl/>
        <w:suppressLineNumbers w:val="0"/>
        <w:kinsoku/>
        <w:wordWrap/>
        <w:overflowPunct/>
        <w:topLinePunct w:val="0"/>
        <w:bidi w:val="0"/>
        <w:adjustRightInd/>
        <w:snapToGrid/>
        <w:spacing w:line="480" w:lineRule="exact"/>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根据不同地区地质灾害特点和社会发展水平，统一规划，分阶段 </w:t>
      </w:r>
    </w:p>
    <w:p>
      <w:pPr>
        <w:keepNext w:val="0"/>
        <w:keepLines w:val="0"/>
        <w:pageBreakBefore w:val="0"/>
        <w:widowControl/>
        <w:suppressLineNumbers w:val="0"/>
        <w:kinsoku/>
        <w:wordWrap/>
        <w:overflowPunct/>
        <w:topLinePunct w:val="0"/>
        <w:bidi w:val="0"/>
        <w:adjustRightInd/>
        <w:snapToGrid/>
        <w:spacing w:line="480" w:lineRule="exact"/>
        <w:ind w:left="0" w:leftChars="0" w:firstLine="0" w:firstLineChars="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实施。对于治理难度大的地质灾害实行合理避让，如工程建设避让和 </w:t>
      </w:r>
    </w:p>
    <w:p>
      <w:pPr>
        <w:keepNext w:val="0"/>
        <w:keepLines w:val="0"/>
        <w:pageBreakBefore w:val="0"/>
        <w:widowControl/>
        <w:suppressLineNumbers w:val="0"/>
        <w:kinsoku/>
        <w:wordWrap/>
        <w:overflowPunct/>
        <w:topLinePunct w:val="0"/>
        <w:bidi w:val="0"/>
        <w:adjustRightInd/>
        <w:snapToGrid/>
        <w:spacing w:line="480" w:lineRule="exact"/>
        <w:ind w:left="0" w:leftChars="0" w:firstLine="0" w:firstLineChars="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贫困山地丘陵区地质灾害危险区域移民搬迁等。对于难以避让而且危 </w:t>
      </w:r>
    </w:p>
    <w:p>
      <w:pPr>
        <w:keepNext w:val="0"/>
        <w:keepLines w:val="0"/>
        <w:pageBreakBefore w:val="0"/>
        <w:widowControl/>
        <w:suppressLineNumbers w:val="0"/>
        <w:kinsoku/>
        <w:wordWrap/>
        <w:overflowPunct/>
        <w:topLinePunct w:val="0"/>
        <w:bidi w:val="0"/>
        <w:adjustRightInd/>
        <w:snapToGrid/>
        <w:spacing w:line="480" w:lineRule="exact"/>
        <w:ind w:left="0" w:leftChars="0" w:firstLine="0" w:firstLineChars="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害较大的地质灾害，有计划地安排工程治理。</w:t>
      </w:r>
    </w:p>
    <w:p>
      <w:pPr>
        <w:pStyle w:val="17"/>
        <w:pageBreakBefore w:val="0"/>
        <w:kinsoku/>
        <w:wordWrap/>
        <w:overflowPunct/>
        <w:topLinePunct w:val="0"/>
        <w:bidi w:val="0"/>
        <w:adjustRightInd/>
        <w:snapToGrid/>
        <w:spacing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3</w:t>
      </w:r>
      <w:r>
        <w:rPr>
          <w:rFonts w:hint="eastAsia" w:ascii="Times New Roman" w:hAnsi="Times New Roman" w:eastAsia="仿宋_GB2312" w:cs="Times New Roman"/>
          <w:color w:val="auto"/>
          <w:kern w:val="2"/>
          <w:sz w:val="28"/>
          <w:szCs w:val="28"/>
          <w:lang w:val="en-US" w:eastAsia="zh-CN" w:bidi="ar-SA"/>
        </w:rPr>
        <w:t xml:space="preserve">、地质灾害危险区划 </w:t>
      </w:r>
    </w:p>
    <w:p>
      <w:pPr>
        <w:keepNext w:val="0"/>
        <w:keepLines w:val="0"/>
        <w:pageBreakBefore w:val="0"/>
        <w:widowControl/>
        <w:suppressLineNumbers w:val="0"/>
        <w:kinsoku/>
        <w:wordWrap/>
        <w:overflowPunct/>
        <w:topLinePunct w:val="0"/>
        <w:bidi w:val="0"/>
        <w:adjustRightInd/>
        <w:snapToGrid/>
        <w:spacing w:line="480" w:lineRule="exact"/>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根据地质灾害易发程度，体现以人为本，结合上犹县社会经济发展、工程建设布局和人类工程活动特点，进行地质灾害防治重要程度分区。 </w:t>
      </w:r>
    </w:p>
    <w:p>
      <w:pPr>
        <w:keepNext w:val="0"/>
        <w:keepLines w:val="0"/>
        <w:pageBreakBefore w:val="0"/>
        <w:widowControl/>
        <w:suppressLineNumbers w:val="0"/>
        <w:kinsoku/>
        <w:wordWrap/>
        <w:overflowPunct/>
        <w:topLinePunct w:val="0"/>
        <w:bidi w:val="0"/>
        <w:adjustRightInd/>
        <w:snapToGrid/>
        <w:spacing w:line="480" w:lineRule="exact"/>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乡镇划分地质灾害高发区1个；地质灾害不易发区1个。 </w:t>
      </w:r>
    </w:p>
    <w:p>
      <w:pPr>
        <w:keepNext w:val="0"/>
        <w:keepLines w:val="0"/>
        <w:pageBreakBefore w:val="0"/>
        <w:widowControl/>
        <w:suppressLineNumbers w:val="0"/>
        <w:kinsoku/>
        <w:wordWrap/>
        <w:overflowPunct/>
        <w:topLinePunct w:val="0"/>
        <w:bidi w:val="0"/>
        <w:adjustRightInd/>
        <w:snapToGrid/>
        <w:spacing w:line="480" w:lineRule="exact"/>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重点防治区：该区为地质灾害为中～高易发区，地质灾害危害程 </w:t>
      </w:r>
    </w:p>
    <w:p>
      <w:pPr>
        <w:keepNext w:val="0"/>
        <w:keepLines w:val="0"/>
        <w:pageBreakBefore w:val="0"/>
        <w:widowControl/>
        <w:suppressLineNumbers w:val="0"/>
        <w:kinsoku/>
        <w:wordWrap/>
        <w:overflowPunct/>
        <w:topLinePunct w:val="0"/>
        <w:bidi w:val="0"/>
        <w:adjustRightInd/>
        <w:snapToGrid/>
        <w:spacing w:line="480" w:lineRule="exact"/>
        <w:ind w:left="0" w:leftChars="0" w:firstLine="0" w:firstLineChars="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度大。本区地质灾害易发地段主要集中于人工切坡处、工程建设及沟 </w:t>
      </w:r>
    </w:p>
    <w:p>
      <w:pPr>
        <w:keepNext w:val="0"/>
        <w:keepLines w:val="0"/>
        <w:pageBreakBefore w:val="0"/>
        <w:widowControl/>
        <w:suppressLineNumbers w:val="0"/>
        <w:kinsoku/>
        <w:wordWrap/>
        <w:overflowPunct/>
        <w:topLinePunct w:val="0"/>
        <w:bidi w:val="0"/>
        <w:adjustRightInd/>
        <w:snapToGrid/>
        <w:spacing w:line="480" w:lineRule="exact"/>
        <w:ind w:left="0" w:leftChars="0" w:firstLine="0" w:firstLineChars="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谷发育地段。防范工作重点主要为控制不合理人工切坡行为及避免沟 </w:t>
      </w:r>
    </w:p>
    <w:p>
      <w:pPr>
        <w:keepNext w:val="0"/>
        <w:keepLines w:val="0"/>
        <w:pageBreakBefore w:val="0"/>
        <w:widowControl/>
        <w:suppressLineNumbers w:val="0"/>
        <w:kinsoku/>
        <w:wordWrap/>
        <w:overflowPunct/>
        <w:topLinePunct w:val="0"/>
        <w:bidi w:val="0"/>
        <w:adjustRightInd/>
        <w:snapToGrid/>
        <w:spacing w:line="480" w:lineRule="exact"/>
        <w:ind w:left="0" w:leftChars="0" w:firstLine="0" w:firstLineChars="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口建房，对需要进行人工切坡的地段，切坡后必须采取地表排水、支 </w:t>
      </w:r>
    </w:p>
    <w:p>
      <w:pPr>
        <w:keepNext w:val="0"/>
        <w:keepLines w:val="0"/>
        <w:pageBreakBefore w:val="0"/>
        <w:widowControl/>
        <w:suppressLineNumbers w:val="0"/>
        <w:kinsoku/>
        <w:wordWrap/>
        <w:overflowPunct/>
        <w:topLinePunct w:val="0"/>
        <w:bidi w:val="0"/>
        <w:adjustRightInd/>
        <w:snapToGrid/>
        <w:spacing w:line="480" w:lineRule="exact"/>
        <w:ind w:left="0" w:leftChars="0" w:firstLine="0" w:firstLineChars="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挡、坡面防护等有效的地质灾害防治措施；对采矿区和岩溶分布区地 </w:t>
      </w:r>
    </w:p>
    <w:p>
      <w:pPr>
        <w:keepNext w:val="0"/>
        <w:keepLines w:val="0"/>
        <w:pageBreakBefore w:val="0"/>
        <w:widowControl/>
        <w:suppressLineNumbers w:val="0"/>
        <w:kinsoku/>
        <w:wordWrap/>
        <w:overflowPunct/>
        <w:topLinePunct w:val="0"/>
        <w:bidi w:val="0"/>
        <w:adjustRightInd/>
        <w:snapToGrid/>
        <w:spacing w:line="480" w:lineRule="exact"/>
        <w:ind w:left="0" w:leftChars="0" w:firstLine="0" w:firstLineChars="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段，要规范采矿活动，控制地下水开采，加强地质环境保护。 </w:t>
      </w:r>
    </w:p>
    <w:p>
      <w:pPr>
        <w:keepNext w:val="0"/>
        <w:keepLines w:val="0"/>
        <w:pageBreakBefore w:val="0"/>
        <w:widowControl/>
        <w:suppressLineNumbers w:val="0"/>
        <w:kinsoku/>
        <w:wordWrap/>
        <w:overflowPunct/>
        <w:topLinePunct w:val="0"/>
        <w:bidi w:val="0"/>
        <w:adjustRightInd/>
        <w:snapToGrid/>
        <w:spacing w:line="480" w:lineRule="exact"/>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不易发区：地貌类型为低丘岗地、河谷平原，主要位于集镇周边区域。居民住房多位于开阔地带，人工切坡现象少见，因而由人工切坡引发的地质灾害较少，该区为地质灾害不易发区，但在河流冲刷岸边易发生河岸崩塌，河岸崩塌灾害严重，危害程度较大。本区地质灾害防治工作重点主要为平富河及其支流河岸段。</w:t>
      </w:r>
    </w:p>
    <w:p>
      <w:pPr>
        <w:pStyle w:val="17"/>
        <w:pageBreakBefore w:val="0"/>
        <w:kinsoku/>
        <w:wordWrap/>
        <w:overflowPunct/>
        <w:topLinePunct w:val="0"/>
        <w:bidi w:val="0"/>
        <w:adjustRightInd/>
        <w:snapToGrid/>
        <w:spacing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4、地质灾害防治措施</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（1）崩塌防治措施</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①崩塌预防</w:t>
      </w:r>
    </w:p>
    <w:p>
      <w:pPr>
        <w:keepNext w:val="0"/>
        <w:keepLines w:val="0"/>
        <w:pageBreakBefore w:val="0"/>
        <w:widowControl/>
        <w:suppressLineNumbers w:val="0"/>
        <w:kinsoku/>
        <w:wordWrap/>
        <w:overflowPunct/>
        <w:topLinePunct w:val="0"/>
        <w:bidi w:val="0"/>
        <w:adjustRightInd/>
        <w:snapToGrid/>
        <w:spacing w:line="480" w:lineRule="exact"/>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农村建房要选择安全场地修建，避开崩塌危险区，对屋后切坡要多留意观察；建设工程项目要按照规定开展地质灾害危险性评估工作。</w:t>
      </w:r>
    </w:p>
    <w:p>
      <w:pPr>
        <w:keepNext w:val="0"/>
        <w:keepLines w:val="0"/>
        <w:pageBreakBefore w:val="0"/>
        <w:widowControl/>
        <w:suppressLineNumbers w:val="0"/>
        <w:kinsoku/>
        <w:wordWrap/>
        <w:overflowPunct/>
        <w:topLinePunct w:val="0"/>
        <w:bidi w:val="0"/>
        <w:adjustRightInd/>
        <w:snapToGrid/>
        <w:spacing w:line="480" w:lineRule="exact"/>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不要随意开挖坡脚，不随意在斜坡上堆弃土石。</w:t>
      </w:r>
    </w:p>
    <w:p>
      <w:pPr>
        <w:keepNext w:val="0"/>
        <w:keepLines w:val="0"/>
        <w:pageBreakBefore w:val="0"/>
        <w:widowControl/>
        <w:suppressLineNumbers w:val="0"/>
        <w:kinsoku/>
        <w:wordWrap/>
        <w:overflowPunct/>
        <w:topLinePunct w:val="0"/>
        <w:bidi w:val="0"/>
        <w:adjustRightInd/>
        <w:snapToGrid/>
        <w:spacing w:line="480" w:lineRule="exact"/>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加强对危岩体或高陡斜坡的监测、预警、预报工作</w:t>
      </w:r>
    </w:p>
    <w:p>
      <w:pPr>
        <w:keepNext w:val="0"/>
        <w:keepLines w:val="0"/>
        <w:pageBreakBefore w:val="0"/>
        <w:widowControl/>
        <w:suppressLineNumbers w:val="0"/>
        <w:kinsoku/>
        <w:wordWrap/>
        <w:overflowPunct/>
        <w:topLinePunct w:val="0"/>
        <w:bidi w:val="0"/>
        <w:adjustRightInd/>
        <w:snapToGrid/>
        <w:spacing w:line="480" w:lineRule="exact"/>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建立县、乡、村崩塌隐患点群测群防体系，落实崩塌隐患点责任人和监测员，监测员要按照监测规定要求对崩塌体进行变形观测，发现崩塌体有崩塌前兆时，马上通知受威胁人员紧急撤离到安全区域，并及时向当地政府和有关部门上报有关信息。</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②崩塌应对措施</w:t>
      </w:r>
    </w:p>
    <w:p>
      <w:pPr>
        <w:keepNext w:val="0"/>
        <w:keepLines w:val="0"/>
        <w:pageBreakBefore w:val="0"/>
        <w:widowControl/>
        <w:suppressLineNumbers w:val="0"/>
        <w:kinsoku/>
        <w:wordWrap/>
        <w:overflowPunct/>
        <w:topLinePunct w:val="0"/>
        <w:bidi w:val="0"/>
        <w:adjustRightInd/>
        <w:snapToGrid/>
        <w:spacing w:line="480" w:lineRule="exact"/>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搬迁避让。对具有一定危害程度的崩塌地质灾害隐患点，若其治理难度大，且治理费用远大于搬迁费用时，按照“应搬必搬、能搬则搬”原则确定搬迁避让项目。</w:t>
      </w:r>
    </w:p>
    <w:p>
      <w:pPr>
        <w:keepNext w:val="0"/>
        <w:keepLines w:val="0"/>
        <w:pageBreakBefore w:val="0"/>
        <w:widowControl/>
        <w:suppressLineNumbers w:val="0"/>
        <w:kinsoku/>
        <w:wordWrap/>
        <w:overflowPunct/>
        <w:topLinePunct w:val="0"/>
        <w:bidi w:val="0"/>
        <w:adjustRightInd/>
        <w:snapToGrid/>
        <w:spacing w:line="480" w:lineRule="exact"/>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工程治理。对危害程度较小、治理成本较低、难以实施搬迁避让的崩塌地质灾害隐患点，开展工程治理。土质崩塌治理方式：一是削坡减载，修建截排水沟；二是植树种草绿化，防止坡面受冲刷；三是设置挡土墙、抗滑桩或格构锚杆、锚索等防治措施进行支护；岩质崩塌治理方式：采用清除危岩体、设置主动或被动防护网进行拦挡或设置落石平台、缓冲沟停滞崩落物。</w:t>
      </w:r>
    </w:p>
    <w:p>
      <w:pPr>
        <w:pStyle w:val="17"/>
        <w:keepNext w:val="0"/>
        <w:keepLines w:val="0"/>
        <w:pageBreakBefore w:val="0"/>
        <w:kinsoku/>
        <w:wordWrap/>
        <w:overflowPunct/>
        <w:topLinePunct w:val="0"/>
        <w:bidi w:val="0"/>
        <w:adjustRightInd/>
        <w:snapToGrid/>
        <w:spacing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（2）滑坡防治措施</w:t>
      </w:r>
    </w:p>
    <w:p>
      <w:pPr>
        <w:pStyle w:val="17"/>
        <w:keepNext w:val="0"/>
        <w:keepLines w:val="0"/>
        <w:pageBreakBefore w:val="0"/>
        <w:kinsoku/>
        <w:wordWrap/>
        <w:overflowPunct/>
        <w:topLinePunct w:val="0"/>
        <w:bidi w:val="0"/>
        <w:adjustRightInd/>
        <w:snapToGrid/>
        <w:spacing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①滑坡预防</w:t>
      </w:r>
    </w:p>
    <w:p>
      <w:pPr>
        <w:pStyle w:val="17"/>
        <w:keepNext w:val="0"/>
        <w:keepLines w:val="0"/>
        <w:pageBreakBefore w:val="0"/>
        <w:kinsoku/>
        <w:wordWrap/>
        <w:overflowPunct/>
        <w:topLinePunct w:val="0"/>
        <w:bidi w:val="0"/>
        <w:adjustRightInd/>
        <w:snapToGrid/>
        <w:spacing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边坡位移监测：在有滑坡危险的地区设置各种量测仪器，包括埋设于钻孔或巷道内的钻孔引伸仪、倾斜仪以及利用声、光等的非电量测仪等。</w:t>
      </w:r>
    </w:p>
    <w:p>
      <w:pPr>
        <w:pStyle w:val="17"/>
        <w:keepNext w:val="0"/>
        <w:keepLines w:val="0"/>
        <w:pageBreakBefore w:val="0"/>
        <w:kinsoku/>
        <w:wordWrap/>
        <w:overflowPunct/>
        <w:topLinePunct w:val="0"/>
        <w:bidi w:val="0"/>
        <w:adjustRightInd/>
        <w:snapToGrid/>
        <w:spacing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疏水：滑坡预防的重要措施应是边坡疏水。</w:t>
      </w:r>
    </w:p>
    <w:p>
      <w:pPr>
        <w:pStyle w:val="17"/>
        <w:keepNext w:val="0"/>
        <w:keepLines w:val="0"/>
        <w:pageBreakBefore w:val="0"/>
        <w:kinsoku/>
        <w:wordWrap/>
        <w:overflowPunct/>
        <w:topLinePunct w:val="0"/>
        <w:bidi w:val="0"/>
        <w:adjustRightInd/>
        <w:snapToGrid/>
        <w:spacing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②防治方法</w:t>
      </w:r>
    </w:p>
    <w:p>
      <w:pPr>
        <w:pStyle w:val="17"/>
        <w:keepNext w:val="0"/>
        <w:keepLines w:val="0"/>
        <w:pageBreakBefore w:val="0"/>
        <w:kinsoku/>
        <w:wordWrap/>
        <w:overflowPunct/>
        <w:topLinePunct w:val="0"/>
        <w:bidi w:val="0"/>
        <w:adjustRightInd/>
        <w:snapToGrid/>
        <w:spacing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排水拦截和旁引滑体以外的地表水，汇集和疏导滑体中的地下水；</w:t>
      </w:r>
    </w:p>
    <w:p>
      <w:pPr>
        <w:pStyle w:val="17"/>
        <w:keepNext w:val="0"/>
        <w:keepLines w:val="0"/>
        <w:pageBreakBefore w:val="0"/>
        <w:kinsoku/>
        <w:wordWrap/>
        <w:overflowPunct/>
        <w:topLinePunct w:val="0"/>
        <w:bidi w:val="0"/>
        <w:adjustRightInd/>
        <w:snapToGrid/>
        <w:spacing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改变斜坡力学平衡条件，如降低斜面坡度、坡顶减重回填于坡脚，必要时在坡脚或其他适当部位设置挡土墙、抗滑桩或锚固等工程防治措施；</w:t>
      </w:r>
    </w:p>
    <w:p>
      <w:pPr>
        <w:pStyle w:val="17"/>
        <w:keepNext w:val="0"/>
        <w:keepLines w:val="0"/>
        <w:pageBreakBefore w:val="0"/>
        <w:kinsoku/>
        <w:wordWrap/>
        <w:overflowPunct/>
        <w:topLinePunct w:val="0"/>
        <w:bidi w:val="0"/>
        <w:adjustRightInd/>
        <w:snapToGrid/>
        <w:spacing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改变斜坡岩土性质，如灌浆、电渗排水、增加斜坡植被等</w:t>
      </w:r>
    </w:p>
    <w:p>
      <w:pPr>
        <w:pStyle w:val="17"/>
        <w:keepNext w:val="0"/>
        <w:keepLines w:val="0"/>
        <w:pageBreakBefore w:val="0"/>
        <w:kinsoku/>
        <w:wordWrap/>
        <w:overflowPunct/>
        <w:topLinePunct w:val="0"/>
        <w:bidi w:val="0"/>
        <w:adjustRightInd/>
        <w:snapToGrid/>
        <w:spacing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③滑坡治理</w:t>
      </w:r>
    </w:p>
    <w:p>
      <w:pPr>
        <w:pStyle w:val="17"/>
        <w:keepNext w:val="0"/>
        <w:keepLines w:val="0"/>
        <w:pageBreakBefore w:val="0"/>
        <w:kinsoku/>
        <w:wordWrap/>
        <w:overflowPunct/>
        <w:topLinePunct w:val="0"/>
        <w:bidi w:val="0"/>
        <w:adjustRightInd/>
        <w:snapToGrid/>
        <w:spacing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主要措施是控制爆破和边坡加固。落实边坡加固的治理措施必须不失时机。一旦边坡位移显著，滑坡形成，则加固工程就难于见效。</w:t>
      </w:r>
    </w:p>
    <w:p>
      <w:pPr>
        <w:pStyle w:val="17"/>
        <w:keepNext w:val="0"/>
        <w:keepLines w:val="0"/>
        <w:pageBreakBefore w:val="0"/>
        <w:kinsoku/>
        <w:wordWrap/>
        <w:overflowPunct/>
        <w:topLinePunct w:val="0"/>
        <w:bidi w:val="0"/>
        <w:adjustRightInd/>
        <w:snapToGrid/>
        <w:spacing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减重削坡压脚。将台阶削缓并于坡脚垒筑石块，此种稳坡措施多用于个别台阶边坡；</w:t>
      </w:r>
    </w:p>
    <w:p>
      <w:pPr>
        <w:pStyle w:val="17"/>
        <w:keepNext w:val="0"/>
        <w:keepLines w:val="0"/>
        <w:pageBreakBefore w:val="0"/>
        <w:kinsoku/>
        <w:wordWrap/>
        <w:overflowPunct/>
        <w:topLinePunct w:val="0"/>
        <w:bidi w:val="0"/>
        <w:adjustRightInd/>
        <w:snapToGrid/>
        <w:spacing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控制爆破。台阶采掘接近采场设计境界时，为维护边坡稳定性，应采用减震措施，又称控制爆破方法。如光面爆破、预裂爆破、缓冲爆破等。</w:t>
      </w:r>
    </w:p>
    <w:p>
      <w:pPr>
        <w:pStyle w:val="17"/>
        <w:keepNext w:val="0"/>
        <w:keepLines w:val="0"/>
        <w:pageBreakBefore w:val="0"/>
        <w:kinsoku/>
        <w:wordWrap/>
        <w:overflowPunct/>
        <w:topLinePunct w:val="0"/>
        <w:bidi w:val="0"/>
        <w:adjustRightInd/>
        <w:snapToGrid/>
        <w:spacing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钳杆(索)加固。用锚杆或锚索并预施拉应力来锚固滑体，有时还结合采用挂网喷浆等护坡措施。这是露天矿采场滑块治理较普遍的措施。</w:t>
      </w:r>
    </w:p>
    <w:p>
      <w:pPr>
        <w:pStyle w:val="17"/>
        <w:keepNext w:val="0"/>
        <w:keepLines w:val="0"/>
        <w:pageBreakBefore w:val="0"/>
        <w:kinsoku/>
        <w:wordWrap/>
        <w:overflowPunct/>
        <w:topLinePunct w:val="0"/>
        <w:bidi w:val="0"/>
        <w:adjustRightInd/>
        <w:snapToGrid/>
        <w:spacing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抗滑桩加固。用钢筋或废旧钢轨作骨架，插入钻孔，浇注混凝土而成，也是应用较普遍的。</w:t>
      </w:r>
    </w:p>
    <w:p>
      <w:pPr>
        <w:pStyle w:val="17"/>
        <w:keepNext w:val="0"/>
        <w:keepLines w:val="0"/>
        <w:pageBreakBefore w:val="0"/>
        <w:kinsoku/>
        <w:wordWrap/>
        <w:overflowPunct/>
        <w:topLinePunct w:val="0"/>
        <w:bidi w:val="0"/>
        <w:adjustRightInd/>
        <w:snapToGrid/>
        <w:spacing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挡墙法。在露天矿采场应用有限。因为挖墙基时容易诱发滑坡。对弱面或岩层进行注浆等加固措施，但应用较少。</w:t>
      </w:r>
    </w:p>
    <w:p>
      <w:pPr>
        <w:pStyle w:val="17"/>
        <w:pageBreakBefore w:val="0"/>
        <w:kinsoku/>
        <w:wordWrap/>
        <w:overflowPunct/>
        <w:topLinePunct w:val="0"/>
        <w:bidi w:val="0"/>
        <w:adjustRightInd/>
        <w:snapToGrid/>
        <w:spacing w:line="480" w:lineRule="exact"/>
        <w:ind w:left="0" w:leftChars="0" w:firstLine="562" w:firstLineChars="200"/>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五、人防工程规划</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2" w:firstLineChars="200"/>
        <w:textAlignment w:val="auto"/>
        <w:rPr>
          <w:rFonts w:hint="eastAsia" w:ascii="Times New Roman" w:hAnsi="Times New Roman" w:eastAsia="仿宋_GB2312" w:cs="Times New Roman"/>
          <w:color w:val="auto"/>
          <w:kern w:val="2"/>
          <w:sz w:val="28"/>
          <w:szCs w:val="28"/>
          <w:highlight w:val="none"/>
          <w:lang w:val="en-US" w:eastAsia="zh-CN" w:bidi="ar-SA"/>
        </w:rPr>
      </w:pPr>
      <w:bookmarkStart w:id="71" w:name="_Toc25427"/>
      <w:r>
        <w:rPr>
          <w:rFonts w:hint="eastAsia" w:ascii="Times New Roman" w:hAnsi="Times New Roman" w:eastAsia="仿宋_GB2312" w:cs="Times New Roman"/>
          <w:b/>
          <w:bCs/>
          <w:color w:val="auto"/>
          <w:kern w:val="2"/>
          <w:sz w:val="28"/>
          <w:szCs w:val="28"/>
          <w:highlight w:val="none"/>
          <w:lang w:val="en-US" w:eastAsia="zh-CN" w:bidi="ar-SA"/>
        </w:rPr>
        <w:t>人防措施。</w:t>
      </w:r>
      <w:r>
        <w:rPr>
          <w:rFonts w:hint="eastAsia" w:ascii="Times New Roman" w:hAnsi="Times New Roman" w:eastAsia="仿宋_GB2312" w:cs="Times New Roman"/>
          <w:color w:val="auto"/>
          <w:kern w:val="2"/>
          <w:sz w:val="28"/>
          <w:szCs w:val="28"/>
          <w:highlight w:val="none"/>
          <w:lang w:val="en-US" w:eastAsia="zh-CN" w:bidi="ar-SA"/>
        </w:rPr>
        <w:t>遵循“平战结合”的原则，根据应对战争、平时灾害和重大突发事件接收安置疏散人口、物资、工业设施的需要，建设人防疏散设施，包括人防疏散场所（疏散地域、疏散基地、疏散集结点）。</w:t>
      </w:r>
    </w:p>
    <w:p>
      <w:pPr>
        <w:pStyle w:val="34"/>
        <w:keepNext/>
        <w:keepLines/>
        <w:pageBreakBefore/>
        <w:widowControl w:val="0"/>
        <w:kinsoku/>
        <w:wordWrap/>
        <w:overflowPunct/>
        <w:topLinePunct w:val="0"/>
        <w:autoSpaceDE/>
        <w:autoSpaceDN/>
        <w:bidi w:val="0"/>
        <w:adjustRightInd/>
        <w:snapToGrid/>
        <w:spacing w:before="156" w:beforeLines="50" w:after="156" w:afterLines="50"/>
        <w:ind w:left="0" w:firstLine="0" w:firstLineChars="0"/>
        <w:jc w:val="center"/>
        <w:textAlignment w:val="center"/>
        <w:rPr>
          <w:rFonts w:hint="eastAsia" w:ascii="Times New Roman" w:hAnsi="Times New Roman" w:eastAsia="Arial Unicode MS"/>
          <w:color w:val="auto"/>
          <w:lang w:val="en-US" w:eastAsia="zh-CN"/>
        </w:rPr>
      </w:pPr>
      <w:r>
        <w:rPr>
          <w:rFonts w:hint="eastAsia" w:ascii="Times New Roman" w:hAnsi="Times New Roman" w:eastAsia="Arial Unicode MS"/>
          <w:color w:val="auto"/>
          <w:lang w:val="en-US" w:eastAsia="zh-CN"/>
        </w:rPr>
        <w:t>第十二章 集镇规划</w:t>
      </w:r>
      <w:bookmarkEnd w:id="71"/>
    </w:p>
    <w:p>
      <w:pPr>
        <w:pStyle w:val="33"/>
        <w:spacing w:before="156" w:beforeLines="50" w:after="156" w:afterLines="50" w:line="520" w:lineRule="exact"/>
        <w:rPr>
          <w:rFonts w:hint="eastAsia" w:ascii="Times New Roman" w:hAnsi="Times New Roman"/>
          <w:color w:val="auto"/>
          <w:kern w:val="2"/>
          <w:szCs w:val="32"/>
          <w:lang w:val="en-US" w:eastAsia="zh-CN"/>
        </w:rPr>
      </w:pPr>
      <w:bookmarkStart w:id="72" w:name="_Toc31744"/>
      <w:r>
        <w:rPr>
          <w:rFonts w:hint="eastAsia" w:ascii="Times New Roman" w:hAnsi="Times New Roman"/>
          <w:color w:val="auto"/>
          <w:kern w:val="2"/>
          <w:szCs w:val="32"/>
          <w:lang w:val="en-US" w:eastAsia="zh-CN"/>
        </w:rPr>
        <w:t>第一节 集镇范围</w:t>
      </w:r>
      <w:bookmarkEnd w:id="72"/>
    </w:p>
    <w:p>
      <w:pPr>
        <w:pStyle w:val="18"/>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平富乡集镇范围主要包括平富村南部和庄前村西部地区，集镇范围总面积54.21公顷，范围内包含城镇开发边界面积23.56公顷。</w:t>
      </w:r>
    </w:p>
    <w:p>
      <w:pPr>
        <w:pStyle w:val="33"/>
        <w:spacing w:before="156" w:beforeLines="50" w:after="156" w:afterLines="50" w:line="520" w:lineRule="exact"/>
        <w:rPr>
          <w:rFonts w:hint="eastAsia" w:ascii="Times New Roman" w:hAnsi="Times New Roman"/>
          <w:color w:val="auto"/>
          <w:kern w:val="2"/>
          <w:szCs w:val="32"/>
          <w:lang w:val="en-US" w:eastAsia="zh-CN"/>
        </w:rPr>
      </w:pPr>
      <w:bookmarkStart w:id="73" w:name="_Toc16368"/>
      <w:r>
        <w:rPr>
          <w:rFonts w:hint="eastAsia" w:ascii="Times New Roman" w:hAnsi="Times New Roman"/>
          <w:color w:val="auto"/>
          <w:kern w:val="2"/>
          <w:szCs w:val="32"/>
          <w:lang w:val="en-US" w:eastAsia="zh-CN"/>
        </w:rPr>
        <w:t>第二节  发展规模、方向与空间结构</w:t>
      </w:r>
      <w:bookmarkEnd w:id="73"/>
    </w:p>
    <w:p>
      <w:pPr>
        <w:pStyle w:val="17"/>
        <w:pageBreakBefore w:val="0"/>
        <w:kinsoku/>
        <w:wordWrap/>
        <w:overflowPunct/>
        <w:topLinePunct w:val="0"/>
        <w:bidi w:val="0"/>
        <w:adjustRightInd/>
        <w:snapToGrid/>
        <w:spacing w:line="480" w:lineRule="exact"/>
        <w:ind w:left="0" w:leftChars="0" w:firstLine="562" w:firstLineChars="200"/>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一、发展规模</w:t>
      </w:r>
    </w:p>
    <w:p>
      <w:pPr>
        <w:pStyle w:val="18"/>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规划2035年集镇常住人口2000人。</w:t>
      </w:r>
    </w:p>
    <w:p>
      <w:pPr>
        <w:pStyle w:val="17"/>
        <w:pageBreakBefore w:val="0"/>
        <w:kinsoku/>
        <w:wordWrap/>
        <w:overflowPunct/>
        <w:topLinePunct w:val="0"/>
        <w:bidi w:val="0"/>
        <w:adjustRightInd/>
        <w:snapToGrid/>
        <w:spacing w:line="480" w:lineRule="exact"/>
        <w:ind w:left="0" w:leftChars="0" w:firstLine="562" w:firstLineChars="200"/>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二、集镇现状</w:t>
      </w:r>
    </w:p>
    <w:p>
      <w:pPr>
        <w:pStyle w:val="18"/>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1、集镇现状用地</w:t>
      </w:r>
    </w:p>
    <w:p>
      <w:pPr>
        <w:pStyle w:val="18"/>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平富乡集镇</w:t>
      </w:r>
      <w:r>
        <w:rPr>
          <w:rFonts w:hint="default" w:ascii="Times New Roman" w:hAnsi="Times New Roman" w:eastAsia="仿宋_GB2312" w:cs="Times New Roman"/>
          <w:color w:val="auto"/>
          <w:kern w:val="2"/>
          <w:sz w:val="28"/>
          <w:szCs w:val="28"/>
          <w:lang w:val="en-US" w:eastAsia="zh-CN" w:bidi="ar-SA"/>
        </w:rPr>
        <w:t>现状建设用地包含</w:t>
      </w:r>
      <w:r>
        <w:rPr>
          <w:rFonts w:hint="eastAsia" w:ascii="Times New Roman" w:hAnsi="Times New Roman" w:eastAsia="仿宋_GB2312" w:cs="Times New Roman"/>
          <w:color w:val="auto"/>
          <w:kern w:val="2"/>
          <w:sz w:val="28"/>
          <w:szCs w:val="28"/>
          <w:lang w:val="en-US" w:eastAsia="zh-CN" w:bidi="ar-SA"/>
        </w:rPr>
        <w:t>平富</w:t>
      </w:r>
      <w:r>
        <w:rPr>
          <w:rFonts w:hint="default" w:ascii="Times New Roman" w:hAnsi="Times New Roman" w:eastAsia="仿宋_GB2312" w:cs="Times New Roman"/>
          <w:color w:val="auto"/>
          <w:kern w:val="2"/>
          <w:sz w:val="28"/>
          <w:szCs w:val="28"/>
          <w:lang w:val="en-US" w:eastAsia="zh-CN" w:bidi="ar-SA"/>
        </w:rPr>
        <w:t>村的</w:t>
      </w:r>
      <w:r>
        <w:rPr>
          <w:rFonts w:hint="eastAsia" w:ascii="Times New Roman" w:hAnsi="Times New Roman" w:eastAsia="仿宋_GB2312" w:cs="Times New Roman"/>
          <w:color w:val="auto"/>
          <w:kern w:val="2"/>
          <w:sz w:val="28"/>
          <w:szCs w:val="28"/>
          <w:lang w:val="en-US" w:eastAsia="zh-CN" w:bidi="ar-SA"/>
        </w:rPr>
        <w:t>树下一组、二组，庄前村的新桥组、硬坳组</w:t>
      </w:r>
      <w:r>
        <w:rPr>
          <w:rFonts w:hint="default" w:ascii="Times New Roman" w:hAnsi="Times New Roman" w:eastAsia="仿宋_GB2312" w:cs="Times New Roman"/>
          <w:color w:val="auto"/>
          <w:kern w:val="2"/>
          <w:sz w:val="28"/>
          <w:szCs w:val="28"/>
          <w:lang w:val="en-US" w:eastAsia="zh-CN" w:bidi="ar-SA"/>
        </w:rPr>
        <w:t>等自然村。现状用地主要沿道路两侧</w:t>
      </w:r>
      <w:r>
        <w:rPr>
          <w:rFonts w:hint="eastAsia" w:ascii="Times New Roman" w:hAnsi="Times New Roman" w:eastAsia="仿宋_GB2312" w:cs="Times New Roman"/>
          <w:color w:val="auto"/>
          <w:kern w:val="2"/>
          <w:sz w:val="28"/>
          <w:szCs w:val="28"/>
          <w:lang w:val="en-US" w:eastAsia="zh-CN" w:bidi="ar-SA"/>
        </w:rPr>
        <w:t>分</w:t>
      </w:r>
      <w:r>
        <w:rPr>
          <w:rFonts w:hint="default" w:ascii="Times New Roman" w:hAnsi="Times New Roman" w:eastAsia="仿宋_GB2312" w:cs="Times New Roman"/>
          <w:color w:val="auto"/>
          <w:kern w:val="2"/>
          <w:sz w:val="28"/>
          <w:szCs w:val="28"/>
          <w:lang w:val="en-US" w:eastAsia="zh-CN" w:bidi="ar-SA"/>
        </w:rPr>
        <w:t>布。</w:t>
      </w:r>
    </w:p>
    <w:p>
      <w:pPr>
        <w:pStyle w:val="17"/>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bCs/>
          <w:color w:val="auto"/>
          <w:kern w:val="2"/>
          <w:sz w:val="21"/>
          <w:szCs w:val="21"/>
          <w:lang w:val="en-US" w:eastAsia="zh-CN" w:bidi="ar-SA"/>
        </w:rPr>
      </w:pPr>
      <w:r>
        <w:rPr>
          <w:rFonts w:hint="eastAsia" w:ascii="Times New Roman" w:hAnsi="Times New Roman" w:eastAsia="仿宋_GB2312" w:cs="Times New Roman"/>
          <w:b/>
          <w:bCs/>
          <w:color w:val="auto"/>
          <w:kern w:val="2"/>
          <w:sz w:val="21"/>
          <w:szCs w:val="21"/>
          <w:lang w:val="en-US" w:eastAsia="zh-CN" w:bidi="ar-SA"/>
        </w:rPr>
        <w:t>表12-1 上犹县平富乡集镇用地现状表</w:t>
      </w:r>
    </w:p>
    <w:tbl>
      <w:tblPr>
        <w:tblStyle w:val="19"/>
        <w:tblW w:w="739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007"/>
        <w:gridCol w:w="1817"/>
        <w:gridCol w:w="2233"/>
        <w:gridCol w:w="1116"/>
        <w:gridCol w:w="12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3" w:hRule="atLeast"/>
        </w:trPr>
        <w:tc>
          <w:tcPr>
            <w:tcW w:w="5057" w:type="dxa"/>
            <w:gridSpan w:val="3"/>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bCs/>
                <w:color w:val="auto"/>
                <w:kern w:val="2"/>
                <w:sz w:val="21"/>
                <w:szCs w:val="21"/>
                <w:lang w:val="en-US" w:eastAsia="zh-CN" w:bidi="ar-SA"/>
              </w:rPr>
            </w:pPr>
            <w:r>
              <w:rPr>
                <w:rFonts w:hint="eastAsia" w:ascii="仿宋_GB2312" w:hAnsi="仿宋_GB2312" w:eastAsia="仿宋_GB2312" w:cs="仿宋_GB2312"/>
                <w:b/>
                <w:bCs/>
                <w:color w:val="auto"/>
                <w:kern w:val="2"/>
                <w:sz w:val="21"/>
                <w:szCs w:val="21"/>
                <w:lang w:val="en-US" w:eastAsia="zh-CN" w:bidi="ar-SA"/>
              </w:rPr>
              <w:t>用地分类名称</w:t>
            </w:r>
          </w:p>
        </w:tc>
        <w:tc>
          <w:tcPr>
            <w:tcW w:w="1116" w:type="dxa"/>
            <w:vMerge w:val="restart"/>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bCs/>
                <w:color w:val="auto"/>
                <w:kern w:val="2"/>
                <w:sz w:val="21"/>
                <w:szCs w:val="21"/>
                <w:lang w:val="en-US" w:eastAsia="zh-CN" w:bidi="ar-SA"/>
              </w:rPr>
            </w:pPr>
            <w:r>
              <w:rPr>
                <w:rFonts w:hint="eastAsia" w:ascii="仿宋_GB2312" w:hAnsi="仿宋_GB2312" w:eastAsia="仿宋_GB2312" w:cs="仿宋_GB2312"/>
                <w:b/>
                <w:bCs/>
                <w:color w:val="auto"/>
                <w:kern w:val="2"/>
                <w:sz w:val="21"/>
                <w:szCs w:val="21"/>
                <w:lang w:val="en-US" w:eastAsia="zh-CN" w:bidi="ar-SA"/>
              </w:rPr>
              <w:t>面积（公顷）</w:t>
            </w:r>
          </w:p>
        </w:tc>
        <w:tc>
          <w:tcPr>
            <w:tcW w:w="1225" w:type="dxa"/>
            <w:vMerge w:val="restart"/>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bCs/>
                <w:color w:val="auto"/>
                <w:kern w:val="2"/>
                <w:sz w:val="21"/>
                <w:szCs w:val="21"/>
                <w:lang w:val="en-US" w:eastAsia="zh-CN" w:bidi="ar-SA"/>
              </w:rPr>
            </w:pPr>
            <w:r>
              <w:rPr>
                <w:rFonts w:hint="eastAsia" w:ascii="仿宋_GB2312" w:hAnsi="仿宋_GB2312" w:eastAsia="仿宋_GB2312" w:cs="仿宋_GB2312"/>
                <w:b/>
                <w:bCs/>
                <w:color w:val="auto"/>
                <w:kern w:val="2"/>
                <w:sz w:val="21"/>
                <w:szCs w:val="21"/>
                <w:lang w:val="en-US" w:eastAsia="zh-CN" w:bidi="ar-SA"/>
              </w:rPr>
              <w:t>占国土面积比例（%）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3" w:hRule="atLeast"/>
        </w:trPr>
        <w:tc>
          <w:tcPr>
            <w:tcW w:w="1007"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bCs/>
                <w:color w:val="auto"/>
                <w:kern w:val="2"/>
                <w:sz w:val="21"/>
                <w:szCs w:val="21"/>
                <w:lang w:val="en-US" w:eastAsia="zh-CN" w:bidi="ar-SA"/>
              </w:rPr>
            </w:pPr>
            <w:r>
              <w:rPr>
                <w:rFonts w:hint="eastAsia" w:ascii="仿宋_GB2312" w:hAnsi="仿宋_GB2312" w:eastAsia="仿宋_GB2312" w:cs="仿宋_GB2312"/>
                <w:b/>
                <w:bCs/>
                <w:color w:val="auto"/>
                <w:kern w:val="2"/>
                <w:sz w:val="21"/>
                <w:szCs w:val="21"/>
                <w:lang w:val="en-US" w:eastAsia="zh-CN" w:bidi="ar-SA"/>
              </w:rPr>
              <w:t>地类编码</w:t>
            </w:r>
          </w:p>
        </w:tc>
        <w:tc>
          <w:tcPr>
            <w:tcW w:w="1817"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bCs/>
                <w:color w:val="auto"/>
                <w:kern w:val="2"/>
                <w:sz w:val="21"/>
                <w:szCs w:val="21"/>
                <w:lang w:val="en-US" w:eastAsia="zh-CN" w:bidi="ar-SA"/>
              </w:rPr>
            </w:pPr>
            <w:r>
              <w:rPr>
                <w:rFonts w:hint="eastAsia" w:ascii="仿宋_GB2312" w:hAnsi="仿宋_GB2312" w:eastAsia="仿宋_GB2312" w:cs="仿宋_GB2312"/>
                <w:b/>
                <w:bCs/>
                <w:color w:val="auto"/>
                <w:kern w:val="2"/>
                <w:sz w:val="21"/>
                <w:szCs w:val="21"/>
                <w:lang w:val="en-US" w:eastAsia="zh-CN" w:bidi="ar-SA"/>
              </w:rPr>
              <w:t>一级类</w:t>
            </w:r>
          </w:p>
        </w:tc>
        <w:tc>
          <w:tcPr>
            <w:tcW w:w="2233"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bCs/>
                <w:color w:val="auto"/>
                <w:kern w:val="2"/>
                <w:sz w:val="21"/>
                <w:szCs w:val="21"/>
                <w:lang w:val="en-US" w:eastAsia="zh-CN" w:bidi="ar-SA"/>
              </w:rPr>
            </w:pPr>
            <w:r>
              <w:rPr>
                <w:rFonts w:hint="eastAsia" w:ascii="仿宋_GB2312" w:hAnsi="仿宋_GB2312" w:eastAsia="仿宋_GB2312" w:cs="仿宋_GB2312"/>
                <w:b/>
                <w:bCs/>
                <w:color w:val="auto"/>
                <w:kern w:val="2"/>
                <w:sz w:val="21"/>
                <w:szCs w:val="21"/>
                <w:lang w:val="en-US" w:eastAsia="zh-CN" w:bidi="ar-SA"/>
              </w:rPr>
              <w:t>二级类或三级类</w:t>
            </w:r>
          </w:p>
        </w:tc>
        <w:tc>
          <w:tcPr>
            <w:tcW w:w="1116" w:type="dxa"/>
            <w:vMerge w:val="continue"/>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bCs/>
                <w:color w:val="auto"/>
                <w:kern w:val="2"/>
                <w:sz w:val="21"/>
                <w:szCs w:val="21"/>
                <w:lang w:val="en-US" w:eastAsia="zh-CN" w:bidi="ar-SA"/>
              </w:rPr>
            </w:pPr>
          </w:p>
        </w:tc>
        <w:tc>
          <w:tcPr>
            <w:tcW w:w="1225" w:type="dxa"/>
            <w:vMerge w:val="continue"/>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bCs/>
                <w:color w:val="auto"/>
                <w:kern w:val="2"/>
                <w:sz w:val="21"/>
                <w:szCs w:val="21"/>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3" w:hRule="atLeast"/>
        </w:trPr>
        <w:tc>
          <w:tcPr>
            <w:tcW w:w="1007" w:type="dxa"/>
            <w:vMerge w:val="restart"/>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01</w:t>
            </w:r>
          </w:p>
        </w:tc>
        <w:tc>
          <w:tcPr>
            <w:tcW w:w="1817" w:type="dxa"/>
            <w:vMerge w:val="restart"/>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耕地</w:t>
            </w:r>
          </w:p>
        </w:tc>
        <w:tc>
          <w:tcPr>
            <w:tcW w:w="2233"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旱地</w:t>
            </w:r>
          </w:p>
        </w:tc>
        <w:tc>
          <w:tcPr>
            <w:tcW w:w="1116"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 xml:space="preserve">1.39 </w:t>
            </w:r>
          </w:p>
        </w:tc>
        <w:tc>
          <w:tcPr>
            <w:tcW w:w="1225"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2.56%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3" w:hRule="atLeast"/>
        </w:trPr>
        <w:tc>
          <w:tcPr>
            <w:tcW w:w="1007" w:type="dxa"/>
            <w:vMerge w:val="continue"/>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p>
        </w:tc>
        <w:tc>
          <w:tcPr>
            <w:tcW w:w="1817" w:type="dxa"/>
            <w:vMerge w:val="continue"/>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p>
        </w:tc>
        <w:tc>
          <w:tcPr>
            <w:tcW w:w="2233"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水田</w:t>
            </w:r>
          </w:p>
        </w:tc>
        <w:tc>
          <w:tcPr>
            <w:tcW w:w="1116"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 xml:space="preserve">19.94 </w:t>
            </w:r>
          </w:p>
        </w:tc>
        <w:tc>
          <w:tcPr>
            <w:tcW w:w="1225"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36.79%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3" w:hRule="atLeast"/>
        </w:trPr>
        <w:tc>
          <w:tcPr>
            <w:tcW w:w="1007" w:type="dxa"/>
            <w:vMerge w:val="continue"/>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p>
        </w:tc>
        <w:tc>
          <w:tcPr>
            <w:tcW w:w="1817" w:type="dxa"/>
            <w:vMerge w:val="continue"/>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p>
        </w:tc>
        <w:tc>
          <w:tcPr>
            <w:tcW w:w="2233"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小计</w:t>
            </w:r>
          </w:p>
        </w:tc>
        <w:tc>
          <w:tcPr>
            <w:tcW w:w="1116"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 xml:space="preserve">21.33 </w:t>
            </w:r>
          </w:p>
        </w:tc>
        <w:tc>
          <w:tcPr>
            <w:tcW w:w="1225"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39.35%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3" w:hRule="atLeast"/>
        </w:trPr>
        <w:tc>
          <w:tcPr>
            <w:tcW w:w="1007" w:type="dxa"/>
            <w:vMerge w:val="restart"/>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02</w:t>
            </w:r>
          </w:p>
        </w:tc>
        <w:tc>
          <w:tcPr>
            <w:tcW w:w="1817" w:type="dxa"/>
            <w:vMerge w:val="restart"/>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园地</w:t>
            </w:r>
          </w:p>
        </w:tc>
        <w:tc>
          <w:tcPr>
            <w:tcW w:w="2233"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果园</w:t>
            </w:r>
          </w:p>
        </w:tc>
        <w:tc>
          <w:tcPr>
            <w:tcW w:w="1116"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 xml:space="preserve">1.33 </w:t>
            </w:r>
          </w:p>
        </w:tc>
        <w:tc>
          <w:tcPr>
            <w:tcW w:w="1225"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2.46%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3" w:hRule="atLeast"/>
        </w:trPr>
        <w:tc>
          <w:tcPr>
            <w:tcW w:w="1007" w:type="dxa"/>
            <w:vMerge w:val="continue"/>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p>
        </w:tc>
        <w:tc>
          <w:tcPr>
            <w:tcW w:w="1817" w:type="dxa"/>
            <w:vMerge w:val="continue"/>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p>
        </w:tc>
        <w:tc>
          <w:tcPr>
            <w:tcW w:w="2233"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其他园地</w:t>
            </w:r>
          </w:p>
        </w:tc>
        <w:tc>
          <w:tcPr>
            <w:tcW w:w="1116"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 xml:space="preserve">0.08 </w:t>
            </w:r>
          </w:p>
        </w:tc>
        <w:tc>
          <w:tcPr>
            <w:tcW w:w="1225"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0.14%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3" w:hRule="atLeast"/>
        </w:trPr>
        <w:tc>
          <w:tcPr>
            <w:tcW w:w="1007" w:type="dxa"/>
            <w:vMerge w:val="continue"/>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p>
        </w:tc>
        <w:tc>
          <w:tcPr>
            <w:tcW w:w="1817" w:type="dxa"/>
            <w:vMerge w:val="continue"/>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p>
        </w:tc>
        <w:tc>
          <w:tcPr>
            <w:tcW w:w="2233"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小计</w:t>
            </w:r>
          </w:p>
        </w:tc>
        <w:tc>
          <w:tcPr>
            <w:tcW w:w="1116"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 xml:space="preserve">1.41 </w:t>
            </w:r>
          </w:p>
        </w:tc>
        <w:tc>
          <w:tcPr>
            <w:tcW w:w="1225"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2.60%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3" w:hRule="atLeast"/>
        </w:trPr>
        <w:tc>
          <w:tcPr>
            <w:tcW w:w="1007" w:type="dxa"/>
            <w:vMerge w:val="restart"/>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03</w:t>
            </w:r>
          </w:p>
        </w:tc>
        <w:tc>
          <w:tcPr>
            <w:tcW w:w="1817" w:type="dxa"/>
            <w:vMerge w:val="restart"/>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林地</w:t>
            </w:r>
          </w:p>
        </w:tc>
        <w:tc>
          <w:tcPr>
            <w:tcW w:w="2233"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乔木林地</w:t>
            </w:r>
          </w:p>
        </w:tc>
        <w:tc>
          <w:tcPr>
            <w:tcW w:w="1116"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 xml:space="preserve">2.75 </w:t>
            </w:r>
          </w:p>
        </w:tc>
        <w:tc>
          <w:tcPr>
            <w:tcW w:w="1225"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5.07%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3" w:hRule="atLeast"/>
        </w:trPr>
        <w:tc>
          <w:tcPr>
            <w:tcW w:w="1007" w:type="dxa"/>
            <w:vMerge w:val="continue"/>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p>
        </w:tc>
        <w:tc>
          <w:tcPr>
            <w:tcW w:w="1817" w:type="dxa"/>
            <w:vMerge w:val="continue"/>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p>
        </w:tc>
        <w:tc>
          <w:tcPr>
            <w:tcW w:w="2233"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其他林地</w:t>
            </w:r>
          </w:p>
        </w:tc>
        <w:tc>
          <w:tcPr>
            <w:tcW w:w="1116"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 xml:space="preserve">1.81 </w:t>
            </w:r>
          </w:p>
        </w:tc>
        <w:tc>
          <w:tcPr>
            <w:tcW w:w="1225"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3.34%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3" w:hRule="atLeast"/>
        </w:trPr>
        <w:tc>
          <w:tcPr>
            <w:tcW w:w="1007" w:type="dxa"/>
            <w:vMerge w:val="continue"/>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p>
        </w:tc>
        <w:tc>
          <w:tcPr>
            <w:tcW w:w="1817" w:type="dxa"/>
            <w:vMerge w:val="continue"/>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p>
        </w:tc>
        <w:tc>
          <w:tcPr>
            <w:tcW w:w="2233"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竹林地</w:t>
            </w:r>
          </w:p>
        </w:tc>
        <w:tc>
          <w:tcPr>
            <w:tcW w:w="1116"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 xml:space="preserve">1.61 </w:t>
            </w:r>
          </w:p>
        </w:tc>
        <w:tc>
          <w:tcPr>
            <w:tcW w:w="1225"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2.96%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3" w:hRule="atLeast"/>
        </w:trPr>
        <w:tc>
          <w:tcPr>
            <w:tcW w:w="1007" w:type="dxa"/>
            <w:vMerge w:val="continue"/>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p>
        </w:tc>
        <w:tc>
          <w:tcPr>
            <w:tcW w:w="1817" w:type="dxa"/>
            <w:vMerge w:val="continue"/>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p>
        </w:tc>
        <w:tc>
          <w:tcPr>
            <w:tcW w:w="2233"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小计</w:t>
            </w:r>
          </w:p>
        </w:tc>
        <w:tc>
          <w:tcPr>
            <w:tcW w:w="1116"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 xml:space="preserve">6.17 </w:t>
            </w:r>
          </w:p>
        </w:tc>
        <w:tc>
          <w:tcPr>
            <w:tcW w:w="1225"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11.37%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3" w:hRule="atLeast"/>
        </w:trPr>
        <w:tc>
          <w:tcPr>
            <w:tcW w:w="1007"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04</w:t>
            </w:r>
          </w:p>
        </w:tc>
        <w:tc>
          <w:tcPr>
            <w:tcW w:w="1817"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草地</w:t>
            </w:r>
          </w:p>
        </w:tc>
        <w:tc>
          <w:tcPr>
            <w:tcW w:w="2233"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其他草地</w:t>
            </w:r>
          </w:p>
        </w:tc>
        <w:tc>
          <w:tcPr>
            <w:tcW w:w="1116"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 xml:space="preserve">0.00 </w:t>
            </w:r>
          </w:p>
        </w:tc>
        <w:tc>
          <w:tcPr>
            <w:tcW w:w="1225"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2" w:hRule="atLeast"/>
        </w:trPr>
        <w:tc>
          <w:tcPr>
            <w:tcW w:w="1007"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06</w:t>
            </w:r>
          </w:p>
        </w:tc>
        <w:tc>
          <w:tcPr>
            <w:tcW w:w="1817"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农业设施建设用地</w:t>
            </w:r>
          </w:p>
        </w:tc>
        <w:tc>
          <w:tcPr>
            <w:tcW w:w="2233"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农村道路</w:t>
            </w:r>
          </w:p>
        </w:tc>
        <w:tc>
          <w:tcPr>
            <w:tcW w:w="1116"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 xml:space="preserve">0.65 </w:t>
            </w:r>
          </w:p>
        </w:tc>
        <w:tc>
          <w:tcPr>
            <w:tcW w:w="1225"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3" w:hRule="atLeast"/>
        </w:trPr>
        <w:tc>
          <w:tcPr>
            <w:tcW w:w="1007"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07</w:t>
            </w:r>
          </w:p>
        </w:tc>
        <w:tc>
          <w:tcPr>
            <w:tcW w:w="1817"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居住用地</w:t>
            </w:r>
          </w:p>
        </w:tc>
        <w:tc>
          <w:tcPr>
            <w:tcW w:w="2233"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农村宅基地</w:t>
            </w:r>
          </w:p>
        </w:tc>
        <w:tc>
          <w:tcPr>
            <w:tcW w:w="1116"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 xml:space="preserve">12.34 </w:t>
            </w:r>
          </w:p>
        </w:tc>
        <w:tc>
          <w:tcPr>
            <w:tcW w:w="1225"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22.76%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3" w:hRule="atLeast"/>
        </w:trPr>
        <w:tc>
          <w:tcPr>
            <w:tcW w:w="1007" w:type="dxa"/>
            <w:vMerge w:val="restart"/>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08</w:t>
            </w:r>
          </w:p>
        </w:tc>
        <w:tc>
          <w:tcPr>
            <w:tcW w:w="1817" w:type="dxa"/>
            <w:vMerge w:val="restart"/>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公共管理与公共服务用地</w:t>
            </w:r>
          </w:p>
        </w:tc>
        <w:tc>
          <w:tcPr>
            <w:tcW w:w="2233"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机关团体用地</w:t>
            </w:r>
          </w:p>
        </w:tc>
        <w:tc>
          <w:tcPr>
            <w:tcW w:w="1116"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 xml:space="preserve">0.68 </w:t>
            </w:r>
          </w:p>
        </w:tc>
        <w:tc>
          <w:tcPr>
            <w:tcW w:w="1225"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3" w:hRule="atLeast"/>
        </w:trPr>
        <w:tc>
          <w:tcPr>
            <w:tcW w:w="1007" w:type="dxa"/>
            <w:vMerge w:val="continue"/>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p>
        </w:tc>
        <w:tc>
          <w:tcPr>
            <w:tcW w:w="1817" w:type="dxa"/>
            <w:vMerge w:val="continue"/>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p>
        </w:tc>
        <w:tc>
          <w:tcPr>
            <w:tcW w:w="2233"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教育用地</w:t>
            </w:r>
          </w:p>
        </w:tc>
        <w:tc>
          <w:tcPr>
            <w:tcW w:w="1116"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 xml:space="preserve">1.47 </w:t>
            </w:r>
          </w:p>
        </w:tc>
        <w:tc>
          <w:tcPr>
            <w:tcW w:w="1225"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2.71%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3" w:hRule="atLeast"/>
        </w:trPr>
        <w:tc>
          <w:tcPr>
            <w:tcW w:w="1007" w:type="dxa"/>
            <w:vMerge w:val="continue"/>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p>
        </w:tc>
        <w:tc>
          <w:tcPr>
            <w:tcW w:w="1817" w:type="dxa"/>
            <w:vMerge w:val="continue"/>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p>
        </w:tc>
        <w:tc>
          <w:tcPr>
            <w:tcW w:w="2233"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医疗卫生用地</w:t>
            </w:r>
          </w:p>
        </w:tc>
        <w:tc>
          <w:tcPr>
            <w:tcW w:w="1116"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 xml:space="preserve">0.14 </w:t>
            </w:r>
          </w:p>
        </w:tc>
        <w:tc>
          <w:tcPr>
            <w:tcW w:w="1225"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0.26%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3" w:hRule="atLeast"/>
        </w:trPr>
        <w:tc>
          <w:tcPr>
            <w:tcW w:w="1007" w:type="dxa"/>
            <w:vMerge w:val="continue"/>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p>
        </w:tc>
        <w:tc>
          <w:tcPr>
            <w:tcW w:w="1817" w:type="dxa"/>
            <w:vMerge w:val="continue"/>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p>
        </w:tc>
        <w:tc>
          <w:tcPr>
            <w:tcW w:w="2233"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小计</w:t>
            </w:r>
          </w:p>
        </w:tc>
        <w:tc>
          <w:tcPr>
            <w:tcW w:w="1116"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 xml:space="preserve">2.29 </w:t>
            </w:r>
          </w:p>
        </w:tc>
        <w:tc>
          <w:tcPr>
            <w:tcW w:w="1225"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4.23%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3" w:hRule="atLeast"/>
        </w:trPr>
        <w:tc>
          <w:tcPr>
            <w:tcW w:w="1007"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09</w:t>
            </w:r>
          </w:p>
        </w:tc>
        <w:tc>
          <w:tcPr>
            <w:tcW w:w="1817"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商业服务业用地</w:t>
            </w:r>
          </w:p>
        </w:tc>
        <w:tc>
          <w:tcPr>
            <w:tcW w:w="2233"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商业用地</w:t>
            </w:r>
          </w:p>
        </w:tc>
        <w:tc>
          <w:tcPr>
            <w:tcW w:w="1116"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 xml:space="preserve">0.09 </w:t>
            </w:r>
          </w:p>
        </w:tc>
        <w:tc>
          <w:tcPr>
            <w:tcW w:w="1225"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0.16%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3" w:hRule="atLeast"/>
        </w:trPr>
        <w:tc>
          <w:tcPr>
            <w:tcW w:w="1007" w:type="dxa"/>
            <w:vMerge w:val="restart"/>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12</w:t>
            </w:r>
          </w:p>
        </w:tc>
        <w:tc>
          <w:tcPr>
            <w:tcW w:w="1817" w:type="dxa"/>
            <w:vMerge w:val="restart"/>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交通运输用地</w:t>
            </w:r>
          </w:p>
        </w:tc>
        <w:tc>
          <w:tcPr>
            <w:tcW w:w="2233"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城镇村道路用地</w:t>
            </w:r>
          </w:p>
        </w:tc>
        <w:tc>
          <w:tcPr>
            <w:tcW w:w="1116"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 xml:space="preserve">1.37 </w:t>
            </w:r>
          </w:p>
        </w:tc>
        <w:tc>
          <w:tcPr>
            <w:tcW w:w="1225"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2.53%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3" w:hRule="atLeast"/>
        </w:trPr>
        <w:tc>
          <w:tcPr>
            <w:tcW w:w="1007" w:type="dxa"/>
            <w:vMerge w:val="continue"/>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p>
        </w:tc>
        <w:tc>
          <w:tcPr>
            <w:tcW w:w="1817" w:type="dxa"/>
            <w:vMerge w:val="continue"/>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p>
        </w:tc>
        <w:tc>
          <w:tcPr>
            <w:tcW w:w="2233"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公路用地</w:t>
            </w:r>
          </w:p>
        </w:tc>
        <w:tc>
          <w:tcPr>
            <w:tcW w:w="1116"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 xml:space="preserve">4.17 </w:t>
            </w:r>
          </w:p>
        </w:tc>
        <w:tc>
          <w:tcPr>
            <w:tcW w:w="1225"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7.69%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3" w:hRule="atLeast"/>
        </w:trPr>
        <w:tc>
          <w:tcPr>
            <w:tcW w:w="1007" w:type="dxa"/>
            <w:vMerge w:val="continue"/>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p>
        </w:tc>
        <w:tc>
          <w:tcPr>
            <w:tcW w:w="1817" w:type="dxa"/>
            <w:vMerge w:val="continue"/>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p>
        </w:tc>
        <w:tc>
          <w:tcPr>
            <w:tcW w:w="2233"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小计</w:t>
            </w:r>
          </w:p>
        </w:tc>
        <w:tc>
          <w:tcPr>
            <w:tcW w:w="1116"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 xml:space="preserve">5.54 </w:t>
            </w:r>
          </w:p>
        </w:tc>
        <w:tc>
          <w:tcPr>
            <w:tcW w:w="1225"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10.21%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3" w:hRule="atLeast"/>
        </w:trPr>
        <w:tc>
          <w:tcPr>
            <w:tcW w:w="1007" w:type="dxa"/>
            <w:vMerge w:val="restart"/>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13</w:t>
            </w:r>
          </w:p>
        </w:tc>
        <w:tc>
          <w:tcPr>
            <w:tcW w:w="1817" w:type="dxa"/>
            <w:vMerge w:val="restart"/>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公用设施用地</w:t>
            </w:r>
          </w:p>
        </w:tc>
        <w:tc>
          <w:tcPr>
            <w:tcW w:w="2233"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水工设施用地</w:t>
            </w:r>
          </w:p>
        </w:tc>
        <w:tc>
          <w:tcPr>
            <w:tcW w:w="1116"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 xml:space="preserve">0.23 </w:t>
            </w:r>
          </w:p>
        </w:tc>
        <w:tc>
          <w:tcPr>
            <w:tcW w:w="1225"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0.43%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3" w:hRule="atLeast"/>
        </w:trPr>
        <w:tc>
          <w:tcPr>
            <w:tcW w:w="1007" w:type="dxa"/>
            <w:vMerge w:val="continue"/>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p>
        </w:tc>
        <w:tc>
          <w:tcPr>
            <w:tcW w:w="1817" w:type="dxa"/>
            <w:vMerge w:val="continue"/>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p>
        </w:tc>
        <w:tc>
          <w:tcPr>
            <w:tcW w:w="2233"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通信用地</w:t>
            </w:r>
          </w:p>
        </w:tc>
        <w:tc>
          <w:tcPr>
            <w:tcW w:w="1116"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 xml:space="preserve">0.03 </w:t>
            </w:r>
          </w:p>
        </w:tc>
        <w:tc>
          <w:tcPr>
            <w:tcW w:w="1225"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0.05%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3" w:hRule="atLeast"/>
        </w:trPr>
        <w:tc>
          <w:tcPr>
            <w:tcW w:w="1007" w:type="dxa"/>
            <w:vMerge w:val="continue"/>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p>
        </w:tc>
        <w:tc>
          <w:tcPr>
            <w:tcW w:w="1817" w:type="dxa"/>
            <w:vMerge w:val="continue"/>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p>
        </w:tc>
        <w:tc>
          <w:tcPr>
            <w:tcW w:w="2233"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小计</w:t>
            </w:r>
          </w:p>
        </w:tc>
        <w:tc>
          <w:tcPr>
            <w:tcW w:w="1116"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 xml:space="preserve">0.26 </w:t>
            </w:r>
          </w:p>
        </w:tc>
        <w:tc>
          <w:tcPr>
            <w:tcW w:w="1225"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0.48%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2" w:hRule="atLeast"/>
        </w:trPr>
        <w:tc>
          <w:tcPr>
            <w:tcW w:w="1007"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14</w:t>
            </w:r>
          </w:p>
        </w:tc>
        <w:tc>
          <w:tcPr>
            <w:tcW w:w="1817"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绿地与开敞空间用地</w:t>
            </w:r>
          </w:p>
        </w:tc>
        <w:tc>
          <w:tcPr>
            <w:tcW w:w="2233"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广场用地</w:t>
            </w:r>
          </w:p>
        </w:tc>
        <w:tc>
          <w:tcPr>
            <w:tcW w:w="1116"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 xml:space="preserve">0.14 </w:t>
            </w:r>
          </w:p>
        </w:tc>
        <w:tc>
          <w:tcPr>
            <w:tcW w:w="1225"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0.27%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3" w:hRule="atLeast"/>
        </w:trPr>
        <w:tc>
          <w:tcPr>
            <w:tcW w:w="1007"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15</w:t>
            </w:r>
          </w:p>
        </w:tc>
        <w:tc>
          <w:tcPr>
            <w:tcW w:w="1817"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特殊用地</w:t>
            </w:r>
          </w:p>
        </w:tc>
        <w:tc>
          <w:tcPr>
            <w:tcW w:w="2233"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其他特殊用地</w:t>
            </w:r>
          </w:p>
        </w:tc>
        <w:tc>
          <w:tcPr>
            <w:tcW w:w="1116"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 xml:space="preserve">0.13 </w:t>
            </w:r>
          </w:p>
        </w:tc>
        <w:tc>
          <w:tcPr>
            <w:tcW w:w="1225"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3" w:hRule="atLeast"/>
        </w:trPr>
        <w:tc>
          <w:tcPr>
            <w:tcW w:w="1007"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16</w:t>
            </w:r>
          </w:p>
        </w:tc>
        <w:tc>
          <w:tcPr>
            <w:tcW w:w="4050" w:type="dxa"/>
            <w:gridSpan w:val="2"/>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留白用地</w:t>
            </w:r>
          </w:p>
        </w:tc>
        <w:tc>
          <w:tcPr>
            <w:tcW w:w="1116"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 xml:space="preserve">2.56 </w:t>
            </w:r>
          </w:p>
        </w:tc>
        <w:tc>
          <w:tcPr>
            <w:tcW w:w="1225"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4.73%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3" w:hRule="atLeast"/>
        </w:trPr>
        <w:tc>
          <w:tcPr>
            <w:tcW w:w="1007" w:type="dxa"/>
            <w:vMerge w:val="restart"/>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17</w:t>
            </w:r>
          </w:p>
        </w:tc>
        <w:tc>
          <w:tcPr>
            <w:tcW w:w="1817" w:type="dxa"/>
            <w:vMerge w:val="restart"/>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陆地水域</w:t>
            </w:r>
          </w:p>
        </w:tc>
        <w:tc>
          <w:tcPr>
            <w:tcW w:w="2233"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沟渠</w:t>
            </w:r>
          </w:p>
        </w:tc>
        <w:tc>
          <w:tcPr>
            <w:tcW w:w="1116"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 xml:space="preserve">0.41 </w:t>
            </w:r>
          </w:p>
        </w:tc>
        <w:tc>
          <w:tcPr>
            <w:tcW w:w="1225"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0.76%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3" w:hRule="atLeast"/>
        </w:trPr>
        <w:tc>
          <w:tcPr>
            <w:tcW w:w="1007" w:type="dxa"/>
            <w:vMerge w:val="continue"/>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p>
        </w:tc>
        <w:tc>
          <w:tcPr>
            <w:tcW w:w="1817" w:type="dxa"/>
            <w:vMerge w:val="continue"/>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p>
        </w:tc>
        <w:tc>
          <w:tcPr>
            <w:tcW w:w="2233"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坑塘水面</w:t>
            </w:r>
          </w:p>
        </w:tc>
        <w:tc>
          <w:tcPr>
            <w:tcW w:w="1116"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 xml:space="preserve">0.23 </w:t>
            </w:r>
          </w:p>
        </w:tc>
        <w:tc>
          <w:tcPr>
            <w:tcW w:w="1225"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0.42%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3" w:hRule="atLeast"/>
        </w:trPr>
        <w:tc>
          <w:tcPr>
            <w:tcW w:w="1007" w:type="dxa"/>
            <w:vMerge w:val="continue"/>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p>
        </w:tc>
        <w:tc>
          <w:tcPr>
            <w:tcW w:w="1817" w:type="dxa"/>
            <w:vMerge w:val="continue"/>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p>
        </w:tc>
        <w:tc>
          <w:tcPr>
            <w:tcW w:w="2233"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河流水面</w:t>
            </w:r>
          </w:p>
        </w:tc>
        <w:tc>
          <w:tcPr>
            <w:tcW w:w="1116"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 xml:space="preserve">0.29 </w:t>
            </w:r>
          </w:p>
        </w:tc>
        <w:tc>
          <w:tcPr>
            <w:tcW w:w="1225"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0.54%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3" w:hRule="atLeast"/>
        </w:trPr>
        <w:tc>
          <w:tcPr>
            <w:tcW w:w="1007" w:type="dxa"/>
            <w:vMerge w:val="continue"/>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p>
        </w:tc>
        <w:tc>
          <w:tcPr>
            <w:tcW w:w="1817" w:type="dxa"/>
            <w:vMerge w:val="continue"/>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p>
        </w:tc>
        <w:tc>
          <w:tcPr>
            <w:tcW w:w="2233"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小计</w:t>
            </w:r>
          </w:p>
        </w:tc>
        <w:tc>
          <w:tcPr>
            <w:tcW w:w="1116"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 xml:space="preserve">0.93 </w:t>
            </w:r>
          </w:p>
        </w:tc>
        <w:tc>
          <w:tcPr>
            <w:tcW w:w="1225"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1.71%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53" w:hRule="atLeast"/>
        </w:trPr>
        <w:tc>
          <w:tcPr>
            <w:tcW w:w="1007"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23</w:t>
            </w:r>
          </w:p>
        </w:tc>
        <w:tc>
          <w:tcPr>
            <w:tcW w:w="1817"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其他土地</w:t>
            </w:r>
          </w:p>
        </w:tc>
        <w:tc>
          <w:tcPr>
            <w:tcW w:w="2233"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田坎</w:t>
            </w:r>
          </w:p>
        </w:tc>
        <w:tc>
          <w:tcPr>
            <w:tcW w:w="1116"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 xml:space="preserve">0.38 </w:t>
            </w:r>
          </w:p>
        </w:tc>
        <w:tc>
          <w:tcPr>
            <w:tcW w:w="1225"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0.70%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64" w:hRule="atLeast"/>
        </w:trPr>
        <w:tc>
          <w:tcPr>
            <w:tcW w:w="5057" w:type="dxa"/>
            <w:gridSpan w:val="3"/>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总计</w:t>
            </w:r>
          </w:p>
        </w:tc>
        <w:tc>
          <w:tcPr>
            <w:tcW w:w="1116"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 xml:space="preserve">54.21 </w:t>
            </w:r>
          </w:p>
        </w:tc>
        <w:tc>
          <w:tcPr>
            <w:tcW w:w="1225" w:type="dxa"/>
            <w:tcBorders>
              <w:top w:val="single" w:color="000000" w:sz="6" w:space="0"/>
              <w:left w:val="single" w:color="000000" w:sz="6" w:space="0"/>
              <w:bottom w:val="single" w:color="000000" w:sz="6" w:space="0"/>
              <w:right w:val="single" w:color="000000" w:sz="6" w:space="0"/>
            </w:tcBorders>
            <w:shd w:val="clear" w:color="auto" w:fill="FFFFFF"/>
            <w:tcMar>
              <w:top w:w="20" w:type="dxa"/>
              <w:left w:w="20" w:type="dxa"/>
              <w:bottom w:w="72" w:type="dxa"/>
              <w:right w:w="20" w:type="dxa"/>
            </w:tcMar>
            <w:vAlign w:val="bottom"/>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100.00%</w:t>
            </w:r>
          </w:p>
        </w:tc>
      </w:tr>
    </w:tbl>
    <w:p>
      <w:pPr>
        <w:pStyle w:val="18"/>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w:t>
      </w:r>
      <w:r>
        <w:rPr>
          <w:rFonts w:hint="default" w:ascii="Times New Roman" w:hAnsi="Times New Roman" w:eastAsia="仿宋_GB2312" w:cs="Times New Roman"/>
          <w:color w:val="auto"/>
          <w:kern w:val="2"/>
          <w:sz w:val="28"/>
          <w:szCs w:val="28"/>
          <w:lang w:val="en-US" w:eastAsia="zh-CN" w:bidi="ar-SA"/>
        </w:rPr>
        <w:t>存在的主要问题：</w:t>
      </w:r>
    </w:p>
    <w:p>
      <w:pPr>
        <w:pStyle w:val="18"/>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1）现状用地结构不合理，</w:t>
      </w:r>
      <w:r>
        <w:rPr>
          <w:rFonts w:hint="eastAsia" w:ascii="Times New Roman" w:hAnsi="Times New Roman" w:eastAsia="仿宋_GB2312" w:cs="Times New Roman"/>
          <w:color w:val="auto"/>
          <w:kern w:val="2"/>
          <w:sz w:val="28"/>
          <w:szCs w:val="28"/>
          <w:lang w:val="en-US" w:eastAsia="zh-CN" w:bidi="ar-SA"/>
        </w:rPr>
        <w:t>居住</w:t>
      </w:r>
      <w:r>
        <w:rPr>
          <w:rFonts w:hint="default" w:ascii="Times New Roman" w:hAnsi="Times New Roman" w:eastAsia="仿宋_GB2312" w:cs="Times New Roman"/>
          <w:color w:val="auto"/>
          <w:kern w:val="2"/>
          <w:sz w:val="28"/>
          <w:szCs w:val="28"/>
          <w:lang w:val="en-US" w:eastAsia="zh-CN" w:bidi="ar-SA"/>
        </w:rPr>
        <w:t>用地比例较大。</w:t>
      </w:r>
      <w:r>
        <w:rPr>
          <w:rFonts w:hint="eastAsia" w:ascii="Times New Roman" w:hAnsi="Times New Roman" w:eastAsia="仿宋_GB2312" w:cs="Times New Roman"/>
          <w:color w:val="auto"/>
          <w:kern w:val="2"/>
          <w:sz w:val="28"/>
          <w:szCs w:val="28"/>
          <w:lang w:val="en-US" w:eastAsia="zh-CN" w:bidi="ar-SA"/>
        </w:rPr>
        <w:t>且</w:t>
      </w:r>
      <w:r>
        <w:rPr>
          <w:rFonts w:hint="default" w:ascii="Times New Roman" w:hAnsi="Times New Roman" w:eastAsia="仿宋_GB2312" w:cs="Times New Roman"/>
          <w:color w:val="auto"/>
          <w:kern w:val="2"/>
          <w:sz w:val="28"/>
          <w:szCs w:val="28"/>
          <w:lang w:val="en-US" w:eastAsia="zh-CN" w:bidi="ar-SA"/>
        </w:rPr>
        <w:t>居住用地基本为农民住宅和商住形式</w:t>
      </w:r>
      <w:r>
        <w:rPr>
          <w:rFonts w:hint="eastAsia" w:ascii="Times New Roman" w:hAnsi="Times New Roman" w:eastAsia="仿宋_GB2312" w:cs="Times New Roman"/>
          <w:color w:val="auto"/>
          <w:kern w:val="2"/>
          <w:sz w:val="28"/>
          <w:szCs w:val="28"/>
          <w:lang w:val="en-US" w:eastAsia="zh-CN" w:bidi="ar-SA"/>
        </w:rPr>
        <w:t>，缺少休闲空间</w:t>
      </w:r>
      <w:r>
        <w:rPr>
          <w:rFonts w:hint="default" w:ascii="Times New Roman" w:hAnsi="Times New Roman" w:eastAsia="仿宋_GB2312" w:cs="Times New Roman"/>
          <w:color w:val="auto"/>
          <w:kern w:val="2"/>
          <w:sz w:val="28"/>
          <w:szCs w:val="28"/>
          <w:lang w:val="en-US" w:eastAsia="zh-CN" w:bidi="ar-SA"/>
        </w:rPr>
        <w:t>。</w:t>
      </w:r>
    </w:p>
    <w:p>
      <w:pPr>
        <w:pStyle w:val="18"/>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w:t>
      </w:r>
      <w:r>
        <w:rPr>
          <w:rFonts w:hint="default" w:ascii="Times New Roman" w:hAnsi="Times New Roman" w:eastAsia="仿宋_GB2312" w:cs="Times New Roman"/>
          <w:color w:val="auto"/>
          <w:kern w:val="2"/>
          <w:sz w:val="28"/>
          <w:szCs w:val="28"/>
          <w:lang w:val="en-US" w:eastAsia="zh-CN" w:bidi="ar-SA"/>
        </w:rPr>
        <w:t>）</w:t>
      </w:r>
      <w:r>
        <w:rPr>
          <w:rFonts w:hint="eastAsia" w:ascii="Times New Roman" w:hAnsi="Times New Roman" w:eastAsia="仿宋_GB2312" w:cs="Times New Roman"/>
          <w:color w:val="auto"/>
          <w:kern w:val="2"/>
          <w:sz w:val="28"/>
          <w:szCs w:val="28"/>
          <w:lang w:val="en-US" w:eastAsia="zh-CN" w:bidi="ar-SA"/>
        </w:rPr>
        <w:t>集镇</w:t>
      </w:r>
      <w:r>
        <w:rPr>
          <w:rFonts w:hint="default" w:ascii="Times New Roman" w:hAnsi="Times New Roman" w:eastAsia="仿宋_GB2312" w:cs="Times New Roman"/>
          <w:color w:val="auto"/>
          <w:kern w:val="2"/>
          <w:sz w:val="28"/>
          <w:szCs w:val="28"/>
          <w:lang w:val="en-US" w:eastAsia="zh-CN" w:bidi="ar-SA"/>
        </w:rPr>
        <w:t>基础设施不齐全，环境卫生设施配套不足，未有集中的停车场地。</w:t>
      </w:r>
    </w:p>
    <w:p>
      <w:pPr>
        <w:pStyle w:val="18"/>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3</w:t>
      </w:r>
      <w:r>
        <w:rPr>
          <w:rFonts w:hint="default" w:ascii="Times New Roman" w:hAnsi="Times New Roman" w:eastAsia="仿宋_GB2312" w:cs="Times New Roman"/>
          <w:color w:val="auto"/>
          <w:kern w:val="2"/>
          <w:sz w:val="28"/>
          <w:szCs w:val="28"/>
          <w:lang w:val="en-US" w:eastAsia="zh-CN" w:bidi="ar-SA"/>
        </w:rPr>
        <w:t>）</w:t>
      </w:r>
      <w:r>
        <w:rPr>
          <w:rFonts w:hint="eastAsia" w:ascii="Times New Roman" w:hAnsi="Times New Roman" w:eastAsia="仿宋_GB2312" w:cs="Times New Roman"/>
          <w:color w:val="auto"/>
          <w:kern w:val="2"/>
          <w:sz w:val="28"/>
          <w:szCs w:val="28"/>
          <w:lang w:val="en-US" w:eastAsia="zh-CN" w:bidi="ar-SA"/>
        </w:rPr>
        <w:t>集镇</w:t>
      </w:r>
      <w:r>
        <w:rPr>
          <w:rFonts w:hint="default" w:ascii="Times New Roman" w:hAnsi="Times New Roman" w:eastAsia="仿宋_GB2312" w:cs="Times New Roman"/>
          <w:color w:val="auto"/>
          <w:kern w:val="2"/>
          <w:sz w:val="28"/>
          <w:szCs w:val="28"/>
          <w:lang w:val="en-US" w:eastAsia="zh-CN" w:bidi="ar-SA"/>
        </w:rPr>
        <w:t>商贸氛围虽浓厚，</w:t>
      </w:r>
      <w:r>
        <w:rPr>
          <w:rFonts w:hint="eastAsia" w:ascii="Times New Roman" w:hAnsi="Times New Roman" w:eastAsia="仿宋_GB2312" w:cs="Times New Roman"/>
          <w:color w:val="auto"/>
          <w:kern w:val="2"/>
          <w:sz w:val="28"/>
          <w:szCs w:val="28"/>
          <w:lang w:val="en-US" w:eastAsia="zh-CN" w:bidi="ar-SA"/>
        </w:rPr>
        <w:t>但功能较为简单，缺乏旅游服务相关配套设施</w:t>
      </w:r>
      <w:r>
        <w:rPr>
          <w:rFonts w:hint="default" w:ascii="Times New Roman" w:hAnsi="Times New Roman" w:eastAsia="仿宋_GB2312" w:cs="Times New Roman"/>
          <w:color w:val="auto"/>
          <w:kern w:val="2"/>
          <w:sz w:val="28"/>
          <w:szCs w:val="28"/>
          <w:lang w:val="en-US" w:eastAsia="zh-CN" w:bidi="ar-SA"/>
        </w:rPr>
        <w:t>。</w:t>
      </w:r>
    </w:p>
    <w:p>
      <w:pPr>
        <w:pStyle w:val="18"/>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4</w:t>
      </w:r>
      <w:r>
        <w:rPr>
          <w:rFonts w:hint="default" w:ascii="Times New Roman" w:hAnsi="Times New Roman" w:eastAsia="仿宋_GB2312" w:cs="Times New Roman"/>
          <w:color w:val="auto"/>
          <w:kern w:val="2"/>
          <w:sz w:val="28"/>
          <w:szCs w:val="28"/>
          <w:lang w:val="en-US" w:eastAsia="zh-CN" w:bidi="ar-SA"/>
        </w:rPr>
        <w:t>）</w:t>
      </w:r>
      <w:r>
        <w:rPr>
          <w:rFonts w:hint="eastAsia" w:ascii="Times New Roman" w:hAnsi="Times New Roman" w:eastAsia="仿宋_GB2312" w:cs="Times New Roman"/>
          <w:color w:val="auto"/>
          <w:kern w:val="2"/>
          <w:sz w:val="28"/>
          <w:szCs w:val="28"/>
          <w:lang w:val="en-US" w:eastAsia="zh-CN" w:bidi="ar-SA"/>
        </w:rPr>
        <w:t>集镇</w:t>
      </w:r>
      <w:r>
        <w:rPr>
          <w:rFonts w:hint="default" w:ascii="Times New Roman" w:hAnsi="Times New Roman" w:eastAsia="仿宋_GB2312" w:cs="Times New Roman"/>
          <w:color w:val="auto"/>
          <w:kern w:val="2"/>
          <w:sz w:val="28"/>
          <w:szCs w:val="28"/>
          <w:lang w:val="en-US" w:eastAsia="zh-CN" w:bidi="ar-SA"/>
        </w:rPr>
        <w:t>部分道路路况较差，路面宽度较窄</w:t>
      </w:r>
      <w:r>
        <w:rPr>
          <w:rFonts w:hint="eastAsia" w:ascii="Times New Roman" w:hAnsi="Times New Roman" w:eastAsia="仿宋_GB2312" w:cs="Times New Roman"/>
          <w:color w:val="auto"/>
          <w:kern w:val="2"/>
          <w:sz w:val="28"/>
          <w:szCs w:val="28"/>
          <w:lang w:val="en-US" w:eastAsia="zh-CN" w:bidi="ar-SA"/>
        </w:rPr>
        <w:t>，道路交通有待完善</w:t>
      </w:r>
      <w:r>
        <w:rPr>
          <w:rFonts w:hint="default" w:ascii="Times New Roman" w:hAnsi="Times New Roman" w:eastAsia="仿宋_GB2312" w:cs="Times New Roman"/>
          <w:color w:val="auto"/>
          <w:kern w:val="2"/>
          <w:sz w:val="28"/>
          <w:szCs w:val="28"/>
          <w:lang w:val="en-US" w:eastAsia="zh-CN" w:bidi="ar-SA"/>
        </w:rPr>
        <w:t>。</w:t>
      </w:r>
    </w:p>
    <w:p>
      <w:pPr>
        <w:pStyle w:val="18"/>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5</w:t>
      </w:r>
      <w:r>
        <w:rPr>
          <w:rFonts w:hint="default" w:ascii="Times New Roman" w:hAnsi="Times New Roman" w:eastAsia="仿宋_GB2312" w:cs="Times New Roman"/>
          <w:color w:val="auto"/>
          <w:kern w:val="2"/>
          <w:sz w:val="28"/>
          <w:szCs w:val="28"/>
          <w:lang w:val="en-US" w:eastAsia="zh-CN" w:bidi="ar-SA"/>
        </w:rPr>
        <w:t>）</w:t>
      </w:r>
      <w:r>
        <w:rPr>
          <w:rFonts w:hint="eastAsia" w:ascii="Times New Roman" w:hAnsi="Times New Roman" w:eastAsia="仿宋_GB2312" w:cs="Times New Roman"/>
          <w:color w:val="auto"/>
          <w:kern w:val="2"/>
          <w:sz w:val="28"/>
          <w:szCs w:val="28"/>
          <w:lang w:val="en-US" w:eastAsia="zh-CN" w:bidi="ar-SA"/>
        </w:rPr>
        <w:t>集镇</w:t>
      </w:r>
      <w:r>
        <w:rPr>
          <w:rFonts w:hint="default" w:ascii="Times New Roman" w:hAnsi="Times New Roman" w:eastAsia="仿宋_GB2312" w:cs="Times New Roman"/>
          <w:color w:val="auto"/>
          <w:kern w:val="2"/>
          <w:sz w:val="28"/>
          <w:szCs w:val="28"/>
          <w:lang w:val="en-US" w:eastAsia="zh-CN" w:bidi="ar-SA"/>
        </w:rPr>
        <w:t>公共</w:t>
      </w:r>
      <w:r>
        <w:rPr>
          <w:rFonts w:hint="eastAsia" w:ascii="Times New Roman" w:hAnsi="Times New Roman" w:eastAsia="仿宋_GB2312" w:cs="Times New Roman"/>
          <w:color w:val="auto"/>
          <w:kern w:val="2"/>
          <w:sz w:val="28"/>
          <w:szCs w:val="28"/>
          <w:lang w:val="en-US" w:eastAsia="zh-CN" w:bidi="ar-SA"/>
        </w:rPr>
        <w:t>休闲</w:t>
      </w:r>
      <w:r>
        <w:rPr>
          <w:rFonts w:hint="default" w:ascii="Times New Roman" w:hAnsi="Times New Roman" w:eastAsia="仿宋_GB2312" w:cs="Times New Roman"/>
          <w:color w:val="auto"/>
          <w:kern w:val="2"/>
          <w:sz w:val="28"/>
          <w:szCs w:val="28"/>
          <w:lang w:val="en-US" w:eastAsia="zh-CN" w:bidi="ar-SA"/>
        </w:rPr>
        <w:t>严重不足，</w:t>
      </w:r>
      <w:r>
        <w:rPr>
          <w:rFonts w:hint="eastAsia" w:ascii="Times New Roman" w:hAnsi="Times New Roman" w:eastAsia="仿宋_GB2312" w:cs="Times New Roman"/>
          <w:color w:val="auto"/>
          <w:kern w:val="2"/>
          <w:sz w:val="28"/>
          <w:szCs w:val="28"/>
          <w:lang w:val="en-US" w:eastAsia="zh-CN" w:bidi="ar-SA"/>
        </w:rPr>
        <w:t>缺少休闲绿地</w:t>
      </w:r>
      <w:r>
        <w:rPr>
          <w:rFonts w:hint="default" w:ascii="Times New Roman" w:hAnsi="Times New Roman" w:eastAsia="仿宋_GB2312" w:cs="Times New Roman"/>
          <w:color w:val="auto"/>
          <w:kern w:val="2"/>
          <w:sz w:val="28"/>
          <w:szCs w:val="28"/>
          <w:lang w:val="en-US" w:eastAsia="zh-CN" w:bidi="ar-SA"/>
        </w:rPr>
        <w:t>。</w:t>
      </w:r>
    </w:p>
    <w:p>
      <w:pPr>
        <w:pStyle w:val="17"/>
        <w:pageBreakBefore w:val="0"/>
        <w:kinsoku/>
        <w:wordWrap/>
        <w:overflowPunct/>
        <w:topLinePunct w:val="0"/>
        <w:bidi w:val="0"/>
        <w:adjustRightInd/>
        <w:snapToGrid/>
        <w:spacing w:line="480" w:lineRule="exact"/>
        <w:ind w:left="0" w:leftChars="0" w:firstLine="562" w:firstLineChars="200"/>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三、城镇发展方向</w:t>
      </w:r>
    </w:p>
    <w:p>
      <w:pPr>
        <w:pStyle w:val="18"/>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1、城镇用地评价</w:t>
      </w:r>
    </w:p>
    <w:p>
      <w:pPr>
        <w:pStyle w:val="18"/>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上犹县平富乡属于粤赣褶皱带中南部的一部分，地质构造较为复杂。根据平富乡集镇实际情况，本次规划选取地质条件、地形条件（坡度和高程）、现状基础设施条件、土地政策等因素作为评价因子。</w:t>
      </w:r>
    </w:p>
    <w:p>
      <w:pPr>
        <w:pStyle w:val="18"/>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（1）地质条件</w:t>
      </w:r>
    </w:p>
    <w:p>
      <w:pPr>
        <w:pStyle w:val="18"/>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主要为地基承载力，地下水位，无冲沟、崩塌、地震断裂带、泥石流等不良地质现象。平富乡集镇地质构造稳定，地下水含水层多为第四系松散堆积孔隙含水岩组，地下水主要靠降水补给。</w:t>
      </w:r>
    </w:p>
    <w:p>
      <w:pPr>
        <w:pStyle w:val="18"/>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（2）地形条件</w:t>
      </w:r>
    </w:p>
    <w:p>
      <w:pPr>
        <w:pStyle w:val="18"/>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1）坡度</w:t>
      </w:r>
    </w:p>
    <w:p>
      <w:pPr>
        <w:pStyle w:val="18"/>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城镇用地坡度的大小直接关系到城镇建设投资、基础设施的建设、城镇建设速度。用地平坦则城镇建设相对有利，坡度较大则有利于塑造出山地城镇景观。一般的情况下，坡度小于 15％，城镇用地为适建性用地(其中，大型工业厂房要求坡度小于 5％，一般工业厂房和大型商业中心要求坡度小于 10％)；坡度小于 25％，城镇用地为经过工程改造后可建性用地；坡度大于 25％，城镇用地为不可建设用地。</w:t>
      </w:r>
    </w:p>
    <w:p>
      <w:pPr>
        <w:pStyle w:val="18"/>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总体来看，</w:t>
      </w:r>
      <w:r>
        <w:rPr>
          <w:rFonts w:hint="eastAsia" w:ascii="Times New Roman" w:hAnsi="Times New Roman" w:eastAsia="仿宋_GB2312" w:cs="Times New Roman"/>
          <w:color w:val="auto"/>
          <w:kern w:val="2"/>
          <w:sz w:val="28"/>
          <w:szCs w:val="28"/>
          <w:lang w:val="en-US" w:eastAsia="zh-CN" w:bidi="ar-SA"/>
        </w:rPr>
        <w:t>平富乡集镇</w:t>
      </w:r>
      <w:r>
        <w:rPr>
          <w:rFonts w:hint="default" w:ascii="Times New Roman" w:hAnsi="Times New Roman" w:eastAsia="仿宋_GB2312" w:cs="Times New Roman"/>
          <w:color w:val="auto"/>
          <w:kern w:val="2"/>
          <w:sz w:val="28"/>
          <w:szCs w:val="28"/>
          <w:lang w:val="en-US" w:eastAsia="zh-CN" w:bidi="ar-SA"/>
        </w:rPr>
        <w:t>地势起伏不大，有利于城镇建设。</w:t>
      </w:r>
    </w:p>
    <w:p>
      <w:pPr>
        <w:pStyle w:val="18"/>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2）高程</w:t>
      </w:r>
    </w:p>
    <w:p>
      <w:pPr>
        <w:pStyle w:val="18"/>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从建设的相对位置来看，高程变化太大会引发建设的难度，增加工程土方量与成本，同时也会对城镇基础设施的运行产生不良影响，例如对交通工具的使用产生限制，输水管网需配置更多的泵站等。</w:t>
      </w:r>
      <w:r>
        <w:rPr>
          <w:rFonts w:hint="eastAsia" w:ascii="Times New Roman" w:hAnsi="Times New Roman" w:eastAsia="仿宋_GB2312" w:cs="Times New Roman"/>
          <w:color w:val="auto"/>
          <w:kern w:val="2"/>
          <w:sz w:val="28"/>
          <w:szCs w:val="28"/>
          <w:lang w:val="en-US" w:eastAsia="zh-CN" w:bidi="ar-SA"/>
        </w:rPr>
        <w:t>平富乡集镇</w:t>
      </w:r>
      <w:r>
        <w:rPr>
          <w:rFonts w:hint="default" w:ascii="Times New Roman" w:hAnsi="Times New Roman" w:eastAsia="仿宋_GB2312" w:cs="Times New Roman"/>
          <w:color w:val="auto"/>
          <w:kern w:val="2"/>
          <w:sz w:val="28"/>
          <w:szCs w:val="28"/>
          <w:lang w:val="en-US" w:eastAsia="zh-CN" w:bidi="ar-SA"/>
        </w:rPr>
        <w:t>地势较为平坦。</w:t>
      </w:r>
    </w:p>
    <w:p>
      <w:pPr>
        <w:pStyle w:val="18"/>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（3）基础设施条件</w:t>
      </w:r>
    </w:p>
    <w:p>
      <w:pPr>
        <w:pStyle w:val="18"/>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由原先建成区向周边拓展的建设方式，有利于充分利用原有的条件，节省重新开发成本，发挥集聚效应。因而可以认为越接近老</w:t>
      </w:r>
      <w:r>
        <w:rPr>
          <w:rFonts w:hint="eastAsia" w:ascii="Times New Roman" w:hAnsi="Times New Roman" w:eastAsia="仿宋_GB2312" w:cs="Times New Roman"/>
          <w:color w:val="auto"/>
          <w:kern w:val="2"/>
          <w:sz w:val="28"/>
          <w:szCs w:val="28"/>
          <w:lang w:val="en-US" w:eastAsia="zh-CN" w:bidi="ar-SA"/>
        </w:rPr>
        <w:t>集镇</w:t>
      </w:r>
      <w:r>
        <w:rPr>
          <w:rFonts w:hint="default" w:ascii="Times New Roman" w:hAnsi="Times New Roman" w:eastAsia="仿宋_GB2312" w:cs="Times New Roman"/>
          <w:color w:val="auto"/>
          <w:kern w:val="2"/>
          <w:sz w:val="28"/>
          <w:szCs w:val="28"/>
          <w:lang w:val="en-US" w:eastAsia="zh-CN" w:bidi="ar-SA"/>
        </w:rPr>
        <w:t>的地方在建设时序上往往存有优势。</w:t>
      </w:r>
    </w:p>
    <w:p>
      <w:pPr>
        <w:pStyle w:val="18"/>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2、用地评价结果</w:t>
      </w:r>
    </w:p>
    <w:p>
      <w:pPr>
        <w:pStyle w:val="18"/>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综合以上评价因子，将</w:t>
      </w:r>
      <w:r>
        <w:rPr>
          <w:rFonts w:hint="eastAsia" w:ascii="Times New Roman" w:hAnsi="Times New Roman" w:eastAsia="仿宋_GB2312" w:cs="Times New Roman"/>
          <w:color w:val="auto"/>
          <w:kern w:val="2"/>
          <w:sz w:val="28"/>
          <w:szCs w:val="28"/>
          <w:lang w:val="en-US" w:eastAsia="zh-CN" w:bidi="ar-SA"/>
        </w:rPr>
        <w:t>平富乡集镇</w:t>
      </w:r>
      <w:r>
        <w:rPr>
          <w:rFonts w:hint="default" w:ascii="Times New Roman" w:hAnsi="Times New Roman" w:eastAsia="仿宋_GB2312" w:cs="Times New Roman"/>
          <w:color w:val="auto"/>
          <w:kern w:val="2"/>
          <w:sz w:val="28"/>
          <w:szCs w:val="28"/>
          <w:lang w:val="en-US" w:eastAsia="zh-CN" w:bidi="ar-SA"/>
        </w:rPr>
        <w:t>用地划分为三类：</w:t>
      </w:r>
    </w:p>
    <w:p>
      <w:pPr>
        <w:pStyle w:val="18"/>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一类用地：用地的工程地质等自然条件比较优越，能适应各项城镇建设的建设需要，一般不需或只需稍加工程设施即可用于建设的用地。</w:t>
      </w:r>
    </w:p>
    <w:p>
      <w:pPr>
        <w:pStyle w:val="18"/>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二类用地：需要采取一定的工程措施，改善条件后才能修建的用地，对城镇设施或工程项目的分布有一定限制。</w:t>
      </w:r>
    </w:p>
    <w:p>
      <w:pPr>
        <w:pStyle w:val="18"/>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三类用地：不适于建设的用地，用地条件极差，必须</w:t>
      </w:r>
      <w:r>
        <w:rPr>
          <w:rFonts w:hint="eastAsia" w:ascii="Times New Roman" w:hAnsi="Times New Roman" w:eastAsia="仿宋_GB2312" w:cs="Times New Roman"/>
          <w:color w:val="auto"/>
          <w:kern w:val="2"/>
          <w:sz w:val="28"/>
          <w:szCs w:val="28"/>
          <w:lang w:val="en-US" w:eastAsia="zh-CN" w:bidi="ar-SA"/>
        </w:rPr>
        <w:t>辅以</w:t>
      </w:r>
      <w:r>
        <w:rPr>
          <w:rFonts w:hint="default" w:ascii="Times New Roman" w:hAnsi="Times New Roman" w:eastAsia="仿宋_GB2312" w:cs="Times New Roman"/>
          <w:color w:val="auto"/>
          <w:kern w:val="2"/>
          <w:sz w:val="28"/>
          <w:szCs w:val="28"/>
          <w:lang w:val="en-US" w:eastAsia="zh-CN" w:bidi="ar-SA"/>
        </w:rPr>
        <w:t>特殊工程技术措施后才能</w:t>
      </w:r>
      <w:r>
        <w:rPr>
          <w:rFonts w:hint="eastAsia" w:ascii="Times New Roman" w:hAnsi="Times New Roman" w:eastAsia="仿宋_GB2312" w:cs="Times New Roman"/>
          <w:color w:val="auto"/>
          <w:kern w:val="2"/>
          <w:sz w:val="28"/>
          <w:szCs w:val="28"/>
          <w:lang w:val="en-US" w:eastAsia="zh-CN" w:bidi="ar-SA"/>
        </w:rPr>
        <w:t>用作</w:t>
      </w:r>
      <w:r>
        <w:rPr>
          <w:rFonts w:hint="default" w:ascii="Times New Roman" w:hAnsi="Times New Roman" w:eastAsia="仿宋_GB2312" w:cs="Times New Roman"/>
          <w:color w:val="auto"/>
          <w:kern w:val="2"/>
          <w:sz w:val="28"/>
          <w:szCs w:val="28"/>
          <w:lang w:val="en-US" w:eastAsia="zh-CN" w:bidi="ar-SA"/>
        </w:rPr>
        <w:t>建设的用地。</w:t>
      </w:r>
    </w:p>
    <w:p>
      <w:pPr>
        <w:pStyle w:val="18"/>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平富乡</w:t>
      </w:r>
      <w:r>
        <w:rPr>
          <w:rFonts w:hint="default" w:ascii="Times New Roman" w:hAnsi="Times New Roman" w:eastAsia="仿宋_GB2312" w:cs="Times New Roman"/>
          <w:color w:val="auto"/>
          <w:kern w:val="2"/>
          <w:sz w:val="28"/>
          <w:szCs w:val="28"/>
          <w:lang w:val="en-US" w:eastAsia="zh-CN" w:bidi="ar-SA"/>
        </w:rPr>
        <w:t>一类用地主要为现状建成区周边一般农田；二类用地为现状建成区周边基础设施较缺乏，投资较大的用地；三类用地为防洪堤沿岸防护绿地、</w:t>
      </w:r>
      <w:r>
        <w:rPr>
          <w:rFonts w:hint="eastAsia" w:ascii="Times New Roman" w:hAnsi="Times New Roman" w:eastAsia="仿宋_GB2312" w:cs="Times New Roman"/>
          <w:color w:val="auto"/>
          <w:kern w:val="2"/>
          <w:sz w:val="28"/>
          <w:szCs w:val="28"/>
          <w:lang w:val="en-US" w:eastAsia="zh-CN" w:bidi="ar-SA"/>
        </w:rPr>
        <w:t>集镇</w:t>
      </w:r>
      <w:r>
        <w:rPr>
          <w:rFonts w:hint="default" w:ascii="Times New Roman" w:hAnsi="Times New Roman" w:eastAsia="仿宋_GB2312" w:cs="Times New Roman"/>
          <w:color w:val="auto"/>
          <w:kern w:val="2"/>
          <w:sz w:val="28"/>
          <w:szCs w:val="28"/>
          <w:lang w:val="en-US" w:eastAsia="zh-CN" w:bidi="ar-SA"/>
        </w:rPr>
        <w:t>水渠及水塘。综合分析可得出：</w:t>
      </w:r>
      <w:r>
        <w:rPr>
          <w:rFonts w:hint="eastAsia" w:ascii="Times New Roman" w:hAnsi="Times New Roman" w:eastAsia="仿宋_GB2312" w:cs="Times New Roman"/>
          <w:color w:val="auto"/>
          <w:kern w:val="2"/>
          <w:sz w:val="28"/>
          <w:szCs w:val="28"/>
          <w:lang w:val="en-US" w:eastAsia="zh-CN" w:bidi="ar-SA"/>
        </w:rPr>
        <w:t>平富乡集镇</w:t>
      </w:r>
      <w:r>
        <w:rPr>
          <w:rFonts w:hint="default" w:ascii="Times New Roman" w:hAnsi="Times New Roman" w:eastAsia="仿宋_GB2312" w:cs="Times New Roman"/>
          <w:color w:val="auto"/>
          <w:kern w:val="2"/>
          <w:sz w:val="28"/>
          <w:szCs w:val="28"/>
          <w:lang w:val="en-US" w:eastAsia="zh-CN" w:bidi="ar-SA"/>
        </w:rPr>
        <w:t>用地以建成区、一类用地和二类用地为主。</w:t>
      </w:r>
    </w:p>
    <w:p>
      <w:pPr>
        <w:pStyle w:val="18"/>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3、城镇用地选择</w:t>
      </w:r>
    </w:p>
    <w:p>
      <w:pPr>
        <w:pStyle w:val="18"/>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根据</w:t>
      </w:r>
      <w:r>
        <w:rPr>
          <w:rFonts w:hint="eastAsia" w:ascii="Times New Roman" w:hAnsi="Times New Roman" w:eastAsia="仿宋_GB2312" w:cs="Times New Roman"/>
          <w:color w:val="auto"/>
          <w:kern w:val="2"/>
          <w:sz w:val="28"/>
          <w:szCs w:val="28"/>
          <w:lang w:val="en-US" w:eastAsia="zh-CN" w:bidi="ar-SA"/>
        </w:rPr>
        <w:t>平富乡集镇</w:t>
      </w:r>
      <w:r>
        <w:rPr>
          <w:rFonts w:hint="default" w:ascii="Times New Roman" w:hAnsi="Times New Roman" w:eastAsia="仿宋_GB2312" w:cs="Times New Roman"/>
          <w:color w:val="auto"/>
          <w:kern w:val="2"/>
          <w:sz w:val="28"/>
          <w:szCs w:val="28"/>
          <w:lang w:val="en-US" w:eastAsia="zh-CN" w:bidi="ar-SA"/>
        </w:rPr>
        <w:t>现状建设实际情况，综合考虑</w:t>
      </w:r>
      <w:r>
        <w:rPr>
          <w:rFonts w:hint="eastAsia" w:ascii="Times New Roman" w:hAnsi="Times New Roman" w:eastAsia="仿宋_GB2312" w:cs="Times New Roman"/>
          <w:color w:val="auto"/>
          <w:kern w:val="2"/>
          <w:sz w:val="28"/>
          <w:szCs w:val="28"/>
          <w:lang w:val="en-US" w:eastAsia="zh-CN" w:bidi="ar-SA"/>
        </w:rPr>
        <w:t>平富乡</w:t>
      </w:r>
      <w:r>
        <w:rPr>
          <w:rFonts w:hint="default" w:ascii="Times New Roman" w:hAnsi="Times New Roman" w:eastAsia="仿宋_GB2312" w:cs="Times New Roman"/>
          <w:color w:val="auto"/>
          <w:kern w:val="2"/>
          <w:sz w:val="28"/>
          <w:szCs w:val="28"/>
          <w:lang w:val="en-US" w:eastAsia="zh-CN" w:bidi="ar-SA"/>
        </w:rPr>
        <w:t>土地利用规划、周边资源利用、过境交通的干扰影响等因素，规划将延续</w:t>
      </w:r>
      <w:r>
        <w:rPr>
          <w:rFonts w:hint="eastAsia" w:ascii="Times New Roman" w:hAnsi="Times New Roman" w:eastAsia="仿宋_GB2312" w:cs="Times New Roman"/>
          <w:color w:val="auto"/>
          <w:kern w:val="2"/>
          <w:sz w:val="28"/>
          <w:szCs w:val="28"/>
          <w:lang w:val="en-US" w:eastAsia="zh-CN" w:bidi="ar-SA"/>
        </w:rPr>
        <w:t>集镇</w:t>
      </w:r>
      <w:r>
        <w:rPr>
          <w:rFonts w:hint="default" w:ascii="Times New Roman" w:hAnsi="Times New Roman" w:eastAsia="仿宋_GB2312" w:cs="Times New Roman"/>
          <w:color w:val="auto"/>
          <w:kern w:val="2"/>
          <w:sz w:val="28"/>
          <w:szCs w:val="28"/>
          <w:lang w:val="en-US" w:eastAsia="zh-CN" w:bidi="ar-SA"/>
        </w:rPr>
        <w:t>现状空间发展的基本思路与惯性，</w:t>
      </w:r>
    </w:p>
    <w:p>
      <w:pPr>
        <w:pStyle w:val="18"/>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集镇</w:t>
      </w:r>
      <w:r>
        <w:rPr>
          <w:rFonts w:hint="default" w:ascii="Times New Roman" w:hAnsi="Times New Roman" w:eastAsia="仿宋_GB2312" w:cs="Times New Roman"/>
          <w:color w:val="auto"/>
          <w:kern w:val="2"/>
          <w:sz w:val="28"/>
          <w:szCs w:val="28"/>
          <w:lang w:val="en-US" w:eastAsia="zh-CN" w:bidi="ar-SA"/>
        </w:rPr>
        <w:t>用地主要发展方向：</w:t>
      </w:r>
      <w:r>
        <w:rPr>
          <w:rFonts w:hint="eastAsia" w:ascii="Times New Roman" w:hAnsi="Times New Roman" w:eastAsia="仿宋_GB2312" w:cs="Times New Roman"/>
          <w:color w:val="auto"/>
          <w:kern w:val="2"/>
          <w:sz w:val="28"/>
          <w:szCs w:val="28"/>
          <w:lang w:val="en-US" w:eastAsia="zh-CN" w:bidi="ar-SA"/>
        </w:rPr>
        <w:t>北合</w:t>
      </w:r>
      <w:r>
        <w:rPr>
          <w:rFonts w:hint="default" w:ascii="Times New Roman" w:hAnsi="Times New Roman" w:eastAsia="仿宋_GB2312" w:cs="Times New Roman"/>
          <w:color w:val="auto"/>
          <w:kern w:val="2"/>
          <w:sz w:val="28"/>
          <w:szCs w:val="28"/>
          <w:lang w:val="en-US" w:eastAsia="zh-CN" w:bidi="ar-SA"/>
        </w:rPr>
        <w:t>、南控、西延、</w:t>
      </w:r>
      <w:r>
        <w:rPr>
          <w:rFonts w:hint="eastAsia" w:ascii="Times New Roman" w:hAnsi="Times New Roman" w:eastAsia="仿宋_GB2312" w:cs="Times New Roman"/>
          <w:color w:val="auto"/>
          <w:kern w:val="2"/>
          <w:sz w:val="28"/>
          <w:szCs w:val="28"/>
          <w:lang w:val="en-US" w:eastAsia="zh-CN" w:bidi="ar-SA"/>
        </w:rPr>
        <w:t>东</w:t>
      </w:r>
      <w:r>
        <w:rPr>
          <w:rFonts w:hint="default" w:ascii="Times New Roman" w:hAnsi="Times New Roman" w:eastAsia="仿宋_GB2312" w:cs="Times New Roman"/>
          <w:color w:val="auto"/>
          <w:kern w:val="2"/>
          <w:sz w:val="28"/>
          <w:szCs w:val="28"/>
          <w:lang w:val="en-US" w:eastAsia="zh-CN" w:bidi="ar-SA"/>
        </w:rPr>
        <w:t>限。</w:t>
      </w:r>
    </w:p>
    <w:p>
      <w:pPr>
        <w:pStyle w:val="18"/>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北合</w:t>
      </w:r>
      <w:r>
        <w:rPr>
          <w:rFonts w:hint="default" w:ascii="Times New Roman" w:hAnsi="Times New Roman" w:eastAsia="仿宋_GB2312" w:cs="Times New Roman"/>
          <w:color w:val="auto"/>
          <w:kern w:val="2"/>
          <w:sz w:val="28"/>
          <w:szCs w:val="28"/>
          <w:lang w:val="en-US" w:eastAsia="zh-CN" w:bidi="ar-SA"/>
        </w:rPr>
        <w:t>——</w:t>
      </w:r>
      <w:r>
        <w:rPr>
          <w:rFonts w:hint="eastAsia" w:ascii="Times New Roman" w:hAnsi="Times New Roman" w:eastAsia="仿宋_GB2312" w:cs="Times New Roman"/>
          <w:color w:val="auto"/>
          <w:kern w:val="2"/>
          <w:sz w:val="28"/>
          <w:szCs w:val="28"/>
          <w:lang w:val="en-US" w:eastAsia="zh-CN" w:bidi="ar-SA"/>
        </w:rPr>
        <w:t>把庄前村的部分地区纳入集镇</w:t>
      </w:r>
      <w:r>
        <w:rPr>
          <w:rFonts w:hint="default" w:ascii="Times New Roman" w:hAnsi="Times New Roman" w:eastAsia="仿宋_GB2312" w:cs="Times New Roman"/>
          <w:color w:val="auto"/>
          <w:kern w:val="2"/>
          <w:sz w:val="28"/>
          <w:szCs w:val="28"/>
          <w:lang w:val="en-US" w:eastAsia="zh-CN" w:bidi="ar-SA"/>
        </w:rPr>
        <w:t>，</w:t>
      </w:r>
      <w:r>
        <w:rPr>
          <w:rFonts w:hint="eastAsia" w:ascii="Times New Roman" w:hAnsi="Times New Roman" w:eastAsia="仿宋_GB2312" w:cs="Times New Roman"/>
          <w:color w:val="auto"/>
          <w:kern w:val="2"/>
          <w:sz w:val="28"/>
          <w:szCs w:val="28"/>
          <w:lang w:val="en-US" w:eastAsia="zh-CN" w:bidi="ar-SA"/>
        </w:rPr>
        <w:t>集镇</w:t>
      </w:r>
      <w:r>
        <w:rPr>
          <w:rFonts w:hint="default" w:ascii="Times New Roman" w:hAnsi="Times New Roman" w:eastAsia="仿宋_GB2312" w:cs="Times New Roman"/>
          <w:color w:val="auto"/>
          <w:kern w:val="2"/>
          <w:sz w:val="28"/>
          <w:szCs w:val="28"/>
          <w:lang w:val="en-US" w:eastAsia="zh-CN" w:bidi="ar-SA"/>
        </w:rPr>
        <w:t>向</w:t>
      </w:r>
      <w:r>
        <w:rPr>
          <w:rFonts w:hint="eastAsia" w:ascii="Times New Roman" w:hAnsi="Times New Roman" w:eastAsia="仿宋_GB2312" w:cs="Times New Roman"/>
          <w:color w:val="auto"/>
          <w:kern w:val="2"/>
          <w:sz w:val="28"/>
          <w:szCs w:val="28"/>
          <w:lang w:val="en-US" w:eastAsia="zh-CN" w:bidi="ar-SA"/>
        </w:rPr>
        <w:t>北融合发展</w:t>
      </w:r>
      <w:r>
        <w:rPr>
          <w:rFonts w:hint="default" w:ascii="Times New Roman" w:hAnsi="Times New Roman" w:eastAsia="仿宋_GB2312" w:cs="Times New Roman"/>
          <w:color w:val="auto"/>
          <w:kern w:val="2"/>
          <w:sz w:val="28"/>
          <w:szCs w:val="28"/>
          <w:lang w:val="en-US" w:eastAsia="zh-CN" w:bidi="ar-SA"/>
        </w:rPr>
        <w:t>；</w:t>
      </w:r>
    </w:p>
    <w:p>
      <w:pPr>
        <w:pStyle w:val="18"/>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南控——</w:t>
      </w:r>
      <w:r>
        <w:rPr>
          <w:rFonts w:hint="eastAsia" w:ascii="Times New Roman" w:hAnsi="Times New Roman" w:eastAsia="仿宋_GB2312" w:cs="Times New Roman"/>
          <w:color w:val="auto"/>
          <w:kern w:val="2"/>
          <w:sz w:val="28"/>
          <w:szCs w:val="28"/>
          <w:lang w:val="en-US" w:eastAsia="zh-CN" w:bidi="ar-SA"/>
        </w:rPr>
        <w:t>集镇</w:t>
      </w:r>
      <w:r>
        <w:rPr>
          <w:rFonts w:hint="default" w:ascii="Times New Roman" w:hAnsi="Times New Roman" w:eastAsia="仿宋_GB2312" w:cs="Times New Roman"/>
          <w:color w:val="auto"/>
          <w:kern w:val="2"/>
          <w:sz w:val="28"/>
          <w:szCs w:val="28"/>
          <w:lang w:val="en-US" w:eastAsia="zh-CN" w:bidi="ar-SA"/>
        </w:rPr>
        <w:t>南面为</w:t>
      </w:r>
      <w:r>
        <w:rPr>
          <w:rFonts w:hint="eastAsia" w:ascii="Times New Roman" w:hAnsi="Times New Roman" w:eastAsia="仿宋_GB2312" w:cs="Times New Roman"/>
          <w:color w:val="auto"/>
          <w:kern w:val="2"/>
          <w:sz w:val="28"/>
          <w:szCs w:val="28"/>
          <w:lang w:val="en-US" w:eastAsia="zh-CN" w:bidi="ar-SA"/>
        </w:rPr>
        <w:t>山体和耕地</w:t>
      </w:r>
      <w:r>
        <w:rPr>
          <w:rFonts w:hint="default" w:ascii="Times New Roman" w:hAnsi="Times New Roman" w:eastAsia="仿宋_GB2312" w:cs="Times New Roman"/>
          <w:color w:val="auto"/>
          <w:kern w:val="2"/>
          <w:sz w:val="28"/>
          <w:szCs w:val="28"/>
          <w:lang w:val="en-US" w:eastAsia="zh-CN" w:bidi="ar-SA"/>
        </w:rPr>
        <w:t>，控制</w:t>
      </w:r>
      <w:r>
        <w:rPr>
          <w:rFonts w:hint="eastAsia" w:ascii="Times New Roman" w:hAnsi="Times New Roman" w:eastAsia="仿宋_GB2312" w:cs="Times New Roman"/>
          <w:color w:val="auto"/>
          <w:kern w:val="2"/>
          <w:sz w:val="28"/>
          <w:szCs w:val="28"/>
          <w:lang w:val="en-US" w:eastAsia="zh-CN" w:bidi="ar-SA"/>
        </w:rPr>
        <w:t>集镇</w:t>
      </w:r>
      <w:r>
        <w:rPr>
          <w:rFonts w:hint="default" w:ascii="Times New Roman" w:hAnsi="Times New Roman" w:eastAsia="仿宋_GB2312" w:cs="Times New Roman"/>
          <w:color w:val="auto"/>
          <w:kern w:val="2"/>
          <w:sz w:val="28"/>
          <w:szCs w:val="28"/>
          <w:lang w:val="en-US" w:eastAsia="zh-CN" w:bidi="ar-SA"/>
        </w:rPr>
        <w:t>向南发展；</w:t>
      </w:r>
    </w:p>
    <w:p>
      <w:pPr>
        <w:pStyle w:val="18"/>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西延——依托</w:t>
      </w:r>
      <w:r>
        <w:rPr>
          <w:rFonts w:hint="eastAsia" w:ascii="Times New Roman" w:hAnsi="Times New Roman" w:eastAsia="仿宋_GB2312" w:cs="Times New Roman"/>
          <w:color w:val="auto"/>
          <w:kern w:val="2"/>
          <w:sz w:val="28"/>
          <w:szCs w:val="28"/>
          <w:lang w:val="en-US" w:eastAsia="zh-CN" w:bidi="ar-SA"/>
        </w:rPr>
        <w:t>集镇</w:t>
      </w:r>
      <w:r>
        <w:rPr>
          <w:rFonts w:hint="default" w:ascii="Times New Roman" w:hAnsi="Times New Roman" w:eastAsia="仿宋_GB2312" w:cs="Times New Roman"/>
          <w:color w:val="auto"/>
          <w:kern w:val="2"/>
          <w:sz w:val="28"/>
          <w:szCs w:val="28"/>
          <w:lang w:val="en-US" w:eastAsia="zh-CN" w:bidi="ar-SA"/>
        </w:rPr>
        <w:t>西部较为平坦的地势，</w:t>
      </w:r>
      <w:r>
        <w:rPr>
          <w:rFonts w:hint="eastAsia" w:ascii="Times New Roman" w:hAnsi="Times New Roman" w:eastAsia="仿宋_GB2312" w:cs="Times New Roman"/>
          <w:color w:val="auto"/>
          <w:kern w:val="2"/>
          <w:sz w:val="28"/>
          <w:szCs w:val="28"/>
          <w:lang w:val="en-US" w:eastAsia="zh-CN" w:bidi="ar-SA"/>
        </w:rPr>
        <w:t>集镇</w:t>
      </w:r>
      <w:r>
        <w:rPr>
          <w:rFonts w:hint="default" w:ascii="Times New Roman" w:hAnsi="Times New Roman" w:eastAsia="仿宋_GB2312" w:cs="Times New Roman"/>
          <w:color w:val="auto"/>
          <w:kern w:val="2"/>
          <w:sz w:val="28"/>
          <w:szCs w:val="28"/>
          <w:lang w:val="en-US" w:eastAsia="zh-CN" w:bidi="ar-SA"/>
        </w:rPr>
        <w:t>向西部延伸；</w:t>
      </w:r>
    </w:p>
    <w:p>
      <w:pPr>
        <w:snapToGrid w:val="0"/>
        <w:spacing w:line="480" w:lineRule="exact"/>
        <w:ind w:firstLine="560"/>
        <w:rPr>
          <w:rFonts w:hint="default"/>
          <w:color w:val="auto"/>
          <w:lang w:val="en-US" w:eastAsia="zh-CN"/>
        </w:rPr>
      </w:pPr>
      <w:r>
        <w:rPr>
          <w:rFonts w:hint="eastAsia" w:ascii="Times New Roman" w:hAnsi="Times New Roman" w:eastAsia="仿宋_GB2312" w:cs="Times New Roman"/>
          <w:color w:val="auto"/>
          <w:kern w:val="2"/>
          <w:sz w:val="28"/>
          <w:szCs w:val="28"/>
          <w:lang w:val="en-US" w:eastAsia="zh-CN" w:bidi="ar-SA"/>
        </w:rPr>
        <w:t>东</w:t>
      </w:r>
      <w:r>
        <w:rPr>
          <w:rFonts w:hint="default" w:ascii="Times New Roman" w:hAnsi="Times New Roman" w:eastAsia="仿宋_GB2312" w:cs="Times New Roman"/>
          <w:color w:val="auto"/>
          <w:kern w:val="2"/>
          <w:sz w:val="28"/>
          <w:szCs w:val="28"/>
          <w:lang w:val="en-US" w:eastAsia="zh-CN" w:bidi="ar-SA"/>
        </w:rPr>
        <w:t>限——</w:t>
      </w:r>
      <w:r>
        <w:rPr>
          <w:rFonts w:hint="eastAsia" w:ascii="Times New Roman" w:hAnsi="Times New Roman" w:eastAsia="仿宋_GB2312" w:cs="Times New Roman"/>
          <w:color w:val="auto"/>
          <w:kern w:val="2"/>
          <w:sz w:val="28"/>
          <w:szCs w:val="28"/>
          <w:lang w:val="en-US" w:eastAsia="zh-CN" w:bidi="ar-SA"/>
        </w:rPr>
        <w:t>集镇东</w:t>
      </w:r>
      <w:r>
        <w:rPr>
          <w:rFonts w:hint="default" w:ascii="Times New Roman" w:hAnsi="Times New Roman" w:eastAsia="仿宋_GB2312" w:cs="Times New Roman"/>
          <w:color w:val="auto"/>
          <w:kern w:val="2"/>
          <w:sz w:val="28"/>
          <w:szCs w:val="28"/>
          <w:lang w:val="en-US" w:eastAsia="zh-CN" w:bidi="ar-SA"/>
        </w:rPr>
        <w:t>部</w:t>
      </w:r>
      <w:r>
        <w:rPr>
          <w:rFonts w:hint="eastAsia" w:ascii="Times New Roman" w:hAnsi="Times New Roman" w:eastAsia="仿宋_GB2312" w:cs="Times New Roman"/>
          <w:color w:val="auto"/>
          <w:kern w:val="2"/>
          <w:sz w:val="28"/>
          <w:szCs w:val="28"/>
          <w:lang w:val="en-US" w:eastAsia="zh-CN" w:bidi="ar-SA"/>
        </w:rPr>
        <w:t>为耕地与河道，</w:t>
      </w:r>
      <w:r>
        <w:rPr>
          <w:rFonts w:hint="default" w:ascii="Times New Roman" w:hAnsi="Times New Roman" w:eastAsia="仿宋_GB2312" w:cs="Times New Roman"/>
          <w:color w:val="auto"/>
          <w:kern w:val="2"/>
          <w:sz w:val="28"/>
          <w:szCs w:val="28"/>
          <w:lang w:val="en-US" w:eastAsia="zh-CN" w:bidi="ar-SA"/>
        </w:rPr>
        <w:t>限制</w:t>
      </w:r>
      <w:r>
        <w:rPr>
          <w:rFonts w:hint="eastAsia" w:ascii="Times New Roman" w:hAnsi="Times New Roman" w:eastAsia="仿宋_GB2312" w:cs="Times New Roman"/>
          <w:color w:val="auto"/>
          <w:kern w:val="2"/>
          <w:sz w:val="28"/>
          <w:szCs w:val="28"/>
          <w:lang w:val="en-US" w:eastAsia="zh-CN" w:bidi="ar-SA"/>
        </w:rPr>
        <w:t>集镇</w:t>
      </w:r>
      <w:r>
        <w:rPr>
          <w:rFonts w:hint="default" w:ascii="Times New Roman" w:hAnsi="Times New Roman" w:eastAsia="仿宋_GB2312" w:cs="Times New Roman"/>
          <w:color w:val="auto"/>
          <w:kern w:val="2"/>
          <w:sz w:val="28"/>
          <w:szCs w:val="28"/>
          <w:lang w:val="en-US" w:eastAsia="zh-CN" w:bidi="ar-SA"/>
        </w:rPr>
        <w:t>向</w:t>
      </w:r>
      <w:r>
        <w:rPr>
          <w:rFonts w:hint="eastAsia" w:ascii="Times New Roman" w:hAnsi="Times New Roman" w:eastAsia="仿宋_GB2312" w:cs="Times New Roman"/>
          <w:color w:val="auto"/>
          <w:kern w:val="2"/>
          <w:sz w:val="28"/>
          <w:szCs w:val="28"/>
          <w:lang w:val="en-US" w:eastAsia="zh-CN" w:bidi="ar-SA"/>
        </w:rPr>
        <w:t>东</w:t>
      </w:r>
      <w:r>
        <w:rPr>
          <w:rFonts w:hint="default" w:ascii="Times New Roman" w:hAnsi="Times New Roman" w:eastAsia="仿宋_GB2312" w:cs="Times New Roman"/>
          <w:color w:val="auto"/>
          <w:kern w:val="2"/>
          <w:sz w:val="28"/>
          <w:szCs w:val="28"/>
          <w:lang w:val="en-US" w:eastAsia="zh-CN" w:bidi="ar-SA"/>
        </w:rPr>
        <w:t>发展。</w:t>
      </w:r>
      <w:r>
        <w:rPr>
          <w:rFonts w:hint="eastAsia" w:ascii="Times New Roman" w:hAnsi="Times New Roman" w:eastAsia="仿宋_GB2312" w:cs="Times New Roman"/>
          <w:color w:val="auto"/>
          <w:kern w:val="2"/>
          <w:sz w:val="28"/>
          <w:szCs w:val="28"/>
          <w:lang w:val="en-US" w:eastAsia="zh-CN" w:bidi="ar-SA"/>
        </w:rPr>
        <w:t xml:space="preserve">   </w:t>
      </w:r>
    </w:p>
    <w:p>
      <w:pPr>
        <w:pStyle w:val="33"/>
        <w:numPr>
          <w:ilvl w:val="0"/>
          <w:numId w:val="15"/>
        </w:numPr>
        <w:spacing w:before="156" w:beforeLines="50" w:after="156" w:afterLines="50" w:line="520" w:lineRule="exact"/>
        <w:rPr>
          <w:rFonts w:hint="eastAsia" w:ascii="Times New Roman" w:hAnsi="Times New Roman"/>
          <w:color w:val="auto"/>
          <w:kern w:val="2"/>
          <w:szCs w:val="32"/>
          <w:lang w:val="en-US" w:eastAsia="zh-CN"/>
        </w:rPr>
      </w:pPr>
      <w:bookmarkStart w:id="74" w:name="_Toc22825"/>
      <w:r>
        <w:rPr>
          <w:rFonts w:hint="eastAsia" w:ascii="Times New Roman" w:hAnsi="Times New Roman"/>
          <w:color w:val="auto"/>
          <w:kern w:val="2"/>
          <w:szCs w:val="32"/>
          <w:lang w:val="en-US" w:eastAsia="zh-CN"/>
        </w:rPr>
        <w:t>集镇用地布局规划</w:t>
      </w:r>
      <w:bookmarkEnd w:id="74"/>
    </w:p>
    <w:p>
      <w:pPr>
        <w:pStyle w:val="17"/>
        <w:pageBreakBefore w:val="0"/>
        <w:kinsoku/>
        <w:wordWrap/>
        <w:overflowPunct/>
        <w:topLinePunct w:val="0"/>
        <w:bidi w:val="0"/>
        <w:adjustRightInd/>
        <w:snapToGrid/>
        <w:spacing w:line="480" w:lineRule="exact"/>
        <w:ind w:left="0" w:leftChars="0" w:firstLine="562" w:firstLineChars="200"/>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一、空间结构</w:t>
      </w:r>
    </w:p>
    <w:p>
      <w:pPr>
        <w:keepNext w:val="0"/>
        <w:keepLines w:val="0"/>
        <w:pageBreakBefore w:val="0"/>
        <w:widowControl w:val="0"/>
        <w:kinsoku/>
        <w:wordWrap/>
        <w:overflowPunct/>
        <w:topLinePunct w:val="0"/>
        <w:bidi w:val="0"/>
        <w:adjustRightInd/>
        <w:snapToGrid/>
        <w:spacing w:line="480" w:lineRule="exact"/>
        <w:ind w:firstLine="560" w:firstLineChars="200"/>
        <w:jc w:val="left"/>
        <w:textAlignment w:val="auto"/>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规划</w:t>
      </w:r>
      <w:r>
        <w:rPr>
          <w:rFonts w:hint="eastAsia" w:ascii="Times New Roman" w:hAnsi="Times New Roman" w:eastAsia="仿宋_GB2312" w:cs="Times New Roman"/>
          <w:color w:val="auto"/>
          <w:kern w:val="2"/>
          <w:sz w:val="28"/>
          <w:szCs w:val="28"/>
          <w:lang w:val="en-US" w:eastAsia="zh-CN" w:bidi="ar-SA"/>
        </w:rPr>
        <w:t>集镇</w:t>
      </w:r>
      <w:r>
        <w:rPr>
          <w:rFonts w:hint="default" w:ascii="Times New Roman" w:hAnsi="Times New Roman" w:eastAsia="仿宋_GB2312" w:cs="Times New Roman"/>
          <w:color w:val="auto"/>
          <w:kern w:val="2"/>
          <w:sz w:val="28"/>
          <w:szCs w:val="28"/>
          <w:lang w:val="en-US" w:eastAsia="zh-CN" w:bidi="ar-SA"/>
        </w:rPr>
        <w:t>形成“</w:t>
      </w:r>
      <w:r>
        <w:rPr>
          <w:rFonts w:hint="eastAsia" w:ascii="Times New Roman" w:hAnsi="Times New Roman" w:eastAsia="仿宋_GB2312" w:cs="Times New Roman"/>
          <w:b/>
          <w:bCs/>
          <w:color w:val="auto"/>
          <w:kern w:val="2"/>
          <w:sz w:val="28"/>
          <w:szCs w:val="28"/>
          <w:lang w:val="en-US" w:eastAsia="zh-CN" w:bidi="ar-SA"/>
        </w:rPr>
        <w:t>一心两轴一带两组团</w:t>
      </w:r>
      <w:r>
        <w:rPr>
          <w:rFonts w:hint="default" w:ascii="Times New Roman" w:hAnsi="Times New Roman" w:eastAsia="仿宋_GB2312" w:cs="Times New Roman"/>
          <w:color w:val="auto"/>
          <w:kern w:val="2"/>
          <w:sz w:val="28"/>
          <w:szCs w:val="28"/>
          <w:lang w:val="en-US" w:eastAsia="zh-CN" w:bidi="ar-SA"/>
        </w:rPr>
        <w:t>”的空间结构</w:t>
      </w:r>
    </w:p>
    <w:p>
      <w:pPr>
        <w:keepNext w:val="0"/>
        <w:keepLines w:val="0"/>
        <w:pageBreakBefore w:val="0"/>
        <w:widowControl w:val="0"/>
        <w:kinsoku/>
        <w:wordWrap/>
        <w:overflowPunct/>
        <w:topLinePunct w:val="0"/>
        <w:bidi w:val="0"/>
        <w:adjustRightInd/>
        <w:snapToGrid/>
        <w:spacing w:line="480" w:lineRule="exact"/>
        <w:ind w:firstLine="560" w:firstLineChars="200"/>
        <w:jc w:val="left"/>
        <w:textAlignment w:val="auto"/>
        <w:rPr>
          <w:rFonts w:hint="eastAsia"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 xml:space="preserve">“一心”：指集镇的公共服务空间核心。 </w:t>
      </w:r>
    </w:p>
    <w:p>
      <w:pPr>
        <w:keepNext w:val="0"/>
        <w:keepLines w:val="0"/>
        <w:pageBreakBefore w:val="0"/>
        <w:widowControl w:val="0"/>
        <w:kinsoku/>
        <w:wordWrap/>
        <w:overflowPunct/>
        <w:topLinePunct w:val="0"/>
        <w:bidi w:val="0"/>
        <w:adjustRightInd/>
        <w:snapToGrid/>
        <w:spacing w:line="480" w:lineRule="exact"/>
        <w:ind w:firstLine="560" w:firstLineChars="200"/>
        <w:jc w:val="left"/>
        <w:textAlignment w:val="auto"/>
        <w:rPr>
          <w:rFonts w:hint="eastAsia"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 xml:space="preserve">“两轴”：指沿G220——南北向主街形成的南北空间主轴，沿东西向街道形成的次要空间轴。 </w:t>
      </w:r>
    </w:p>
    <w:p>
      <w:pPr>
        <w:keepNext w:val="0"/>
        <w:keepLines w:val="0"/>
        <w:pageBreakBefore w:val="0"/>
        <w:widowControl w:val="0"/>
        <w:kinsoku/>
        <w:wordWrap/>
        <w:overflowPunct/>
        <w:topLinePunct w:val="0"/>
        <w:bidi w:val="0"/>
        <w:adjustRightInd/>
        <w:snapToGrid/>
        <w:spacing w:line="480" w:lineRule="exact"/>
        <w:ind w:firstLine="560" w:firstLineChars="200"/>
        <w:jc w:val="left"/>
        <w:textAlignment w:val="auto"/>
        <w:rPr>
          <w:rFonts w:hint="eastAsia"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 xml:space="preserve">“一带”：指沿平富河形成的水系景观带。 </w:t>
      </w:r>
    </w:p>
    <w:p>
      <w:pPr>
        <w:keepNext w:val="0"/>
        <w:keepLines w:val="0"/>
        <w:pageBreakBefore w:val="0"/>
        <w:widowControl w:val="0"/>
        <w:kinsoku/>
        <w:wordWrap/>
        <w:overflowPunct/>
        <w:topLinePunct w:val="0"/>
        <w:bidi w:val="0"/>
        <w:adjustRightInd/>
        <w:snapToGrid/>
        <w:spacing w:line="480" w:lineRule="exact"/>
        <w:ind w:firstLine="560" w:firstLineChars="200"/>
        <w:jc w:val="left"/>
        <w:textAlignment w:val="auto"/>
        <w:rPr>
          <w:rFonts w:hint="eastAsia" w:ascii="Times New Roman" w:hAnsi="Times New Roman" w:eastAsia="仿宋_GB2312" w:cs="Times New Roman"/>
          <w:b w:val="0"/>
          <w:bCs w:val="0"/>
          <w:color w:val="auto"/>
          <w:kern w:val="2"/>
          <w:sz w:val="28"/>
          <w:szCs w:val="28"/>
          <w:lang w:val="en-US" w:eastAsia="zh-CN" w:bidi="ar-SA"/>
        </w:rPr>
      </w:pPr>
      <w:r>
        <w:rPr>
          <w:rFonts w:hint="eastAsia" w:ascii="Times New Roman" w:hAnsi="Times New Roman" w:eastAsia="仿宋_GB2312" w:cs="Times New Roman"/>
          <w:b w:val="0"/>
          <w:bCs w:val="0"/>
          <w:color w:val="auto"/>
          <w:kern w:val="2"/>
          <w:sz w:val="28"/>
          <w:szCs w:val="28"/>
          <w:lang w:val="en-US" w:eastAsia="zh-CN" w:bidi="ar-SA"/>
        </w:rPr>
        <w:t>“两组团”：指南部形成综合服务组团，北部形成居住生活组团。</w:t>
      </w:r>
    </w:p>
    <w:p>
      <w:pPr>
        <w:pStyle w:val="17"/>
        <w:pageBreakBefore w:val="0"/>
        <w:kinsoku/>
        <w:wordWrap/>
        <w:overflowPunct/>
        <w:topLinePunct w:val="0"/>
        <w:bidi w:val="0"/>
        <w:adjustRightInd/>
        <w:snapToGrid/>
        <w:spacing w:line="480" w:lineRule="exact"/>
        <w:ind w:left="0" w:leftChars="0" w:firstLine="562" w:firstLineChars="200"/>
        <w:textAlignment w:val="auto"/>
        <w:rPr>
          <w:rFonts w:hint="default"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二、用地布局</w:t>
      </w:r>
    </w:p>
    <w:p>
      <w:pPr>
        <w:keepNext w:val="0"/>
        <w:keepLines w:val="0"/>
        <w:pageBreakBefore w:val="0"/>
        <w:widowControl w:val="0"/>
        <w:kinsoku/>
        <w:wordWrap/>
        <w:overflowPunct/>
        <w:topLinePunct w:val="0"/>
        <w:bidi w:val="0"/>
        <w:adjustRightInd/>
        <w:snapToGrid/>
        <w:spacing w:line="480" w:lineRule="exact"/>
        <w:ind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平富乡集镇用地面积54.21公顷。</w:t>
      </w:r>
    </w:p>
    <w:p>
      <w:pPr>
        <w:keepNext w:val="0"/>
        <w:keepLines w:val="0"/>
        <w:pageBreakBefore w:val="0"/>
        <w:widowControl w:val="0"/>
        <w:numPr>
          <w:ilvl w:val="0"/>
          <w:numId w:val="16"/>
        </w:numPr>
        <w:kinsoku/>
        <w:wordWrap/>
        <w:overflowPunct/>
        <w:topLinePunct w:val="0"/>
        <w:bidi w:val="0"/>
        <w:adjustRightInd/>
        <w:snapToGrid/>
        <w:spacing w:line="480" w:lineRule="exact"/>
        <w:ind w:firstLine="562" w:firstLineChars="200"/>
        <w:jc w:val="left"/>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 xml:space="preserve">居住用地 </w:t>
      </w:r>
    </w:p>
    <w:p>
      <w:pPr>
        <w:keepNext w:val="0"/>
        <w:keepLines w:val="0"/>
        <w:pageBreakBefore w:val="0"/>
        <w:widowControl w:val="0"/>
        <w:numPr>
          <w:ilvl w:val="0"/>
          <w:numId w:val="0"/>
        </w:numPr>
        <w:kinsoku/>
        <w:wordWrap/>
        <w:overflowPunct/>
        <w:topLinePunct w:val="0"/>
        <w:bidi w:val="0"/>
        <w:adjustRightInd/>
        <w:snapToGrid/>
        <w:spacing w:line="480" w:lineRule="exact"/>
        <w:ind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合理配置城镇居住用地规模，重点对现状集镇的低效用地腾退更新，逐步完善社区和配套服务功能，形成综合性居住片区。提升居住环境，建成设施完善、风貌协调、环境优美的现代化居住区。规划至 2035年，居住用地规模控制在14.42公顷，占集镇用地总规模的26.59%。</w:t>
      </w:r>
    </w:p>
    <w:p>
      <w:pPr>
        <w:keepNext w:val="0"/>
        <w:keepLines w:val="0"/>
        <w:pageBreakBefore w:val="0"/>
        <w:widowControl w:val="0"/>
        <w:numPr>
          <w:ilvl w:val="0"/>
          <w:numId w:val="16"/>
        </w:numPr>
        <w:kinsoku/>
        <w:wordWrap/>
        <w:overflowPunct/>
        <w:topLinePunct w:val="0"/>
        <w:bidi w:val="0"/>
        <w:adjustRightInd/>
        <w:snapToGrid/>
        <w:spacing w:line="480" w:lineRule="exact"/>
        <w:ind w:left="0" w:leftChars="0" w:firstLine="562" w:firstLineChars="200"/>
        <w:jc w:val="left"/>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公共管理与公共服务用地</w:t>
      </w:r>
    </w:p>
    <w:p>
      <w:pPr>
        <w:keepNext w:val="0"/>
        <w:keepLines w:val="0"/>
        <w:pageBreakBefore w:val="0"/>
        <w:widowControl w:val="0"/>
        <w:numPr>
          <w:ilvl w:val="0"/>
          <w:numId w:val="0"/>
        </w:numPr>
        <w:kinsoku/>
        <w:wordWrap/>
        <w:overflowPunct/>
        <w:topLinePunct w:val="0"/>
        <w:bidi w:val="0"/>
        <w:adjustRightInd/>
        <w:snapToGrid/>
        <w:spacing w:line="480" w:lineRule="exact"/>
        <w:ind w:left="0" w:leftChars="0" w:firstLine="638" w:firstLineChars="228"/>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在现状基础上，增加公共管理与公共服务用地规模。对现状老旧的公共服务设施视实际情况进行提质扩容，优先安排公共服务设施的完善工程，全面提升集镇公共服务品质。规划至 2035 年，公共管理与公共服务用地规模由现状 2.29 公顷提高至2.53公顷，占集镇用地总规模的 4.67%。</w:t>
      </w:r>
    </w:p>
    <w:p>
      <w:pPr>
        <w:keepNext w:val="0"/>
        <w:keepLines w:val="0"/>
        <w:pageBreakBefore w:val="0"/>
        <w:widowControl w:val="0"/>
        <w:numPr>
          <w:ilvl w:val="0"/>
          <w:numId w:val="16"/>
        </w:numPr>
        <w:kinsoku/>
        <w:wordWrap/>
        <w:overflowPunct/>
        <w:topLinePunct w:val="0"/>
        <w:bidi w:val="0"/>
        <w:adjustRightInd/>
        <w:snapToGrid/>
        <w:spacing w:line="480" w:lineRule="exact"/>
        <w:ind w:left="0" w:leftChars="0" w:firstLine="562" w:firstLineChars="200"/>
        <w:jc w:val="left"/>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 xml:space="preserve">商业服务业用地 </w:t>
      </w:r>
    </w:p>
    <w:p>
      <w:pPr>
        <w:keepNext w:val="0"/>
        <w:keepLines w:val="0"/>
        <w:pageBreakBefore w:val="0"/>
        <w:widowControl w:val="0"/>
        <w:numPr>
          <w:ilvl w:val="0"/>
          <w:numId w:val="0"/>
        </w:numPr>
        <w:kinsoku/>
        <w:wordWrap/>
        <w:overflowPunct/>
        <w:topLinePunct w:val="0"/>
        <w:bidi w:val="0"/>
        <w:adjustRightInd/>
        <w:snapToGrid/>
        <w:spacing w:line="480" w:lineRule="exact"/>
        <w:ind w:left="0" w:leftChars="0" w:firstLine="420" w:firstLineChars="15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保留现状农贸市场，结合集镇北扩和更新适当增设商业用地。规划至2035年，商业服务业用地规模由现状0.09公顷提高至2.08公顷，占集镇用地总规模的3.84%，主要在国道220西侧沿线增加商业服务用地，为旅游服务和乡村振兴预留发展空间。</w:t>
      </w:r>
    </w:p>
    <w:p>
      <w:pPr>
        <w:keepNext w:val="0"/>
        <w:keepLines w:val="0"/>
        <w:pageBreakBefore w:val="0"/>
        <w:widowControl w:val="0"/>
        <w:numPr>
          <w:ilvl w:val="0"/>
          <w:numId w:val="16"/>
        </w:numPr>
        <w:kinsoku/>
        <w:wordWrap/>
        <w:overflowPunct/>
        <w:topLinePunct w:val="0"/>
        <w:bidi w:val="0"/>
        <w:adjustRightInd/>
        <w:snapToGrid/>
        <w:spacing w:line="480" w:lineRule="exact"/>
        <w:ind w:left="0" w:leftChars="0" w:firstLine="562" w:firstLineChars="200"/>
        <w:jc w:val="left"/>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交通运输用地</w:t>
      </w:r>
    </w:p>
    <w:p>
      <w:pPr>
        <w:keepNext w:val="0"/>
        <w:keepLines w:val="0"/>
        <w:pageBreakBefore w:val="0"/>
        <w:widowControl w:val="0"/>
        <w:numPr>
          <w:ilvl w:val="0"/>
          <w:numId w:val="0"/>
        </w:numPr>
        <w:kinsoku/>
        <w:wordWrap/>
        <w:overflowPunct/>
        <w:topLinePunct w:val="0"/>
        <w:bidi w:val="0"/>
        <w:adjustRightInd/>
        <w:snapToGrid/>
        <w:spacing w:line="480" w:lineRule="exact"/>
        <w:ind w:left="0" w:leftChars="0" w:firstLine="420" w:firstLineChars="15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重点保障市政道路和交通场站设施等用地需求，以干路为交通廊道引导集镇空间布局。规划至2035年，交通运输用地规模控制在5.88公顷，占集镇用地总规模的10.85%。</w:t>
      </w:r>
    </w:p>
    <w:p>
      <w:pPr>
        <w:keepNext w:val="0"/>
        <w:keepLines w:val="0"/>
        <w:pageBreakBefore w:val="0"/>
        <w:widowControl w:val="0"/>
        <w:numPr>
          <w:ilvl w:val="0"/>
          <w:numId w:val="16"/>
        </w:numPr>
        <w:kinsoku/>
        <w:wordWrap/>
        <w:overflowPunct/>
        <w:topLinePunct w:val="0"/>
        <w:bidi w:val="0"/>
        <w:adjustRightInd/>
        <w:snapToGrid/>
        <w:spacing w:line="480" w:lineRule="exact"/>
        <w:ind w:left="0" w:leftChars="0" w:firstLine="562" w:firstLineChars="200"/>
        <w:jc w:val="left"/>
        <w:textAlignment w:val="auto"/>
        <w:rPr>
          <w:rFonts w:hint="default" w:ascii="Times New Roman" w:hAnsi="Times New Roman" w:eastAsia="仿宋_GB2312" w:cs="Times New Roman"/>
          <w:b/>
          <w:bCs/>
          <w:color w:val="auto"/>
          <w:kern w:val="2"/>
          <w:sz w:val="28"/>
          <w:szCs w:val="28"/>
          <w:lang w:val="en-US" w:eastAsia="zh-CN" w:bidi="ar-SA"/>
        </w:rPr>
      </w:pPr>
      <w:r>
        <w:rPr>
          <w:rFonts w:hint="default" w:ascii="Times New Roman" w:hAnsi="Times New Roman" w:eastAsia="仿宋_GB2312" w:cs="Times New Roman"/>
          <w:b/>
          <w:bCs/>
          <w:color w:val="auto"/>
          <w:kern w:val="2"/>
          <w:sz w:val="28"/>
          <w:szCs w:val="28"/>
          <w:lang w:val="en-US" w:eastAsia="zh-CN" w:bidi="ar-SA"/>
        </w:rPr>
        <w:t xml:space="preserve">公用设施用地 </w:t>
      </w:r>
    </w:p>
    <w:p>
      <w:pPr>
        <w:keepNext w:val="0"/>
        <w:keepLines w:val="0"/>
        <w:pageBreakBefore w:val="0"/>
        <w:widowControl w:val="0"/>
        <w:numPr>
          <w:ilvl w:val="0"/>
          <w:numId w:val="0"/>
        </w:numPr>
        <w:kinsoku/>
        <w:wordWrap/>
        <w:overflowPunct/>
        <w:topLinePunct w:val="0"/>
        <w:bidi w:val="0"/>
        <w:adjustRightInd/>
        <w:snapToGrid/>
        <w:spacing w:line="480" w:lineRule="exact"/>
        <w:ind w:left="0" w:leftChars="0" w:firstLine="420" w:firstLineChars="150"/>
        <w:jc w:val="left"/>
        <w:textAlignment w:val="auto"/>
        <w:rPr>
          <w:rFonts w:hint="default" w:ascii="Times New Roman" w:hAnsi="Times New Roman" w:eastAsia="仿宋_GB2312" w:cs="Times New Roman"/>
          <w:color w:val="auto"/>
          <w:kern w:val="2"/>
          <w:sz w:val="28"/>
          <w:szCs w:val="28"/>
          <w:lang w:val="en-US" w:eastAsia="zh-CN" w:bidi="ar-SA"/>
        </w:rPr>
      </w:pPr>
      <w:r>
        <w:rPr>
          <w:rFonts w:hint="default" w:ascii="Times New Roman" w:hAnsi="Times New Roman" w:eastAsia="仿宋_GB2312" w:cs="Times New Roman"/>
          <w:color w:val="auto"/>
          <w:kern w:val="2"/>
          <w:sz w:val="28"/>
          <w:szCs w:val="28"/>
          <w:lang w:val="en-US" w:eastAsia="zh-CN" w:bidi="ar-SA"/>
        </w:rPr>
        <w:t>重点保障</w:t>
      </w:r>
      <w:r>
        <w:rPr>
          <w:rFonts w:hint="eastAsia" w:ascii="Times New Roman" w:hAnsi="Times New Roman" w:eastAsia="仿宋_GB2312" w:cs="Times New Roman"/>
          <w:color w:val="auto"/>
          <w:kern w:val="2"/>
          <w:sz w:val="28"/>
          <w:szCs w:val="28"/>
          <w:lang w:val="en-US" w:eastAsia="zh-CN" w:bidi="ar-SA"/>
        </w:rPr>
        <w:t>集镇</w:t>
      </w:r>
      <w:r>
        <w:rPr>
          <w:rFonts w:hint="default" w:ascii="Times New Roman" w:hAnsi="Times New Roman" w:eastAsia="仿宋_GB2312" w:cs="Times New Roman"/>
          <w:color w:val="auto"/>
          <w:kern w:val="2"/>
          <w:sz w:val="28"/>
          <w:szCs w:val="28"/>
          <w:lang w:val="en-US" w:eastAsia="zh-CN" w:bidi="ar-SA"/>
        </w:rPr>
        <w:t>供水、供电、燃气、排水等基础设施的用地需求。规划至 2035年，公用设施用地由现状</w:t>
      </w:r>
      <w:r>
        <w:rPr>
          <w:rFonts w:hint="eastAsia" w:ascii="Times New Roman" w:hAnsi="Times New Roman" w:eastAsia="仿宋_GB2312" w:cs="Times New Roman"/>
          <w:color w:val="auto"/>
          <w:kern w:val="2"/>
          <w:sz w:val="28"/>
          <w:szCs w:val="28"/>
          <w:lang w:val="en-US" w:eastAsia="zh-CN" w:bidi="ar-SA"/>
        </w:rPr>
        <w:t>0.26</w:t>
      </w:r>
      <w:r>
        <w:rPr>
          <w:rFonts w:hint="default" w:ascii="Times New Roman" w:hAnsi="Times New Roman" w:eastAsia="仿宋_GB2312" w:cs="Times New Roman"/>
          <w:color w:val="auto"/>
          <w:kern w:val="2"/>
          <w:sz w:val="28"/>
          <w:szCs w:val="28"/>
          <w:lang w:val="en-US" w:eastAsia="zh-CN" w:bidi="ar-SA"/>
        </w:rPr>
        <w:t>公顷提高至</w:t>
      </w:r>
      <w:r>
        <w:rPr>
          <w:rFonts w:hint="eastAsia" w:ascii="Times New Roman" w:hAnsi="Times New Roman" w:eastAsia="仿宋_GB2312" w:cs="Times New Roman"/>
          <w:color w:val="auto"/>
          <w:kern w:val="2"/>
          <w:sz w:val="28"/>
          <w:szCs w:val="28"/>
          <w:lang w:val="en-US" w:eastAsia="zh-CN" w:bidi="ar-SA"/>
        </w:rPr>
        <w:t>0.47</w:t>
      </w:r>
      <w:r>
        <w:rPr>
          <w:rFonts w:hint="default" w:ascii="Times New Roman" w:hAnsi="Times New Roman" w:eastAsia="仿宋_GB2312" w:cs="Times New Roman"/>
          <w:color w:val="auto"/>
          <w:kern w:val="2"/>
          <w:sz w:val="28"/>
          <w:szCs w:val="28"/>
          <w:lang w:val="en-US" w:eastAsia="zh-CN" w:bidi="ar-SA"/>
        </w:rPr>
        <w:t>公顷，占</w:t>
      </w:r>
      <w:r>
        <w:rPr>
          <w:rFonts w:hint="eastAsia" w:ascii="Times New Roman" w:hAnsi="Times New Roman" w:eastAsia="仿宋_GB2312" w:cs="Times New Roman"/>
          <w:color w:val="auto"/>
          <w:kern w:val="2"/>
          <w:sz w:val="28"/>
          <w:szCs w:val="28"/>
          <w:lang w:val="en-US" w:eastAsia="zh-CN" w:bidi="ar-SA"/>
        </w:rPr>
        <w:t>集镇用地</w:t>
      </w:r>
      <w:r>
        <w:rPr>
          <w:rFonts w:hint="default" w:ascii="Times New Roman" w:hAnsi="Times New Roman" w:eastAsia="仿宋_GB2312" w:cs="Times New Roman"/>
          <w:color w:val="auto"/>
          <w:kern w:val="2"/>
          <w:sz w:val="28"/>
          <w:szCs w:val="28"/>
          <w:lang w:val="en-US" w:eastAsia="zh-CN" w:bidi="ar-SA"/>
        </w:rPr>
        <w:t>总规模的0.</w:t>
      </w:r>
      <w:r>
        <w:rPr>
          <w:rFonts w:hint="eastAsia" w:ascii="Times New Roman" w:hAnsi="Times New Roman" w:eastAsia="仿宋_GB2312" w:cs="Times New Roman"/>
          <w:color w:val="auto"/>
          <w:kern w:val="2"/>
          <w:sz w:val="28"/>
          <w:szCs w:val="28"/>
          <w:lang w:val="en-US" w:eastAsia="zh-CN" w:bidi="ar-SA"/>
        </w:rPr>
        <w:t>86</w:t>
      </w:r>
      <w:r>
        <w:rPr>
          <w:rFonts w:hint="default" w:ascii="Times New Roman" w:hAnsi="Times New Roman" w:eastAsia="仿宋_GB2312" w:cs="Times New Roman"/>
          <w:color w:val="auto"/>
          <w:kern w:val="2"/>
          <w:sz w:val="28"/>
          <w:szCs w:val="28"/>
          <w:lang w:val="en-US" w:eastAsia="zh-CN" w:bidi="ar-SA"/>
        </w:rPr>
        <w:t>%。</w:t>
      </w:r>
    </w:p>
    <w:p>
      <w:pPr>
        <w:keepNext w:val="0"/>
        <w:keepLines w:val="0"/>
        <w:pageBreakBefore w:val="0"/>
        <w:widowControl w:val="0"/>
        <w:numPr>
          <w:ilvl w:val="0"/>
          <w:numId w:val="16"/>
        </w:numPr>
        <w:kinsoku/>
        <w:wordWrap/>
        <w:overflowPunct/>
        <w:topLinePunct w:val="0"/>
        <w:bidi w:val="0"/>
        <w:adjustRightInd/>
        <w:snapToGrid/>
        <w:spacing w:line="480" w:lineRule="exact"/>
        <w:ind w:left="0" w:leftChars="0" w:firstLine="562" w:firstLineChars="200"/>
        <w:jc w:val="left"/>
        <w:textAlignment w:val="auto"/>
        <w:rPr>
          <w:rFonts w:hint="default" w:ascii="Times New Roman" w:hAnsi="Times New Roman" w:eastAsia="仿宋_GB2312" w:cs="Times New Roman"/>
          <w:b/>
          <w:bCs/>
          <w:color w:val="auto"/>
          <w:kern w:val="2"/>
          <w:sz w:val="28"/>
          <w:szCs w:val="28"/>
          <w:lang w:val="en-US" w:eastAsia="zh-CN" w:bidi="ar-SA"/>
        </w:rPr>
      </w:pPr>
      <w:r>
        <w:rPr>
          <w:rFonts w:hint="default" w:ascii="Times New Roman" w:hAnsi="Times New Roman" w:eastAsia="仿宋_GB2312" w:cs="Times New Roman"/>
          <w:b/>
          <w:bCs/>
          <w:color w:val="auto"/>
          <w:kern w:val="2"/>
          <w:sz w:val="28"/>
          <w:szCs w:val="28"/>
          <w:lang w:val="en-US" w:eastAsia="zh-CN" w:bidi="ar-SA"/>
        </w:rPr>
        <w:t>绿化与开敞空间用地。</w:t>
      </w:r>
    </w:p>
    <w:p>
      <w:pPr>
        <w:keepNext w:val="0"/>
        <w:keepLines w:val="0"/>
        <w:pageBreakBefore w:val="0"/>
        <w:widowControl w:val="0"/>
        <w:numPr>
          <w:ilvl w:val="0"/>
          <w:numId w:val="0"/>
        </w:numPr>
        <w:kinsoku/>
        <w:wordWrap/>
        <w:overflowPunct/>
        <w:topLinePunct w:val="0"/>
        <w:bidi w:val="0"/>
        <w:adjustRightInd/>
        <w:snapToGrid/>
        <w:spacing w:line="480" w:lineRule="exact"/>
        <w:ind w:left="0" w:leftChars="0" w:firstLine="420" w:firstLineChars="150"/>
        <w:jc w:val="left"/>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逐步</w:t>
      </w:r>
      <w:r>
        <w:rPr>
          <w:rFonts w:hint="default" w:ascii="Times New Roman" w:hAnsi="Times New Roman" w:eastAsia="仿宋_GB2312" w:cs="Times New Roman"/>
          <w:color w:val="auto"/>
          <w:kern w:val="2"/>
          <w:sz w:val="28"/>
          <w:szCs w:val="28"/>
          <w:lang w:val="en-US" w:eastAsia="zh-CN" w:bidi="ar-SA"/>
        </w:rPr>
        <w:t>增加绿地。规划至2035年，绿化与开敞空间用地由现状</w:t>
      </w:r>
      <w:r>
        <w:rPr>
          <w:rFonts w:hint="eastAsia" w:ascii="Times New Roman" w:hAnsi="Times New Roman" w:eastAsia="仿宋_GB2312" w:cs="Times New Roman"/>
          <w:color w:val="auto"/>
          <w:kern w:val="2"/>
          <w:sz w:val="28"/>
          <w:szCs w:val="28"/>
          <w:lang w:val="en-US" w:eastAsia="zh-CN" w:bidi="ar-SA"/>
        </w:rPr>
        <w:t>0.14</w:t>
      </w:r>
      <w:r>
        <w:rPr>
          <w:rFonts w:hint="default" w:ascii="Times New Roman" w:hAnsi="Times New Roman" w:eastAsia="仿宋_GB2312" w:cs="Times New Roman"/>
          <w:color w:val="auto"/>
          <w:kern w:val="2"/>
          <w:sz w:val="28"/>
          <w:szCs w:val="28"/>
          <w:lang w:val="en-US" w:eastAsia="zh-CN" w:bidi="ar-SA"/>
        </w:rPr>
        <w:t>公顷提高至</w:t>
      </w:r>
      <w:r>
        <w:rPr>
          <w:rFonts w:hint="eastAsia" w:ascii="Times New Roman" w:hAnsi="Times New Roman" w:eastAsia="仿宋_GB2312" w:cs="Times New Roman"/>
          <w:color w:val="auto"/>
          <w:kern w:val="2"/>
          <w:sz w:val="28"/>
          <w:szCs w:val="28"/>
          <w:lang w:val="en-US" w:eastAsia="zh-CN" w:bidi="ar-SA"/>
        </w:rPr>
        <w:t>0.57</w:t>
      </w:r>
      <w:r>
        <w:rPr>
          <w:rFonts w:hint="default" w:ascii="Times New Roman" w:hAnsi="Times New Roman" w:eastAsia="仿宋_GB2312" w:cs="Times New Roman"/>
          <w:color w:val="auto"/>
          <w:kern w:val="2"/>
          <w:sz w:val="28"/>
          <w:szCs w:val="28"/>
          <w:lang w:val="en-US" w:eastAsia="zh-CN" w:bidi="ar-SA"/>
        </w:rPr>
        <w:t>公顷，占</w:t>
      </w:r>
      <w:r>
        <w:rPr>
          <w:rFonts w:hint="eastAsia" w:ascii="Times New Roman" w:hAnsi="Times New Roman" w:eastAsia="仿宋_GB2312" w:cs="Times New Roman"/>
          <w:color w:val="auto"/>
          <w:kern w:val="2"/>
          <w:sz w:val="28"/>
          <w:szCs w:val="28"/>
          <w:lang w:val="en-US" w:eastAsia="zh-CN" w:bidi="ar-SA"/>
        </w:rPr>
        <w:t>集镇用地</w:t>
      </w:r>
      <w:r>
        <w:rPr>
          <w:rFonts w:hint="default" w:ascii="Times New Roman" w:hAnsi="Times New Roman" w:eastAsia="仿宋_GB2312" w:cs="Times New Roman"/>
          <w:color w:val="auto"/>
          <w:kern w:val="2"/>
          <w:sz w:val="28"/>
          <w:szCs w:val="28"/>
          <w:lang w:val="en-US" w:eastAsia="zh-CN" w:bidi="ar-SA"/>
        </w:rPr>
        <w:t>总规模的</w:t>
      </w:r>
      <w:r>
        <w:rPr>
          <w:rFonts w:hint="eastAsia" w:ascii="Times New Roman" w:hAnsi="Times New Roman" w:eastAsia="仿宋_GB2312" w:cs="Times New Roman"/>
          <w:color w:val="auto"/>
          <w:kern w:val="2"/>
          <w:sz w:val="28"/>
          <w:szCs w:val="28"/>
          <w:lang w:val="en-US" w:eastAsia="zh-CN" w:bidi="ar-SA"/>
        </w:rPr>
        <w:t>1.05</w:t>
      </w:r>
      <w:r>
        <w:rPr>
          <w:rFonts w:hint="default" w:ascii="Times New Roman" w:hAnsi="Times New Roman" w:eastAsia="仿宋_GB2312" w:cs="Times New Roman"/>
          <w:color w:val="auto"/>
          <w:kern w:val="2"/>
          <w:sz w:val="28"/>
          <w:szCs w:val="28"/>
          <w:lang w:val="en-US" w:eastAsia="zh-CN" w:bidi="ar-SA"/>
        </w:rPr>
        <w:t>%。</w:t>
      </w:r>
    </w:p>
    <w:p>
      <w:pPr>
        <w:keepNext w:val="0"/>
        <w:keepLines w:val="0"/>
        <w:pageBreakBefore w:val="0"/>
        <w:widowControl w:val="0"/>
        <w:numPr>
          <w:ilvl w:val="0"/>
          <w:numId w:val="16"/>
        </w:numPr>
        <w:kinsoku/>
        <w:wordWrap/>
        <w:overflowPunct/>
        <w:topLinePunct w:val="0"/>
        <w:bidi w:val="0"/>
        <w:adjustRightInd/>
        <w:snapToGrid/>
        <w:spacing w:line="480" w:lineRule="exact"/>
        <w:ind w:left="0" w:leftChars="0" w:firstLine="562" w:firstLineChars="200"/>
        <w:jc w:val="left"/>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工矿用地。</w:t>
      </w:r>
    </w:p>
    <w:p>
      <w:pPr>
        <w:keepNext w:val="0"/>
        <w:keepLines w:val="0"/>
        <w:pageBreakBefore w:val="0"/>
        <w:widowControl w:val="0"/>
        <w:numPr>
          <w:ilvl w:val="0"/>
          <w:numId w:val="0"/>
        </w:numPr>
        <w:kinsoku/>
        <w:wordWrap/>
        <w:overflowPunct/>
        <w:topLinePunct w:val="0"/>
        <w:bidi w:val="0"/>
        <w:adjustRightInd/>
        <w:snapToGrid/>
        <w:spacing w:line="480" w:lineRule="exact"/>
        <w:ind w:left="0" w:leftChars="0" w:firstLine="420" w:firstLineChars="150"/>
        <w:jc w:val="left"/>
        <w:textAlignment w:val="auto"/>
        <w:rPr>
          <w:rFonts w:hint="default" w:ascii="Times New Roman" w:hAnsi="Times New Roman" w:eastAsia="仿宋_GB2312" w:cs="Times New Roman"/>
          <w:b/>
          <w:bCs/>
          <w:color w:val="auto"/>
          <w:kern w:val="2"/>
          <w:sz w:val="28"/>
          <w:szCs w:val="28"/>
          <w:highlight w:val="none"/>
          <w:lang w:val="en-US" w:eastAsia="zh-CN" w:bidi="ar-SA"/>
        </w:rPr>
      </w:pPr>
      <w:r>
        <w:rPr>
          <w:rFonts w:hint="eastAsia" w:ascii="Times New Roman" w:hAnsi="Times New Roman" w:eastAsia="仿宋_GB2312" w:cs="Times New Roman"/>
          <w:color w:val="auto"/>
          <w:kern w:val="2"/>
          <w:sz w:val="28"/>
          <w:szCs w:val="28"/>
          <w:lang w:val="en-US" w:eastAsia="zh-CN" w:bidi="ar-SA"/>
        </w:rPr>
        <w:t>规划面积为1.56公顷，主要为集镇东北部220国道南侧增加产业用地，占集镇用地总规模的2.88%。</w:t>
      </w:r>
    </w:p>
    <w:p>
      <w:pPr>
        <w:keepNext w:val="0"/>
        <w:keepLines w:val="0"/>
        <w:pageBreakBefore w:val="0"/>
        <w:widowControl w:val="0"/>
        <w:kinsoku/>
        <w:wordWrap/>
        <w:overflowPunct/>
        <w:topLinePunct w:val="0"/>
        <w:bidi w:val="0"/>
        <w:adjustRightInd/>
        <w:snapToGrid/>
        <w:spacing w:line="480" w:lineRule="exact"/>
        <w:ind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具体用地结构如下：</w:t>
      </w:r>
    </w:p>
    <w:p>
      <w:pPr>
        <w:keepNext w:val="0"/>
        <w:keepLines w:val="0"/>
        <w:pageBreakBefore w:val="0"/>
        <w:widowControl w:val="0"/>
        <w:kinsoku/>
        <w:wordWrap/>
        <w:overflowPunct/>
        <w:topLinePunct w:val="0"/>
        <w:bidi w:val="0"/>
        <w:adjustRightInd/>
        <w:snapToGrid/>
        <w:spacing w:line="480" w:lineRule="exact"/>
        <w:ind w:firstLine="560" w:firstLineChars="200"/>
        <w:jc w:val="center"/>
        <w:textAlignment w:val="auto"/>
        <w:rPr>
          <w:rFonts w:hint="eastAsia" w:ascii="Times New Roman" w:hAnsi="Times New Roman" w:eastAsia="仿宋_GB2312" w:cs="Times New Roman"/>
          <w:b/>
          <w:bCs/>
          <w:color w:val="auto"/>
          <w:kern w:val="2"/>
          <w:sz w:val="21"/>
          <w:szCs w:val="21"/>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  </w:t>
      </w:r>
      <w:bookmarkStart w:id="75" w:name="_Toc11621"/>
      <w:r>
        <w:rPr>
          <w:rFonts w:hint="eastAsia" w:ascii="Times New Roman" w:hAnsi="Times New Roman" w:eastAsia="仿宋_GB2312" w:cs="Times New Roman"/>
          <w:b/>
          <w:bCs/>
          <w:color w:val="auto"/>
          <w:kern w:val="2"/>
          <w:sz w:val="21"/>
          <w:szCs w:val="21"/>
          <w:lang w:val="en-US" w:eastAsia="zh-CN" w:bidi="ar-SA"/>
        </w:rPr>
        <w:t>表12-3平富乡集镇用地结构规划表</w:t>
      </w:r>
      <w:bookmarkEnd w:id="75"/>
    </w:p>
    <w:tbl>
      <w:tblPr>
        <w:tblStyle w:val="19"/>
        <w:tblW w:w="8179"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526"/>
        <w:gridCol w:w="867"/>
        <w:gridCol w:w="1086"/>
        <w:gridCol w:w="867"/>
        <w:gridCol w:w="1086"/>
        <w:gridCol w:w="993"/>
        <w:gridCol w:w="9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trPr>
        <w:tc>
          <w:tcPr>
            <w:tcW w:w="230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bookmarkStart w:id="76" w:name="_Toc29070"/>
            <w:r>
              <w:rPr>
                <w:rFonts w:hint="eastAsia" w:ascii="仿宋_GB2312" w:hAnsi="仿宋_GB2312" w:eastAsia="仿宋_GB2312" w:cs="仿宋_GB2312"/>
                <w:b w:val="0"/>
                <w:bCs w:val="0"/>
                <w:color w:val="auto"/>
                <w:kern w:val="2"/>
                <w:sz w:val="21"/>
                <w:szCs w:val="21"/>
                <w:lang w:val="en-US" w:eastAsia="zh-CN" w:bidi="ar-SA"/>
              </w:rPr>
              <w:t>用地分类</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规划基期年</w:t>
            </w:r>
          </w:p>
        </w:tc>
        <w:tc>
          <w:tcPr>
            <w:tcW w:w="1953"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规划目标年</w:t>
            </w:r>
          </w:p>
        </w:tc>
        <w:tc>
          <w:tcPr>
            <w:tcW w:w="1970"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目标年-基期年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trPr>
        <w:tc>
          <w:tcPr>
            <w:tcW w:w="230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面积</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比重</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面积</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比重</w:t>
            </w:r>
          </w:p>
        </w:tc>
        <w:tc>
          <w:tcPr>
            <w:tcW w:w="99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面积</w:t>
            </w:r>
          </w:p>
        </w:tc>
        <w:tc>
          <w:tcPr>
            <w:tcW w:w="97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比重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耕地</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21.32</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39.35%</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 xml:space="preserve">19.07 </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35.17%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 xml:space="preserve">-2.25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-4.18%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园地</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1.41</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2.60%</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 xml:space="preserve">0.41 </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0.75%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 xml:space="preserve">-1.00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-1.85%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林地</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6.17</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11.37%</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 xml:space="preserve">5.77 </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10.65%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 xml:space="preserve">-0.40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-0.72%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农业设施建设用地</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0.65</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1.20%</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 xml:space="preserve">0.18 </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0.33%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 xml:space="preserve">-0.47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-0.87%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居住用地</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12.34</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22.76%</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 xml:space="preserve">14.42 </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26.59%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 xml:space="preserve">2.08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3.83%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公共管理与公共服务用地</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2.29</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4.23%</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 xml:space="preserve">2.53 </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4.67%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 xml:space="preserve">0.24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0.44%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商业服务业用地</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0.09</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0.16%</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 xml:space="preserve">2.08 </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3.84%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 xml:space="preserve">1.99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3.68%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工矿用地</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0</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0.00%</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 xml:space="preserve">1.56 </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2.88%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 xml:space="preserve">1.56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2.88%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交通运输用地</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5.54</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10.21%</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 xml:space="preserve">5.88 </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10.85%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 xml:space="preserve">0.34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0.64%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公用设施用地</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0.26</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0.48%</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 xml:space="preserve">0.47 </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0.86%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 xml:space="preserve">0.21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0.38%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绿地与开敞空间用地</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0.14</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0.27%</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 xml:space="preserve">0.57 </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1.05%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 xml:space="preserve">0.43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0.78%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特殊用地</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0.13</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0.24%</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 xml:space="preserve">0.13 </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0.23%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-0.01%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留白用地</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2.56</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4.73%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 xml:space="preserve">0.00 </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 xml:space="preserve">-2.56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-4.73%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陆地水域</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0.93</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1.71%</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 xml:space="preserve">0.78 </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1.43%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 xml:space="preserve">-0.15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-0.28%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7"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其他土地</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0.38</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0.70%</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 xml:space="preserve">0.38 </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0.70%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总计</w:t>
            </w:r>
          </w:p>
        </w:tc>
        <w:tc>
          <w:tcPr>
            <w:tcW w:w="867"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54.21</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 xml:space="preserve">54.21 </w:t>
            </w:r>
          </w:p>
        </w:tc>
        <w:tc>
          <w:tcPr>
            <w:tcW w:w="108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 xml:space="preserve">0.00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仿宋_GB2312" w:hAnsi="仿宋_GB2312" w:eastAsia="仿宋_GB2312" w:cs="仿宋_GB2312"/>
                <w:b w:val="0"/>
                <w:bCs w:val="0"/>
                <w:color w:val="auto"/>
                <w:kern w:val="2"/>
                <w:sz w:val="21"/>
                <w:szCs w:val="21"/>
                <w:lang w:val="en-US" w:eastAsia="zh-CN" w:bidi="ar-SA"/>
              </w:rPr>
            </w:pPr>
            <w:r>
              <w:rPr>
                <w:rFonts w:hint="default" w:ascii="仿宋_GB2312" w:hAnsi="仿宋_GB2312" w:eastAsia="仿宋_GB2312" w:cs="仿宋_GB2312"/>
                <w:b w:val="0"/>
                <w:bCs w:val="0"/>
                <w:color w:val="auto"/>
                <w:kern w:val="2"/>
                <w:sz w:val="21"/>
                <w:szCs w:val="21"/>
                <w:lang w:val="en-US" w:eastAsia="zh-CN" w:bidi="ar-SA"/>
              </w:rPr>
              <w:t>0.00%</w:t>
            </w:r>
          </w:p>
        </w:tc>
      </w:tr>
    </w:tbl>
    <w:p>
      <w:pPr>
        <w:pStyle w:val="33"/>
        <w:spacing w:before="156" w:beforeLines="50" w:after="156" w:afterLines="50" w:line="520" w:lineRule="exact"/>
        <w:rPr>
          <w:rFonts w:hint="eastAsia" w:ascii="Times New Roman" w:hAnsi="Times New Roman"/>
          <w:color w:val="auto"/>
          <w:kern w:val="2"/>
          <w:szCs w:val="32"/>
          <w:lang w:val="en-US" w:eastAsia="zh-CN"/>
        </w:rPr>
      </w:pPr>
      <w:r>
        <w:rPr>
          <w:rFonts w:hint="eastAsia" w:ascii="Times New Roman" w:hAnsi="Times New Roman"/>
          <w:color w:val="auto"/>
          <w:kern w:val="2"/>
          <w:szCs w:val="32"/>
          <w:lang w:val="en-US" w:eastAsia="zh-CN"/>
        </w:rPr>
        <w:t>第四节 集镇道路交通规划</w:t>
      </w:r>
      <w:bookmarkEnd w:id="76"/>
    </w:p>
    <w:p>
      <w:pPr>
        <w:pStyle w:val="17"/>
        <w:pageBreakBefore w:val="0"/>
        <w:kinsoku/>
        <w:wordWrap/>
        <w:overflowPunct/>
        <w:topLinePunct w:val="0"/>
        <w:bidi w:val="0"/>
        <w:adjustRightInd/>
        <w:snapToGrid/>
        <w:spacing w:line="480" w:lineRule="exact"/>
        <w:ind w:left="0" w:leftChars="0" w:firstLine="562" w:firstLineChars="200"/>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一、对外交通规划</w:t>
      </w:r>
    </w:p>
    <w:p>
      <w:pPr>
        <w:pStyle w:val="18"/>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1、公路</w:t>
      </w:r>
    </w:p>
    <w:p>
      <w:pPr>
        <w:pStyle w:val="18"/>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平富乡集镇现状对外交通主要有220国道，现状道路红线宽度为9米；集镇内部主要道路宽度为9米。</w:t>
      </w:r>
    </w:p>
    <w:p>
      <w:pPr>
        <w:pStyle w:val="18"/>
        <w:keepNext w:val="0"/>
        <w:keepLines w:val="0"/>
        <w:pageBreakBefore w:val="0"/>
        <w:widowControl w:val="0"/>
        <w:numPr>
          <w:ilvl w:val="0"/>
          <w:numId w:val="17"/>
        </w:numPr>
        <w:kinsoku/>
        <w:wordWrap/>
        <w:overflowPunct/>
        <w:topLinePunct w:val="0"/>
        <w:autoSpaceDE/>
        <w:autoSpaceDN/>
        <w:bidi w:val="0"/>
        <w:adjustRightInd/>
        <w:snapToGrid/>
        <w:spacing w:beforeLines="0"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公交站</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平富现状无公交站点。</w:t>
      </w:r>
    </w:p>
    <w:p>
      <w:pPr>
        <w:pStyle w:val="17"/>
        <w:pageBreakBefore w:val="0"/>
        <w:kinsoku/>
        <w:wordWrap/>
        <w:overflowPunct/>
        <w:topLinePunct w:val="0"/>
        <w:bidi w:val="0"/>
        <w:adjustRightInd/>
        <w:snapToGrid/>
        <w:spacing w:line="480" w:lineRule="exact"/>
        <w:ind w:left="0" w:leftChars="0" w:firstLine="562" w:firstLineChars="200"/>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二、道路系统规划</w:t>
      </w:r>
    </w:p>
    <w:p>
      <w:pPr>
        <w:pStyle w:val="18"/>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道路系统称之为城镇的动脉和骨架，是一个城镇是否规划合理的重要因素。规划快速、顺畅、通达城镇道路网络。规划本次城镇道路等级分为三级，即干路、支路和巷路。</w:t>
      </w:r>
    </w:p>
    <w:p>
      <w:pPr>
        <w:keepNext w:val="0"/>
        <w:keepLines w:val="0"/>
        <w:pageBreakBefore w:val="0"/>
        <w:widowControl w:val="0"/>
        <w:kinsoku/>
        <w:wordWrap/>
        <w:overflowPunct/>
        <w:topLinePunct w:val="0"/>
        <w:bidi w:val="0"/>
        <w:adjustRightInd/>
        <w:snapToGrid/>
        <w:spacing w:line="480" w:lineRule="exact"/>
        <w:ind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规划形成“一主、两副、三支”的路网结构。 </w:t>
      </w:r>
    </w:p>
    <w:p>
      <w:pPr>
        <w:keepNext w:val="0"/>
        <w:keepLines w:val="0"/>
        <w:pageBreakBefore w:val="0"/>
        <w:widowControl w:val="0"/>
        <w:kinsoku/>
        <w:wordWrap/>
        <w:overflowPunct/>
        <w:topLinePunct w:val="0"/>
        <w:bidi w:val="0"/>
        <w:adjustRightInd/>
        <w:snapToGrid/>
        <w:spacing w:line="480" w:lineRule="exact"/>
        <w:ind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一主”：指220国道，是平富乡集镇对外连通的主通道，规划红线宽度拓宽到12米。“两副”：指南北向的主街以及南部组团东西向主街形成的两条集镇干路红线宽度拓宽至10米。“三支”：指南北两个组团内的三条集镇支路红线宽度规划为7米。其他道路主要为组团内部的巷道，红线宽度为4-6米。</w:t>
      </w:r>
    </w:p>
    <w:p>
      <w:pPr>
        <w:keepNext w:val="0"/>
        <w:keepLines w:val="0"/>
        <w:pageBreakBefore w:val="0"/>
        <w:widowControl w:val="0"/>
        <w:kinsoku/>
        <w:wordWrap/>
        <w:overflowPunct/>
        <w:topLinePunct w:val="0"/>
        <w:bidi w:val="0"/>
        <w:adjustRightInd/>
        <w:snapToGrid/>
        <w:spacing w:line="480" w:lineRule="exact"/>
        <w:ind w:firstLine="422" w:firstLineChars="200"/>
        <w:jc w:val="center"/>
        <w:textAlignment w:val="auto"/>
        <w:rPr>
          <w:rFonts w:hint="eastAsia" w:ascii="Times New Roman" w:hAnsi="Times New Roman" w:eastAsia="仿宋_GB2312" w:cs="Times New Roman"/>
          <w:b/>
          <w:bCs/>
          <w:color w:val="auto"/>
          <w:kern w:val="2"/>
          <w:sz w:val="21"/>
          <w:szCs w:val="21"/>
          <w:lang w:val="en-US" w:eastAsia="zh-CN" w:bidi="ar-SA"/>
        </w:rPr>
      </w:pPr>
      <w:r>
        <w:rPr>
          <w:rFonts w:hint="eastAsia" w:ascii="Times New Roman" w:hAnsi="Times New Roman" w:eastAsia="仿宋_GB2312" w:cs="Times New Roman"/>
          <w:b/>
          <w:bCs/>
          <w:color w:val="auto"/>
          <w:kern w:val="2"/>
          <w:sz w:val="21"/>
          <w:szCs w:val="21"/>
          <w:lang w:val="en-US" w:eastAsia="zh-CN" w:bidi="ar-SA"/>
        </w:rPr>
        <w:t>表12-5  规划主要道路一览表</w:t>
      </w:r>
    </w:p>
    <w:tbl>
      <w:tblPr>
        <w:tblStyle w:val="19"/>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53"/>
        <w:gridCol w:w="1103"/>
        <w:gridCol w:w="725"/>
        <w:gridCol w:w="875"/>
        <w:gridCol w:w="1970"/>
        <w:gridCol w:w="1046"/>
        <w:gridCol w:w="1031"/>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bCs/>
                <w:color w:val="auto"/>
                <w:kern w:val="2"/>
                <w:sz w:val="21"/>
                <w:szCs w:val="21"/>
                <w:lang w:val="en-US" w:eastAsia="zh-CN" w:bidi="ar-SA"/>
              </w:rPr>
            </w:pPr>
            <w:r>
              <w:rPr>
                <w:rFonts w:hint="eastAsia" w:ascii="仿宋_GB2312" w:hAnsi="仿宋_GB2312" w:eastAsia="仿宋_GB2312" w:cs="仿宋_GB2312"/>
                <w:b/>
                <w:bCs/>
                <w:color w:val="auto"/>
                <w:kern w:val="2"/>
                <w:sz w:val="21"/>
                <w:szCs w:val="21"/>
                <w:lang w:val="en-US" w:eastAsia="zh-CN" w:bidi="ar-SA"/>
              </w:rPr>
              <w:t>序号</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bCs/>
                <w:color w:val="auto"/>
                <w:kern w:val="2"/>
                <w:sz w:val="21"/>
                <w:szCs w:val="21"/>
                <w:lang w:val="en-US" w:eastAsia="zh-CN" w:bidi="ar-SA"/>
              </w:rPr>
            </w:pPr>
            <w:r>
              <w:rPr>
                <w:rFonts w:hint="eastAsia" w:ascii="仿宋_GB2312" w:hAnsi="仿宋_GB2312" w:eastAsia="仿宋_GB2312" w:cs="仿宋_GB2312"/>
                <w:b/>
                <w:bCs/>
                <w:color w:val="auto"/>
                <w:kern w:val="2"/>
                <w:sz w:val="21"/>
                <w:szCs w:val="21"/>
                <w:lang w:val="en-US" w:eastAsia="zh-CN" w:bidi="ar-SA"/>
              </w:rPr>
              <w:t>道路名称</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bCs/>
                <w:color w:val="auto"/>
                <w:kern w:val="2"/>
                <w:sz w:val="21"/>
                <w:szCs w:val="21"/>
                <w:lang w:val="en-US" w:eastAsia="zh-CN" w:bidi="ar-SA"/>
              </w:rPr>
            </w:pPr>
            <w:r>
              <w:rPr>
                <w:rFonts w:hint="eastAsia" w:ascii="仿宋_GB2312" w:hAnsi="仿宋_GB2312" w:eastAsia="仿宋_GB2312" w:cs="仿宋_GB2312"/>
                <w:b/>
                <w:bCs/>
                <w:color w:val="auto"/>
                <w:kern w:val="2"/>
                <w:sz w:val="21"/>
                <w:szCs w:val="21"/>
                <w:lang w:val="en-US" w:eastAsia="zh-CN" w:bidi="ar-SA"/>
              </w:rPr>
              <w:t>类别</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bCs/>
                <w:color w:val="auto"/>
                <w:kern w:val="2"/>
                <w:sz w:val="21"/>
                <w:szCs w:val="21"/>
                <w:lang w:val="en-US" w:eastAsia="zh-CN" w:bidi="ar-SA"/>
              </w:rPr>
            </w:pPr>
            <w:r>
              <w:rPr>
                <w:rFonts w:hint="eastAsia" w:ascii="仿宋_GB2312" w:hAnsi="仿宋_GB2312" w:eastAsia="仿宋_GB2312" w:cs="仿宋_GB2312"/>
                <w:b/>
                <w:bCs/>
                <w:color w:val="auto"/>
                <w:kern w:val="2"/>
                <w:sz w:val="21"/>
                <w:szCs w:val="21"/>
                <w:lang w:val="en-US" w:eastAsia="zh-CN" w:bidi="ar-SA"/>
              </w:rPr>
              <w:t>走向</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bCs/>
                <w:color w:val="auto"/>
                <w:kern w:val="2"/>
                <w:sz w:val="21"/>
                <w:szCs w:val="21"/>
                <w:lang w:val="en-US" w:eastAsia="zh-CN" w:bidi="ar-SA"/>
              </w:rPr>
            </w:pPr>
            <w:r>
              <w:rPr>
                <w:rFonts w:hint="eastAsia" w:ascii="仿宋_GB2312" w:hAnsi="仿宋_GB2312" w:eastAsia="仿宋_GB2312" w:cs="仿宋_GB2312"/>
                <w:b/>
                <w:bCs/>
                <w:color w:val="auto"/>
                <w:kern w:val="2"/>
                <w:sz w:val="21"/>
                <w:szCs w:val="21"/>
                <w:lang w:val="en-US" w:eastAsia="zh-CN" w:bidi="ar-SA"/>
              </w:rPr>
              <w:t>起讫点</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bCs/>
                <w:color w:val="auto"/>
                <w:kern w:val="2"/>
                <w:sz w:val="21"/>
                <w:szCs w:val="21"/>
                <w:lang w:val="en-US" w:eastAsia="zh-CN" w:bidi="ar-SA"/>
              </w:rPr>
            </w:pPr>
            <w:r>
              <w:rPr>
                <w:rFonts w:hint="eastAsia" w:ascii="仿宋_GB2312" w:hAnsi="仿宋_GB2312" w:eastAsia="仿宋_GB2312" w:cs="仿宋_GB2312"/>
                <w:b/>
                <w:bCs/>
                <w:color w:val="auto"/>
                <w:kern w:val="2"/>
                <w:sz w:val="21"/>
                <w:szCs w:val="21"/>
                <w:lang w:val="en-US" w:eastAsia="zh-CN" w:bidi="ar-SA"/>
              </w:rPr>
              <w:t>红线宽度 (米)</w:t>
            </w: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bCs/>
                <w:color w:val="auto"/>
                <w:kern w:val="2"/>
                <w:sz w:val="21"/>
                <w:szCs w:val="21"/>
                <w:lang w:val="en-US" w:eastAsia="zh-CN" w:bidi="ar-SA"/>
              </w:rPr>
            </w:pPr>
            <w:r>
              <w:rPr>
                <w:rFonts w:hint="eastAsia" w:ascii="仿宋_GB2312" w:hAnsi="仿宋_GB2312" w:eastAsia="仿宋_GB2312" w:cs="仿宋_GB2312"/>
                <w:b/>
                <w:bCs/>
                <w:color w:val="auto"/>
                <w:kern w:val="2"/>
                <w:sz w:val="21"/>
                <w:szCs w:val="21"/>
                <w:lang w:val="en-US" w:eastAsia="zh-CN" w:bidi="ar-SA"/>
              </w:rPr>
              <w:t>断面形式</w:t>
            </w:r>
          </w:p>
        </w:tc>
        <w:tc>
          <w:tcPr>
            <w:tcW w:w="7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bCs/>
                <w:color w:val="auto"/>
                <w:kern w:val="2"/>
                <w:sz w:val="21"/>
                <w:szCs w:val="21"/>
                <w:lang w:val="en-US" w:eastAsia="zh-CN" w:bidi="ar-SA"/>
              </w:rPr>
            </w:pPr>
            <w:r>
              <w:rPr>
                <w:rFonts w:hint="eastAsia" w:ascii="仿宋_GB2312" w:hAnsi="仿宋_GB2312" w:eastAsia="仿宋_GB2312" w:cs="仿宋_GB2312"/>
                <w:b/>
                <w:bCs/>
                <w:color w:val="auto"/>
                <w:kern w:val="2"/>
                <w:sz w:val="21"/>
                <w:szCs w:val="21"/>
                <w:lang w:val="en-US" w:eastAsia="zh-CN" w:bidi="ar-SA"/>
              </w:rPr>
              <w:t>标准横断面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1</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G220</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国道</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南北向</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12</w:t>
            </w: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一块板</w:t>
            </w:r>
          </w:p>
        </w:tc>
        <w:tc>
          <w:tcPr>
            <w:tcW w:w="7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1.5+9+1.5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2</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平富大道</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干路</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南北向</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both"/>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平富一桥～集镇南</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10</w:t>
            </w: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一块板</w:t>
            </w:r>
          </w:p>
        </w:tc>
        <w:tc>
          <w:tcPr>
            <w:tcW w:w="7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1.5+7+1.5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3</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向前大道</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干路</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东西向</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G220～虎头大桥</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10</w:t>
            </w: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一块板</w:t>
            </w:r>
          </w:p>
        </w:tc>
        <w:tc>
          <w:tcPr>
            <w:tcW w:w="7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1.5+7+1.5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4</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庄前路</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支路</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东西向</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G220～上曾屋组</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7</w:t>
            </w: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一块板</w:t>
            </w:r>
          </w:p>
        </w:tc>
        <w:tc>
          <w:tcPr>
            <w:tcW w:w="7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5</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庄合路</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支路</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东北向</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G220～石子组</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7</w:t>
            </w: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一块板</w:t>
            </w:r>
          </w:p>
        </w:tc>
        <w:tc>
          <w:tcPr>
            <w:tcW w:w="7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3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6</w:t>
            </w:r>
          </w:p>
        </w:tc>
        <w:tc>
          <w:tcPr>
            <w:tcW w:w="6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上寨路</w:t>
            </w:r>
          </w:p>
        </w:tc>
        <w:tc>
          <w:tcPr>
            <w:tcW w:w="4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支路</w:t>
            </w:r>
          </w:p>
        </w:tc>
        <w:tc>
          <w:tcPr>
            <w:tcW w:w="5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东西向</w:t>
            </w:r>
          </w:p>
        </w:tc>
        <w:tc>
          <w:tcPr>
            <w:tcW w:w="1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G220～平富大道</w:t>
            </w:r>
          </w:p>
        </w:tc>
        <w:tc>
          <w:tcPr>
            <w:tcW w:w="6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7</w:t>
            </w:r>
          </w:p>
        </w:tc>
        <w:tc>
          <w:tcPr>
            <w:tcW w:w="6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一块板</w:t>
            </w:r>
          </w:p>
        </w:tc>
        <w:tc>
          <w:tcPr>
            <w:tcW w:w="7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仿宋_GB2312" w:hAnsi="仿宋_GB2312" w:eastAsia="仿宋_GB2312" w:cs="仿宋_GB2312"/>
                <w:b w:val="0"/>
                <w:bCs w:val="0"/>
                <w:color w:val="auto"/>
                <w:kern w:val="2"/>
                <w:sz w:val="21"/>
                <w:szCs w:val="21"/>
                <w:lang w:val="en-US" w:eastAsia="zh-CN" w:bidi="ar-SA"/>
              </w:rPr>
            </w:pPr>
            <w:r>
              <w:rPr>
                <w:rFonts w:hint="eastAsia" w:ascii="仿宋_GB2312" w:hAnsi="仿宋_GB2312" w:eastAsia="仿宋_GB2312" w:cs="仿宋_GB2312"/>
                <w:b w:val="0"/>
                <w:bCs w:val="0"/>
                <w:color w:val="auto"/>
                <w:kern w:val="2"/>
                <w:sz w:val="21"/>
                <w:szCs w:val="21"/>
                <w:lang w:val="en-US" w:eastAsia="zh-CN" w:bidi="ar-SA"/>
              </w:rPr>
              <w:t>7</w:t>
            </w:r>
          </w:p>
        </w:tc>
      </w:tr>
    </w:tbl>
    <w:p>
      <w:pPr>
        <w:pStyle w:val="18"/>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rPr>
          <w:rFonts w:hint="default"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 </w:t>
      </w:r>
      <w:r>
        <w:rPr>
          <w:rFonts w:hint="eastAsia" w:ascii="Times New Roman" w:hAnsi="Times New Roman" w:eastAsia="仿宋_GB2312" w:cs="Times New Roman"/>
          <w:b/>
          <w:bCs/>
          <w:color w:val="auto"/>
          <w:kern w:val="2"/>
          <w:sz w:val="28"/>
          <w:szCs w:val="28"/>
          <w:lang w:val="en-US" w:eastAsia="zh-CN" w:bidi="ar-SA"/>
        </w:rPr>
        <w:t>三、交通设施规划</w:t>
      </w:r>
    </w:p>
    <w:p>
      <w:pPr>
        <w:keepNext w:val="0"/>
        <w:keepLines w:val="0"/>
        <w:pageBreakBefore w:val="0"/>
        <w:widowControl w:val="0"/>
        <w:kinsoku/>
        <w:wordWrap/>
        <w:overflowPunct/>
        <w:topLinePunct w:val="0"/>
        <w:bidi w:val="0"/>
        <w:adjustRightInd/>
        <w:snapToGrid/>
        <w:spacing w:line="480" w:lineRule="exact"/>
        <w:ind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规划在集镇东部设置1处社会停车场和1处公交站场，对于集镇的大型公共设施规划要求设专用停车场。 </w:t>
      </w:r>
    </w:p>
    <w:p>
      <w:pPr>
        <w:pStyle w:val="17"/>
        <w:pageBreakBefore w:val="0"/>
        <w:kinsoku/>
        <w:wordWrap/>
        <w:overflowPunct/>
        <w:topLinePunct w:val="0"/>
        <w:bidi w:val="0"/>
        <w:adjustRightInd/>
        <w:snapToGrid/>
        <w:spacing w:line="480" w:lineRule="exact"/>
        <w:ind w:left="0" w:leftChars="0" w:firstLine="562" w:firstLineChars="200"/>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四、道路竖向规划</w:t>
      </w:r>
    </w:p>
    <w:p>
      <w:pPr>
        <w:keepNext w:val="0"/>
        <w:keepLines w:val="0"/>
        <w:pageBreakBefore w:val="0"/>
        <w:widowControl w:val="0"/>
        <w:kinsoku/>
        <w:wordWrap/>
        <w:overflowPunct/>
        <w:topLinePunct w:val="0"/>
        <w:bidi w:val="0"/>
        <w:adjustRightInd/>
        <w:snapToGrid/>
        <w:spacing w:line="480" w:lineRule="exact"/>
        <w:ind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1）规划原则</w:t>
      </w:r>
    </w:p>
    <w:p>
      <w:pPr>
        <w:keepNext w:val="0"/>
        <w:keepLines w:val="0"/>
        <w:pageBreakBefore w:val="0"/>
        <w:widowControl w:val="0"/>
        <w:kinsoku/>
        <w:wordWrap/>
        <w:overflowPunct/>
        <w:topLinePunct w:val="0"/>
        <w:bidi w:val="0"/>
        <w:adjustRightInd/>
        <w:snapToGrid/>
        <w:spacing w:line="480" w:lineRule="exact"/>
        <w:ind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① 充分利用自然地形地貌，减少土石方工程量。</w:t>
      </w:r>
    </w:p>
    <w:p>
      <w:pPr>
        <w:keepNext w:val="0"/>
        <w:keepLines w:val="0"/>
        <w:pageBreakBefore w:val="0"/>
        <w:widowControl w:val="0"/>
        <w:kinsoku/>
        <w:wordWrap/>
        <w:overflowPunct/>
        <w:topLinePunct w:val="0"/>
        <w:bidi w:val="0"/>
        <w:adjustRightInd/>
        <w:snapToGrid/>
        <w:spacing w:line="480" w:lineRule="exact"/>
        <w:ind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② 有利于地面排水及综合考虑防洪、排涝规划。</w:t>
      </w:r>
    </w:p>
    <w:p>
      <w:pPr>
        <w:keepNext w:val="0"/>
        <w:keepLines w:val="0"/>
        <w:pageBreakBefore w:val="0"/>
        <w:widowControl w:val="0"/>
        <w:kinsoku/>
        <w:wordWrap/>
        <w:overflowPunct/>
        <w:topLinePunct w:val="0"/>
        <w:bidi w:val="0"/>
        <w:adjustRightInd/>
        <w:snapToGrid/>
        <w:spacing w:line="480" w:lineRule="exact"/>
        <w:ind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③ 有利于建筑布置、工程管线敷设及景观环境设计。</w:t>
      </w:r>
    </w:p>
    <w:p>
      <w:pPr>
        <w:keepNext w:val="0"/>
        <w:keepLines w:val="0"/>
        <w:pageBreakBefore w:val="0"/>
        <w:widowControl w:val="0"/>
        <w:kinsoku/>
        <w:wordWrap/>
        <w:overflowPunct/>
        <w:topLinePunct w:val="0"/>
        <w:bidi w:val="0"/>
        <w:adjustRightInd/>
        <w:snapToGrid/>
        <w:spacing w:line="480" w:lineRule="exact"/>
        <w:ind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④ 符合道路、广场等设计坡度要求。</w:t>
      </w:r>
    </w:p>
    <w:p>
      <w:pPr>
        <w:keepNext w:val="0"/>
        <w:keepLines w:val="0"/>
        <w:pageBreakBefore w:val="0"/>
        <w:widowControl w:val="0"/>
        <w:kinsoku/>
        <w:wordWrap/>
        <w:overflowPunct/>
        <w:topLinePunct w:val="0"/>
        <w:bidi w:val="0"/>
        <w:adjustRightInd/>
        <w:snapToGrid/>
        <w:spacing w:line="480" w:lineRule="exact"/>
        <w:ind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2）竖向规划</w:t>
      </w:r>
    </w:p>
    <w:p>
      <w:pPr>
        <w:keepNext w:val="0"/>
        <w:keepLines w:val="0"/>
        <w:pageBreakBefore w:val="0"/>
        <w:widowControl w:val="0"/>
        <w:kinsoku/>
        <w:wordWrap/>
        <w:overflowPunct/>
        <w:topLinePunct w:val="0"/>
        <w:bidi w:val="0"/>
        <w:adjustRightInd/>
        <w:snapToGrid/>
        <w:spacing w:line="480" w:lineRule="exact"/>
        <w:ind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① 道路中心线交叉点坐标确定：规划以上犹垦殖场场区地形图所确定的坐标系统为依据，分别确定各道路中心线交叉点及转折点的坐标。</w:t>
      </w:r>
    </w:p>
    <w:p>
      <w:pPr>
        <w:keepNext w:val="0"/>
        <w:keepLines w:val="0"/>
        <w:pageBreakBefore w:val="0"/>
        <w:widowControl w:val="0"/>
        <w:kinsoku/>
        <w:wordWrap/>
        <w:overflowPunct/>
        <w:topLinePunct w:val="0"/>
        <w:bidi w:val="0"/>
        <w:adjustRightInd/>
        <w:snapToGrid/>
        <w:spacing w:line="480" w:lineRule="exact"/>
        <w:ind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② 道路中心线交叉点标高确定：规划以现状平富大道、G220的设计高程为参照点，根据地形条件，考虑土石方平衡，合理确定其他各道路交叉点高程。</w:t>
      </w:r>
    </w:p>
    <w:p>
      <w:pPr>
        <w:keepNext w:val="0"/>
        <w:keepLines w:val="0"/>
        <w:pageBreakBefore w:val="0"/>
        <w:widowControl w:val="0"/>
        <w:kinsoku/>
        <w:wordWrap/>
        <w:overflowPunct/>
        <w:topLinePunct w:val="0"/>
        <w:bidi w:val="0"/>
        <w:adjustRightInd/>
        <w:snapToGrid/>
        <w:spacing w:line="480" w:lineRule="exact"/>
        <w:ind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③ 除现状建成道路外，规划道路纵坡控制在2‰—3%之间，若由于地形原因不能满足要求的，按国家规范中的最低指标进行控制。</w:t>
      </w:r>
    </w:p>
    <w:p>
      <w:pPr>
        <w:keepNext w:val="0"/>
        <w:keepLines w:val="0"/>
        <w:pageBreakBefore w:val="0"/>
        <w:widowControl w:val="0"/>
        <w:kinsoku/>
        <w:wordWrap/>
        <w:overflowPunct/>
        <w:topLinePunct w:val="0"/>
        <w:bidi w:val="0"/>
        <w:adjustRightInd/>
        <w:snapToGrid/>
        <w:spacing w:line="480" w:lineRule="exact"/>
        <w:ind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④ 道路车行道横坡控制在1—1.5%之间，人行道横坡控制在1.5%。</w:t>
      </w:r>
    </w:p>
    <w:p>
      <w:pPr>
        <w:keepNext w:val="0"/>
        <w:keepLines w:val="0"/>
        <w:pageBreakBefore w:val="0"/>
        <w:widowControl w:val="0"/>
        <w:kinsoku/>
        <w:wordWrap/>
        <w:overflowPunct/>
        <w:topLinePunct w:val="0"/>
        <w:bidi w:val="0"/>
        <w:adjustRightInd/>
        <w:snapToGrid/>
        <w:spacing w:line="480" w:lineRule="exact"/>
        <w:ind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⑤ 各地块设计高程应高于相邻道路0.2米以上。</w:t>
      </w:r>
    </w:p>
    <w:p>
      <w:pPr>
        <w:keepNext w:val="0"/>
        <w:keepLines w:val="0"/>
        <w:pageBreakBefore w:val="0"/>
        <w:widowControl w:val="0"/>
        <w:kinsoku/>
        <w:wordWrap/>
        <w:overflowPunct/>
        <w:topLinePunct w:val="0"/>
        <w:bidi w:val="0"/>
        <w:adjustRightInd/>
        <w:snapToGrid/>
        <w:spacing w:line="480" w:lineRule="exact"/>
        <w:ind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⑥ 道路缘石半径：根据道路红线宽度，相应确定道路缘石转弯半径，本次规划控制在6—15m之间。</w:t>
      </w:r>
    </w:p>
    <w:p>
      <w:pPr>
        <w:keepNext w:val="0"/>
        <w:keepLines w:val="0"/>
        <w:pageBreakBefore w:val="0"/>
        <w:widowControl w:val="0"/>
        <w:kinsoku/>
        <w:wordWrap/>
        <w:overflowPunct/>
        <w:topLinePunct w:val="0"/>
        <w:bidi w:val="0"/>
        <w:adjustRightInd/>
        <w:snapToGrid/>
        <w:spacing w:line="480" w:lineRule="exact"/>
        <w:ind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⑦ 规划采用提供的1：1000地形图所确定的高程系和坐标系，详见《道路竖向规划图》。</w:t>
      </w:r>
    </w:p>
    <w:p>
      <w:pPr>
        <w:pStyle w:val="33"/>
        <w:spacing w:before="156" w:beforeLines="50" w:after="156" w:afterLines="50" w:line="520" w:lineRule="exact"/>
        <w:rPr>
          <w:rFonts w:hint="eastAsia" w:ascii="Times New Roman" w:hAnsi="Times New Roman"/>
          <w:color w:val="auto"/>
          <w:kern w:val="2"/>
          <w:szCs w:val="32"/>
          <w:lang w:val="en-US" w:eastAsia="zh-CN"/>
        </w:rPr>
      </w:pPr>
      <w:bookmarkStart w:id="77" w:name="_Toc674"/>
      <w:r>
        <w:rPr>
          <w:rFonts w:hint="eastAsia" w:ascii="Times New Roman" w:hAnsi="Times New Roman"/>
          <w:color w:val="auto"/>
          <w:kern w:val="2"/>
          <w:szCs w:val="32"/>
          <w:lang w:val="en-US" w:eastAsia="zh-CN"/>
        </w:rPr>
        <w:t>第五节 集镇公共服务设施规划</w:t>
      </w:r>
      <w:bookmarkEnd w:id="77"/>
    </w:p>
    <w:p>
      <w:pPr>
        <w:pStyle w:val="17"/>
        <w:pageBreakBefore w:val="0"/>
        <w:kinsoku/>
        <w:wordWrap/>
        <w:overflowPunct/>
        <w:topLinePunct w:val="0"/>
        <w:bidi w:val="0"/>
        <w:adjustRightInd/>
        <w:snapToGrid/>
        <w:spacing w:line="480" w:lineRule="exact"/>
        <w:ind w:left="0" w:leftChars="0" w:firstLine="562" w:firstLineChars="200"/>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 xml:space="preserve">一、文化设施 </w:t>
      </w:r>
    </w:p>
    <w:p>
      <w:pPr>
        <w:keepNext w:val="0"/>
        <w:keepLines w:val="0"/>
        <w:pageBreakBefore w:val="0"/>
        <w:widowControl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1、现状概况</w:t>
      </w:r>
    </w:p>
    <w:p>
      <w:pPr>
        <w:keepNext w:val="0"/>
        <w:keepLines w:val="0"/>
        <w:pageBreakBefore w:val="0"/>
        <w:widowControl/>
        <w:suppressLineNumbers w:val="0"/>
        <w:kinsoku/>
        <w:wordWrap/>
        <w:overflowPunct/>
        <w:topLinePunct w:val="0"/>
        <w:bidi w:val="0"/>
        <w:adjustRightInd/>
        <w:snapToGrid/>
        <w:spacing w:line="480" w:lineRule="exact"/>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集镇现状有文化站1所，结合乡政府设置。</w:t>
      </w:r>
    </w:p>
    <w:p>
      <w:pPr>
        <w:pStyle w:val="17"/>
        <w:keepNext w:val="0"/>
        <w:keepLines w:val="0"/>
        <w:pageBreakBefore w:val="0"/>
        <w:kinsoku/>
        <w:wordWrap/>
        <w:overflowPunct/>
        <w:topLinePunct w:val="0"/>
        <w:bidi w:val="0"/>
        <w:adjustRightInd/>
        <w:snapToGrid/>
        <w:spacing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2、集镇文化设施规划</w:t>
      </w:r>
    </w:p>
    <w:p>
      <w:pPr>
        <w:keepNext w:val="0"/>
        <w:keepLines w:val="0"/>
        <w:pageBreakBefore w:val="0"/>
        <w:widowControl w:val="0"/>
        <w:kinsoku/>
        <w:wordWrap/>
        <w:overflowPunct/>
        <w:topLinePunct w:val="0"/>
        <w:bidi w:val="0"/>
        <w:adjustRightInd/>
        <w:snapToGrid/>
        <w:spacing w:line="480" w:lineRule="exact"/>
        <w:jc w:val="left"/>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至2035年，规划集镇文化等社区公共服务设施15分钟步行可达覆盖率达到90%。</w:t>
      </w:r>
    </w:p>
    <w:p>
      <w:pPr>
        <w:keepNext w:val="0"/>
        <w:keepLines w:val="0"/>
        <w:pageBreakBefore w:val="0"/>
        <w:widowControl w:val="0"/>
        <w:kinsoku/>
        <w:wordWrap/>
        <w:overflowPunct/>
        <w:topLinePunct w:val="0"/>
        <w:bidi w:val="0"/>
        <w:adjustRightInd/>
        <w:snapToGrid/>
        <w:spacing w:line="480" w:lineRule="exact"/>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规划保留平富乡集镇现状文化站，增加设施。作为全乡文化活动中心，完善文化活动站建设，满足居民和游客的文化活动需求，开展图书阅览、科普知识宣传与教育、影视厅、舞厅、游艺厅、球类、棋类、科技与艺术等活动；宜包括儿童之家服务功能。</w:t>
      </w:r>
    </w:p>
    <w:p>
      <w:pPr>
        <w:pStyle w:val="17"/>
        <w:pageBreakBefore w:val="0"/>
        <w:kinsoku/>
        <w:wordWrap/>
        <w:overflowPunct/>
        <w:topLinePunct w:val="0"/>
        <w:bidi w:val="0"/>
        <w:adjustRightInd/>
        <w:snapToGrid/>
        <w:spacing w:line="480" w:lineRule="exact"/>
        <w:ind w:left="0" w:leftChars="0" w:firstLine="562" w:firstLineChars="200"/>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 xml:space="preserve">二、教育设施 </w:t>
      </w:r>
    </w:p>
    <w:p>
      <w:pPr>
        <w:keepNext w:val="0"/>
        <w:keepLines w:val="0"/>
        <w:pageBreakBefore w:val="0"/>
        <w:widowControl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1、现状概况</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集镇内现状有各类学校2所（幼儿园1所，九年制学校1所）。</w:t>
      </w:r>
    </w:p>
    <w:p>
      <w:pPr>
        <w:keepNext w:val="0"/>
        <w:keepLines w:val="0"/>
        <w:pageBreakBefore w:val="0"/>
        <w:widowControl w:val="0"/>
        <w:kinsoku/>
        <w:wordWrap/>
        <w:overflowPunct/>
        <w:topLinePunct w:val="0"/>
        <w:bidi w:val="0"/>
        <w:adjustRightInd/>
        <w:snapToGrid/>
        <w:spacing w:line="480" w:lineRule="exact"/>
        <w:ind w:firstLine="422" w:firstLineChars="200"/>
        <w:jc w:val="center"/>
        <w:textAlignment w:val="auto"/>
        <w:rPr>
          <w:rFonts w:hint="eastAsia" w:ascii="Times New Roman" w:hAnsi="Times New Roman" w:eastAsia="仿宋_GB2312" w:cs="Times New Roman"/>
          <w:b/>
          <w:bCs/>
          <w:color w:val="auto"/>
          <w:kern w:val="2"/>
          <w:sz w:val="21"/>
          <w:szCs w:val="21"/>
          <w:lang w:val="en-US" w:eastAsia="zh-CN" w:bidi="ar-SA"/>
        </w:rPr>
      </w:pPr>
      <w:r>
        <w:rPr>
          <w:rFonts w:hint="eastAsia" w:ascii="Times New Roman" w:hAnsi="Times New Roman" w:eastAsia="仿宋_GB2312" w:cs="Times New Roman"/>
          <w:b/>
          <w:bCs/>
          <w:color w:val="auto"/>
          <w:kern w:val="2"/>
          <w:sz w:val="21"/>
          <w:szCs w:val="21"/>
          <w:lang w:val="en-US" w:eastAsia="zh-CN" w:bidi="ar-SA"/>
        </w:rPr>
        <w:t>表12-6  现状集镇教育设施一览表</w:t>
      </w:r>
    </w:p>
    <w:tbl>
      <w:tblPr>
        <w:tblStyle w:val="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44"/>
        <w:gridCol w:w="1794"/>
        <w:gridCol w:w="2069"/>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344" w:type="dxa"/>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Times New Roman" w:hAnsi="Times New Roman" w:eastAsia="仿宋_GB2312" w:cs="Times New Roman"/>
                <w:b/>
                <w:bCs/>
                <w:color w:val="auto"/>
                <w:kern w:val="2"/>
                <w:sz w:val="21"/>
                <w:szCs w:val="21"/>
                <w:lang w:val="en-US" w:eastAsia="zh-CN" w:bidi="ar-SA"/>
              </w:rPr>
            </w:pPr>
            <w:r>
              <w:rPr>
                <w:rFonts w:hint="eastAsia" w:ascii="Times New Roman" w:hAnsi="Times New Roman" w:eastAsia="仿宋_GB2312" w:cs="Times New Roman"/>
                <w:b/>
                <w:bCs/>
                <w:color w:val="auto"/>
                <w:kern w:val="2"/>
                <w:sz w:val="21"/>
                <w:szCs w:val="21"/>
                <w:lang w:val="en-US" w:eastAsia="zh-CN" w:bidi="ar-SA"/>
              </w:rPr>
              <w:t>教育设施</w:t>
            </w:r>
          </w:p>
        </w:tc>
        <w:tc>
          <w:tcPr>
            <w:tcW w:w="1794" w:type="dxa"/>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Times New Roman" w:hAnsi="Times New Roman" w:eastAsia="仿宋_GB2312" w:cs="Times New Roman"/>
                <w:b/>
                <w:bCs/>
                <w:color w:val="auto"/>
                <w:kern w:val="2"/>
                <w:sz w:val="21"/>
                <w:szCs w:val="21"/>
                <w:lang w:val="en-US" w:eastAsia="zh-CN" w:bidi="ar-SA"/>
              </w:rPr>
            </w:pPr>
            <w:r>
              <w:rPr>
                <w:rFonts w:hint="eastAsia" w:ascii="Times New Roman" w:hAnsi="Times New Roman" w:eastAsia="仿宋_GB2312" w:cs="Times New Roman"/>
                <w:b/>
                <w:bCs/>
                <w:color w:val="auto"/>
                <w:kern w:val="2"/>
                <w:sz w:val="21"/>
                <w:szCs w:val="21"/>
                <w:lang w:val="en-US" w:eastAsia="zh-CN" w:bidi="ar-SA"/>
              </w:rPr>
              <w:t>用地面积（公顷）</w:t>
            </w:r>
          </w:p>
        </w:tc>
        <w:tc>
          <w:tcPr>
            <w:tcW w:w="2069" w:type="dxa"/>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Times New Roman" w:hAnsi="Times New Roman" w:eastAsia="仿宋_GB2312" w:cs="Times New Roman"/>
                <w:b/>
                <w:bCs/>
                <w:color w:val="auto"/>
                <w:kern w:val="2"/>
                <w:sz w:val="21"/>
                <w:szCs w:val="21"/>
                <w:lang w:val="en-US" w:eastAsia="zh-CN" w:bidi="ar-SA"/>
              </w:rPr>
            </w:pPr>
            <w:r>
              <w:rPr>
                <w:rFonts w:hint="eastAsia" w:ascii="Times New Roman" w:hAnsi="Times New Roman" w:eastAsia="仿宋_GB2312" w:cs="Times New Roman"/>
                <w:b/>
                <w:bCs/>
                <w:color w:val="auto"/>
                <w:kern w:val="2"/>
                <w:sz w:val="21"/>
                <w:szCs w:val="21"/>
                <w:lang w:val="en-US" w:eastAsia="zh-CN" w:bidi="ar-SA"/>
              </w:rPr>
              <w:t>职工人数</w:t>
            </w:r>
          </w:p>
        </w:tc>
        <w:tc>
          <w:tcPr>
            <w:tcW w:w="2070" w:type="dxa"/>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Times New Roman" w:hAnsi="Times New Roman" w:eastAsia="仿宋_GB2312" w:cs="Times New Roman"/>
                <w:b/>
                <w:bCs/>
                <w:color w:val="auto"/>
                <w:kern w:val="2"/>
                <w:sz w:val="21"/>
                <w:szCs w:val="21"/>
                <w:lang w:val="en-US" w:eastAsia="zh-CN" w:bidi="ar-SA"/>
              </w:rPr>
            </w:pPr>
            <w:r>
              <w:rPr>
                <w:rFonts w:hint="eastAsia" w:ascii="Times New Roman" w:hAnsi="Times New Roman" w:eastAsia="仿宋_GB2312" w:cs="Times New Roman"/>
                <w:b/>
                <w:bCs/>
                <w:color w:val="auto"/>
                <w:kern w:val="2"/>
                <w:sz w:val="21"/>
                <w:szCs w:val="21"/>
                <w:lang w:val="en-US" w:eastAsia="zh-CN" w:bidi="ar-SA"/>
              </w:rPr>
              <w:t>班级数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2344" w:type="dxa"/>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平富学校（九年制）</w:t>
            </w:r>
          </w:p>
        </w:tc>
        <w:tc>
          <w:tcPr>
            <w:tcW w:w="1794" w:type="dxa"/>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1.05</w:t>
            </w:r>
          </w:p>
        </w:tc>
        <w:tc>
          <w:tcPr>
            <w:tcW w:w="2069" w:type="dxa"/>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30</w:t>
            </w:r>
          </w:p>
        </w:tc>
        <w:tc>
          <w:tcPr>
            <w:tcW w:w="2070" w:type="dxa"/>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小学3班，中学3班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2344" w:type="dxa"/>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平富中心幼儿园</w:t>
            </w:r>
          </w:p>
        </w:tc>
        <w:tc>
          <w:tcPr>
            <w:tcW w:w="1794" w:type="dxa"/>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0.26</w:t>
            </w:r>
          </w:p>
        </w:tc>
        <w:tc>
          <w:tcPr>
            <w:tcW w:w="2069" w:type="dxa"/>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32</w:t>
            </w:r>
          </w:p>
        </w:tc>
        <w:tc>
          <w:tcPr>
            <w:tcW w:w="2070" w:type="dxa"/>
          </w:tcPr>
          <w:p>
            <w:pPr>
              <w:pStyle w:val="17"/>
              <w:keepNext w:val="0"/>
              <w:keepLines w:val="0"/>
              <w:pageBreakBefore w:val="0"/>
              <w:kinsoku/>
              <w:wordWrap/>
              <w:overflowPunct/>
              <w:topLinePunct w:val="0"/>
              <w:bidi w:val="0"/>
              <w:adjustRightInd/>
              <w:snapToGrid/>
              <w:spacing w:line="480" w:lineRule="exact"/>
              <w:ind w:left="0" w:leftChars="0" w:firstLine="0" w:firstLineChars="0"/>
              <w:jc w:val="center"/>
              <w:textAlignment w:val="auto"/>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3班</w:t>
            </w:r>
          </w:p>
        </w:tc>
      </w:tr>
    </w:tbl>
    <w:p>
      <w:pPr>
        <w:pStyle w:val="17"/>
        <w:keepNext w:val="0"/>
        <w:keepLines w:val="0"/>
        <w:pageBreakBefore w:val="0"/>
        <w:kinsoku/>
        <w:wordWrap/>
        <w:overflowPunct/>
        <w:topLinePunct w:val="0"/>
        <w:bidi w:val="0"/>
        <w:adjustRightInd/>
        <w:snapToGrid/>
        <w:spacing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2、集镇教育设施规划</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（1）幼儿教育</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至2035年，规划改造集镇幼儿园，幼儿园班级数3班</w:t>
      </w:r>
      <w:r>
        <w:rPr>
          <w:rFonts w:hint="eastAsia" w:ascii="仿宋" w:hAnsi="仿宋" w:eastAsia="仿宋" w:cs="仿宋"/>
          <w:color w:val="000000" w:themeColor="text1"/>
          <w:kern w:val="0"/>
          <w:sz w:val="28"/>
          <w:szCs w:val="28"/>
          <w:lang w:val="en-US" w:eastAsia="zh-CN" w:bidi="ar"/>
          <w14:textFill>
            <w14:solidFill>
              <w14:schemeClr w14:val="tx1"/>
            </w14:solidFill>
          </w14:textFill>
        </w:rPr>
        <w:t>，提升教学设施品质</w:t>
      </w:r>
      <w:r>
        <w:rPr>
          <w:rFonts w:hint="eastAsia" w:ascii="Times New Roman" w:hAnsi="Times New Roman" w:eastAsia="仿宋_GB2312" w:cs="Times New Roman"/>
          <w:color w:val="auto"/>
          <w:kern w:val="2"/>
          <w:sz w:val="28"/>
          <w:szCs w:val="28"/>
          <w:lang w:val="en-US" w:eastAsia="zh-CN" w:bidi="ar-SA"/>
        </w:rPr>
        <w:t xml:space="preserve">。 </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（2）中小学</w:t>
      </w:r>
    </w:p>
    <w:p>
      <w:pPr>
        <w:keepNext w:val="0"/>
        <w:keepLines w:val="0"/>
        <w:pageBreakBefore w:val="0"/>
        <w:widowControl/>
        <w:suppressLineNumbers w:val="0"/>
        <w:kinsoku/>
        <w:wordWrap/>
        <w:overflowPunct/>
        <w:topLinePunct w:val="0"/>
        <w:bidi w:val="0"/>
        <w:adjustRightInd/>
        <w:snapToGrid/>
        <w:spacing w:line="480" w:lineRule="exact"/>
        <w:jc w:val="left"/>
        <w:textAlignment w:val="auto"/>
        <w:rPr>
          <w:rFonts w:hint="eastAsia"/>
          <w:color w:val="auto"/>
          <w:lang w:val="en-US" w:eastAsia="zh-CN"/>
        </w:rPr>
      </w:pPr>
      <w:r>
        <w:rPr>
          <w:rFonts w:hint="eastAsia" w:ascii="Times New Roman" w:hAnsi="Times New Roman" w:eastAsia="仿宋_GB2312" w:cs="Times New Roman"/>
          <w:color w:val="auto"/>
          <w:kern w:val="2"/>
          <w:sz w:val="28"/>
          <w:szCs w:val="28"/>
          <w:lang w:val="en-US" w:eastAsia="zh-CN" w:bidi="ar-SA"/>
        </w:rPr>
        <w:t>至2035年，规划平富乡集镇保留平富学校，班级数为小学3班,学生数规划135人，中学3班，学生数规划150人，用地面积为1.05公顷。</w:t>
      </w:r>
    </w:p>
    <w:p>
      <w:pPr>
        <w:pStyle w:val="17"/>
        <w:pageBreakBefore w:val="0"/>
        <w:kinsoku/>
        <w:wordWrap/>
        <w:overflowPunct/>
        <w:topLinePunct w:val="0"/>
        <w:bidi w:val="0"/>
        <w:adjustRightInd/>
        <w:snapToGrid/>
        <w:spacing w:line="480" w:lineRule="exact"/>
        <w:ind w:left="0" w:leftChars="0" w:firstLine="562" w:firstLineChars="200"/>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 xml:space="preserve">三、体育设施 </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规划集镇结合公园绿地广场设置体育设施。老年人户外活动场地应设置休憩设施，附近宜设置公共厕所；广场舞等活动场地的设置应避免噪声扰民。</w:t>
      </w:r>
    </w:p>
    <w:p>
      <w:pPr>
        <w:pStyle w:val="17"/>
        <w:pageBreakBefore w:val="0"/>
        <w:kinsoku/>
        <w:wordWrap/>
        <w:overflowPunct/>
        <w:topLinePunct w:val="0"/>
        <w:bidi w:val="0"/>
        <w:adjustRightInd/>
        <w:snapToGrid/>
        <w:spacing w:line="480" w:lineRule="exact"/>
        <w:ind w:left="0" w:leftChars="0" w:firstLine="562" w:firstLineChars="200"/>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四、医疗卫生设施</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1、现状概况</w:t>
      </w:r>
    </w:p>
    <w:p>
      <w:pPr>
        <w:keepNext w:val="0"/>
        <w:keepLines w:val="0"/>
        <w:pageBreakBefore w:val="0"/>
        <w:widowControl/>
        <w:suppressLineNumbers w:val="0"/>
        <w:kinsoku/>
        <w:wordWrap/>
        <w:overflowPunct/>
        <w:topLinePunct w:val="0"/>
        <w:bidi w:val="0"/>
        <w:adjustRightInd/>
        <w:snapToGrid/>
        <w:spacing w:line="480" w:lineRule="exact"/>
        <w:jc w:val="left"/>
        <w:textAlignment w:val="auto"/>
        <w:rPr>
          <w:rFonts w:hint="default"/>
          <w:color w:val="auto"/>
          <w:lang w:val="en-US" w:eastAsia="zh-CN"/>
        </w:rPr>
      </w:pPr>
      <w:r>
        <w:rPr>
          <w:rFonts w:hint="eastAsia" w:ascii="Times New Roman" w:hAnsi="Times New Roman" w:eastAsia="仿宋_GB2312" w:cs="Times New Roman"/>
          <w:color w:val="auto"/>
          <w:kern w:val="2"/>
          <w:sz w:val="28"/>
          <w:szCs w:val="28"/>
          <w:lang w:val="en-US" w:eastAsia="zh-CN" w:bidi="ar-SA"/>
        </w:rPr>
        <w:t>集镇内现状有卫生院1所，其中平富卫生院现有职工人数15人，床位数20床，用地面积为0.14公顷。</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2、集镇医疗卫生设施规划</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规划保留平富乡集镇卫生院，完善卫生院设施，用地面积为0.14公顷，床位数增加为30床。</w:t>
      </w:r>
    </w:p>
    <w:p>
      <w:pPr>
        <w:pStyle w:val="17"/>
        <w:pageBreakBefore w:val="0"/>
        <w:kinsoku/>
        <w:wordWrap/>
        <w:overflowPunct/>
        <w:topLinePunct w:val="0"/>
        <w:bidi w:val="0"/>
        <w:adjustRightInd/>
        <w:snapToGrid/>
        <w:spacing w:line="480" w:lineRule="exact"/>
        <w:ind w:left="0" w:leftChars="0" w:firstLine="562" w:firstLineChars="200"/>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五、社会福利设施</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1、现状概况</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平富敬老院位于集镇北部，庄前村井头组，现有工作管理人员4 人，收养老人42人。敬老院占地面积约为0.11公顷。</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2、集镇社区福利设施规划</w:t>
      </w:r>
    </w:p>
    <w:p>
      <w:pPr>
        <w:keepNext w:val="0"/>
        <w:keepLines w:val="0"/>
        <w:pageBreakBefore w:val="0"/>
        <w:widowControl/>
        <w:suppressLineNumbers w:val="0"/>
        <w:kinsoku/>
        <w:wordWrap/>
        <w:overflowPunct/>
        <w:topLinePunct w:val="0"/>
        <w:bidi w:val="0"/>
        <w:adjustRightInd/>
        <w:snapToGrid/>
        <w:spacing w:line="480" w:lineRule="exact"/>
        <w:jc w:val="left"/>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建立以家居为基础、社区为依托，机构为补充的养老模式，加快推进养老福利事业的发展。规划平富乡集镇保留并扩建现有的敬老院，用地面积为0.22公顷，规划床位数50张。</w:t>
      </w:r>
    </w:p>
    <w:p>
      <w:pPr>
        <w:pStyle w:val="33"/>
        <w:spacing w:before="156" w:beforeLines="50" w:after="156" w:afterLines="50" w:line="520" w:lineRule="exact"/>
        <w:rPr>
          <w:rFonts w:hint="default" w:ascii="Times New Roman" w:hAnsi="Times New Roman" w:cs="Times New Roman"/>
          <w:color w:val="auto"/>
          <w:kern w:val="2"/>
          <w:szCs w:val="32"/>
          <w:lang w:val="en-US" w:eastAsia="zh-CN"/>
        </w:rPr>
      </w:pPr>
      <w:bookmarkStart w:id="78" w:name="_Toc27979"/>
      <w:r>
        <w:rPr>
          <w:rFonts w:hint="eastAsia" w:ascii="Times New Roman" w:hAnsi="Times New Roman" w:cs="Times New Roman"/>
          <w:color w:val="auto"/>
          <w:kern w:val="2"/>
          <w:szCs w:val="32"/>
          <w:lang w:val="en-US" w:eastAsia="zh-CN"/>
        </w:rPr>
        <w:t>第六节 集镇市政基础设施规划</w:t>
      </w:r>
      <w:bookmarkEnd w:id="78"/>
    </w:p>
    <w:p>
      <w:pPr>
        <w:pStyle w:val="17"/>
        <w:pageBreakBefore w:val="0"/>
        <w:kinsoku/>
        <w:wordWrap/>
        <w:overflowPunct/>
        <w:topLinePunct w:val="0"/>
        <w:bidi w:val="0"/>
        <w:adjustRightInd/>
        <w:snapToGrid/>
        <w:spacing w:line="480" w:lineRule="exact"/>
        <w:ind w:left="0" w:leftChars="0" w:firstLine="562" w:firstLineChars="200"/>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 xml:space="preserve">一、 给水工程 </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1、给水系统现状</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平富乡集镇由营前自来水厂供水。</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2、给水设施规划</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仿宋_GB2312" w:hAnsi="仿宋_GB2312" w:eastAsia="仿宋_GB2312" w:cs="仿宋_GB2312"/>
          <w:color w:val="auto"/>
          <w:kern w:val="0"/>
          <w:sz w:val="28"/>
          <w:szCs w:val="28"/>
          <w:lang w:val="en-US" w:eastAsia="zh-CN" w:bidi="ar"/>
        </w:rPr>
      </w:pPr>
      <w:r>
        <w:rPr>
          <w:rFonts w:hint="eastAsia" w:ascii="Times New Roman" w:hAnsi="Times New Roman" w:eastAsia="仿宋_GB2312" w:cs="Times New Roman"/>
          <w:color w:val="auto"/>
          <w:kern w:val="2"/>
          <w:sz w:val="28"/>
          <w:szCs w:val="28"/>
          <w:lang w:val="en-US" w:eastAsia="zh-CN" w:bidi="ar-SA"/>
        </w:rPr>
        <w:t>规划平富乡集镇接营前自来水厂</w:t>
      </w:r>
      <w:r>
        <w:rPr>
          <w:rFonts w:hint="eastAsia" w:ascii="仿宋_GB2312" w:hAnsi="仿宋_GB2312" w:eastAsia="仿宋_GB2312" w:cs="仿宋_GB2312"/>
          <w:color w:val="auto"/>
          <w:kern w:val="0"/>
          <w:sz w:val="28"/>
          <w:szCs w:val="28"/>
          <w:lang w:val="en-US" w:eastAsia="zh-CN" w:bidi="ar"/>
        </w:rPr>
        <w:t>。</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3、用水量预测</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规划依据《城市给水工程规划规范》（</w:t>
      </w:r>
      <w:r>
        <w:rPr>
          <w:rFonts w:hint="default" w:ascii="Times New Roman" w:hAnsi="Times New Roman" w:eastAsia="仿宋_GB2312" w:cs="Times New Roman"/>
          <w:color w:val="auto"/>
          <w:kern w:val="2"/>
          <w:sz w:val="28"/>
          <w:szCs w:val="28"/>
          <w:lang w:val="en-US" w:eastAsia="zh-CN" w:bidi="ar-SA"/>
        </w:rPr>
        <w:t>GB50282-2016</w:t>
      </w:r>
      <w:r>
        <w:rPr>
          <w:rFonts w:hint="eastAsia" w:ascii="Times New Roman" w:hAnsi="Times New Roman" w:eastAsia="仿宋_GB2312" w:cs="Times New Roman"/>
          <w:color w:val="auto"/>
          <w:kern w:val="2"/>
          <w:sz w:val="28"/>
          <w:szCs w:val="28"/>
          <w:lang w:val="en-US" w:eastAsia="zh-CN" w:bidi="ar-SA"/>
        </w:rPr>
        <w:t>）确定平富乡综合用水量指标取值范围为0.25万～0.55万</w:t>
      </w:r>
      <w:r>
        <w:rPr>
          <w:rFonts w:hint="default" w:ascii="Times New Roman" w:hAnsi="Times New Roman" w:eastAsia="仿宋_GB2312" w:cs="Times New Roman"/>
          <w:color w:val="auto"/>
          <w:kern w:val="2"/>
          <w:sz w:val="28"/>
          <w:szCs w:val="28"/>
          <w:lang w:val="en-US" w:eastAsia="zh-CN" w:bidi="ar-SA"/>
        </w:rPr>
        <w:t>m</w:t>
      </w:r>
      <w:r>
        <w:rPr>
          <w:rFonts w:hint="eastAsia" w:ascii="Times New Roman" w:hAnsi="Times New Roman" w:eastAsia="仿宋_GB2312" w:cs="Times New Roman"/>
          <w:color w:val="auto"/>
          <w:kern w:val="2"/>
          <w:sz w:val="28"/>
          <w:szCs w:val="28"/>
          <w:lang w:val="en-US" w:eastAsia="zh-CN" w:bidi="ar-SA"/>
        </w:rPr>
        <w:t>³</w:t>
      </w:r>
      <w:r>
        <w:rPr>
          <w:rFonts w:hint="default" w:ascii="Times New Roman" w:hAnsi="Times New Roman" w:eastAsia="仿宋_GB2312" w:cs="Times New Roman"/>
          <w:color w:val="auto"/>
          <w:kern w:val="2"/>
          <w:sz w:val="28"/>
          <w:szCs w:val="28"/>
          <w:lang w:val="en-US" w:eastAsia="zh-CN" w:bidi="ar-SA"/>
        </w:rPr>
        <w:t>/</w:t>
      </w:r>
      <w:r>
        <w:rPr>
          <w:rFonts w:hint="eastAsia" w:ascii="Times New Roman" w:hAnsi="Times New Roman" w:eastAsia="仿宋_GB2312" w:cs="Times New Roman"/>
          <w:color w:val="auto"/>
          <w:kern w:val="2"/>
          <w:sz w:val="28"/>
          <w:szCs w:val="28"/>
          <w:lang w:val="en-US" w:eastAsia="zh-CN" w:bidi="ar-SA"/>
        </w:rPr>
        <w:t>（万/人·</w:t>
      </w:r>
      <w:r>
        <w:rPr>
          <w:rFonts w:hint="default" w:ascii="Times New Roman" w:hAnsi="Times New Roman" w:eastAsia="仿宋_GB2312" w:cs="Times New Roman"/>
          <w:color w:val="auto"/>
          <w:kern w:val="2"/>
          <w:sz w:val="28"/>
          <w:szCs w:val="28"/>
          <w:lang w:val="en-US" w:eastAsia="zh-CN" w:bidi="ar-SA"/>
        </w:rPr>
        <w:t>d</w:t>
      </w:r>
      <w:r>
        <w:rPr>
          <w:rFonts w:hint="eastAsia" w:ascii="Times New Roman" w:hAnsi="Times New Roman" w:eastAsia="仿宋_GB2312" w:cs="Times New Roman"/>
          <w:color w:val="auto"/>
          <w:kern w:val="2"/>
          <w:sz w:val="28"/>
          <w:szCs w:val="28"/>
          <w:lang w:val="en-US" w:eastAsia="zh-CN" w:bidi="ar-SA"/>
        </w:rPr>
        <w:t>），规划确定平富乡集镇综合用水量指标为</w:t>
      </w:r>
      <w:r>
        <w:rPr>
          <w:rFonts w:hint="default" w:ascii="Times New Roman" w:hAnsi="Times New Roman" w:eastAsia="仿宋_GB2312" w:cs="Times New Roman"/>
          <w:color w:val="auto"/>
          <w:kern w:val="2"/>
          <w:sz w:val="28"/>
          <w:szCs w:val="28"/>
          <w:lang w:val="en-US" w:eastAsia="zh-CN" w:bidi="ar-SA"/>
        </w:rPr>
        <w:t>0.</w:t>
      </w:r>
      <w:r>
        <w:rPr>
          <w:rFonts w:hint="eastAsia" w:ascii="Times New Roman" w:hAnsi="Times New Roman" w:eastAsia="仿宋_GB2312" w:cs="Times New Roman"/>
          <w:color w:val="auto"/>
          <w:kern w:val="2"/>
          <w:sz w:val="28"/>
          <w:szCs w:val="28"/>
          <w:lang w:val="en-US" w:eastAsia="zh-CN" w:bidi="ar-SA"/>
        </w:rPr>
        <w:t>25万</w:t>
      </w:r>
      <w:r>
        <w:rPr>
          <w:rFonts w:hint="default" w:ascii="Times New Roman" w:hAnsi="Times New Roman" w:eastAsia="仿宋_GB2312" w:cs="Times New Roman"/>
          <w:color w:val="auto"/>
          <w:kern w:val="2"/>
          <w:sz w:val="28"/>
          <w:szCs w:val="28"/>
          <w:lang w:val="en-US" w:eastAsia="zh-CN" w:bidi="ar-SA"/>
        </w:rPr>
        <w:t>m</w:t>
      </w:r>
      <w:r>
        <w:rPr>
          <w:rFonts w:hint="eastAsia" w:ascii="Times New Roman" w:hAnsi="Times New Roman" w:eastAsia="仿宋_GB2312" w:cs="Times New Roman"/>
          <w:color w:val="auto"/>
          <w:kern w:val="2"/>
          <w:sz w:val="28"/>
          <w:szCs w:val="28"/>
          <w:lang w:val="en-US" w:eastAsia="zh-CN" w:bidi="ar-SA"/>
        </w:rPr>
        <w:t>³</w:t>
      </w:r>
      <w:r>
        <w:rPr>
          <w:rFonts w:hint="default" w:ascii="Times New Roman" w:hAnsi="Times New Roman" w:eastAsia="仿宋_GB2312" w:cs="Times New Roman"/>
          <w:color w:val="auto"/>
          <w:kern w:val="2"/>
          <w:sz w:val="28"/>
          <w:szCs w:val="28"/>
          <w:lang w:val="en-US" w:eastAsia="zh-CN" w:bidi="ar-SA"/>
        </w:rPr>
        <w:t>/</w:t>
      </w:r>
      <w:r>
        <w:rPr>
          <w:rFonts w:hint="eastAsia" w:ascii="Times New Roman" w:hAnsi="Times New Roman" w:eastAsia="仿宋_GB2312" w:cs="Times New Roman"/>
          <w:color w:val="auto"/>
          <w:kern w:val="2"/>
          <w:sz w:val="28"/>
          <w:szCs w:val="28"/>
          <w:lang w:val="en-US" w:eastAsia="zh-CN" w:bidi="ar-SA"/>
        </w:rPr>
        <w:t>（万/人·</w:t>
      </w:r>
      <w:r>
        <w:rPr>
          <w:rFonts w:hint="default" w:ascii="Times New Roman" w:hAnsi="Times New Roman" w:eastAsia="仿宋_GB2312" w:cs="Times New Roman"/>
          <w:color w:val="auto"/>
          <w:kern w:val="2"/>
          <w:sz w:val="28"/>
          <w:szCs w:val="28"/>
          <w:lang w:val="en-US" w:eastAsia="zh-CN" w:bidi="ar-SA"/>
        </w:rPr>
        <w:t>d</w:t>
      </w:r>
      <w:r>
        <w:rPr>
          <w:rFonts w:hint="eastAsia" w:ascii="Times New Roman" w:hAnsi="Times New Roman" w:eastAsia="仿宋_GB2312" w:cs="Times New Roman"/>
          <w:color w:val="auto"/>
          <w:kern w:val="2"/>
          <w:sz w:val="28"/>
          <w:szCs w:val="28"/>
          <w:lang w:val="en-US" w:eastAsia="zh-CN" w:bidi="ar-SA"/>
        </w:rPr>
        <w:t>）。</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则用水量为：Q=250×2000=500000（L/d）=500（m</w:t>
      </w:r>
      <w:r>
        <w:rPr>
          <w:rFonts w:hint="eastAsia" w:ascii="Times New Roman" w:hAnsi="Times New Roman" w:eastAsia="仿宋_GB2312" w:cs="Times New Roman"/>
          <w:color w:val="auto"/>
          <w:kern w:val="2"/>
          <w:sz w:val="28"/>
          <w:szCs w:val="28"/>
          <w:vertAlign w:val="superscript"/>
          <w:lang w:val="en-US" w:eastAsia="zh-CN" w:bidi="ar-SA"/>
        </w:rPr>
        <w:t>3</w:t>
      </w:r>
      <w:r>
        <w:rPr>
          <w:rFonts w:hint="eastAsia" w:ascii="Times New Roman" w:hAnsi="Times New Roman" w:eastAsia="仿宋_GB2312" w:cs="Times New Roman"/>
          <w:color w:val="auto"/>
          <w:kern w:val="2"/>
          <w:sz w:val="28"/>
          <w:szCs w:val="28"/>
          <w:lang w:val="en-US" w:eastAsia="zh-CN" w:bidi="ar-SA"/>
        </w:rPr>
        <w:t xml:space="preserve">/d）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通过预测，平富乡集镇用水量共500m</w:t>
      </w:r>
      <w:r>
        <w:rPr>
          <w:rFonts w:hint="eastAsia" w:ascii="Times New Roman" w:hAnsi="Times New Roman" w:eastAsia="仿宋_GB2312" w:cs="Times New Roman"/>
          <w:color w:val="auto"/>
          <w:kern w:val="2"/>
          <w:sz w:val="28"/>
          <w:szCs w:val="28"/>
          <w:vertAlign w:val="superscript"/>
          <w:lang w:val="en-US" w:eastAsia="zh-CN" w:bidi="ar-SA"/>
        </w:rPr>
        <w:t>3</w:t>
      </w:r>
      <w:r>
        <w:rPr>
          <w:rFonts w:hint="eastAsia" w:ascii="Times New Roman" w:hAnsi="Times New Roman" w:eastAsia="仿宋_GB2312" w:cs="Times New Roman"/>
          <w:color w:val="auto"/>
          <w:kern w:val="2"/>
          <w:sz w:val="28"/>
          <w:szCs w:val="28"/>
          <w:lang w:val="en-US" w:eastAsia="zh-CN" w:bidi="ar-SA"/>
        </w:rPr>
        <w:t>/d。</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4、给水管网规划</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规划集镇生活、生产、消防采用统一供水管网。规划区内给水干管沿主要道路布置供水干管，布置形式以环网状为主，边缘地区为树枝状，以提高供水均匀性。给水管网按最高日最高时流量设计，时变化系数取1.5，给水干管管径为</w:t>
      </w:r>
      <w:r>
        <w:rPr>
          <w:rFonts w:hint="default" w:ascii="Times New Roman" w:hAnsi="Times New Roman" w:eastAsia="仿宋_GB2312" w:cs="Times New Roman"/>
          <w:color w:val="auto"/>
          <w:kern w:val="2"/>
          <w:sz w:val="28"/>
          <w:szCs w:val="28"/>
          <w:lang w:val="en-US" w:eastAsia="zh-CN" w:bidi="ar-SA"/>
        </w:rPr>
        <w:t>DN</w:t>
      </w:r>
      <w:r>
        <w:rPr>
          <w:rFonts w:hint="eastAsia" w:ascii="Times New Roman" w:hAnsi="Times New Roman" w:eastAsia="仿宋_GB2312" w:cs="Times New Roman"/>
          <w:color w:val="auto"/>
          <w:kern w:val="2"/>
          <w:sz w:val="28"/>
          <w:szCs w:val="28"/>
          <w:lang w:val="en-US" w:eastAsia="zh-CN" w:bidi="ar-SA"/>
        </w:rPr>
        <w:t>4</w:t>
      </w:r>
      <w:r>
        <w:rPr>
          <w:rFonts w:hint="default" w:ascii="Times New Roman" w:hAnsi="Times New Roman" w:eastAsia="仿宋_GB2312" w:cs="Times New Roman"/>
          <w:color w:val="auto"/>
          <w:kern w:val="2"/>
          <w:sz w:val="28"/>
          <w:szCs w:val="28"/>
          <w:lang w:val="en-US" w:eastAsia="zh-CN" w:bidi="ar-SA"/>
        </w:rPr>
        <w:t>00</w:t>
      </w:r>
      <w:r>
        <w:rPr>
          <w:rFonts w:hint="eastAsia" w:ascii="Times New Roman" w:hAnsi="Times New Roman" w:eastAsia="仿宋_GB2312" w:cs="Times New Roman"/>
          <w:color w:val="auto"/>
          <w:kern w:val="2"/>
          <w:sz w:val="28"/>
          <w:szCs w:val="28"/>
          <w:lang w:val="en-US" w:eastAsia="zh-CN" w:bidi="ar-SA"/>
        </w:rPr>
        <w:t>，配水管管径为</w:t>
      </w:r>
      <w:r>
        <w:rPr>
          <w:rFonts w:hint="default" w:ascii="Times New Roman" w:hAnsi="Times New Roman" w:eastAsia="仿宋_GB2312" w:cs="Times New Roman"/>
          <w:color w:val="auto"/>
          <w:kern w:val="2"/>
          <w:sz w:val="28"/>
          <w:szCs w:val="28"/>
          <w:lang w:val="en-US" w:eastAsia="zh-CN" w:bidi="ar-SA"/>
        </w:rPr>
        <w:t>DN</w:t>
      </w:r>
      <w:r>
        <w:rPr>
          <w:rFonts w:hint="eastAsia" w:ascii="Times New Roman" w:hAnsi="Times New Roman" w:eastAsia="仿宋_GB2312" w:cs="Times New Roman"/>
          <w:color w:val="auto"/>
          <w:kern w:val="2"/>
          <w:sz w:val="28"/>
          <w:szCs w:val="28"/>
          <w:lang w:val="en-US" w:eastAsia="zh-CN" w:bidi="ar-SA"/>
        </w:rPr>
        <w:t>10</w:t>
      </w:r>
      <w:r>
        <w:rPr>
          <w:rFonts w:hint="default" w:ascii="Times New Roman" w:hAnsi="Times New Roman" w:eastAsia="仿宋_GB2312" w:cs="Times New Roman"/>
          <w:color w:val="auto"/>
          <w:kern w:val="2"/>
          <w:sz w:val="28"/>
          <w:szCs w:val="28"/>
          <w:lang w:val="en-US" w:eastAsia="zh-CN" w:bidi="ar-SA"/>
        </w:rPr>
        <w:t>0</w:t>
      </w:r>
      <w:r>
        <w:rPr>
          <w:rFonts w:hint="eastAsia" w:ascii="Times New Roman" w:hAnsi="Times New Roman" w:eastAsia="仿宋_GB2312" w:cs="Times New Roman"/>
          <w:color w:val="auto"/>
          <w:kern w:val="2"/>
          <w:sz w:val="28"/>
          <w:szCs w:val="28"/>
          <w:lang w:val="en-US" w:eastAsia="zh-CN" w:bidi="ar-SA"/>
        </w:rPr>
        <w:t xml:space="preserve">，管材采用 </w:t>
      </w:r>
      <w:r>
        <w:rPr>
          <w:rFonts w:hint="default" w:ascii="Times New Roman" w:hAnsi="Times New Roman" w:eastAsia="仿宋_GB2312" w:cs="Times New Roman"/>
          <w:color w:val="auto"/>
          <w:kern w:val="2"/>
          <w:sz w:val="28"/>
          <w:szCs w:val="28"/>
          <w:lang w:val="en-US" w:eastAsia="zh-CN" w:bidi="ar-SA"/>
        </w:rPr>
        <w:t xml:space="preserve">UPVC </w:t>
      </w:r>
      <w:r>
        <w:rPr>
          <w:rFonts w:hint="eastAsia" w:ascii="Times New Roman" w:hAnsi="Times New Roman" w:eastAsia="仿宋_GB2312" w:cs="Times New Roman"/>
          <w:color w:val="auto"/>
          <w:kern w:val="2"/>
          <w:sz w:val="28"/>
          <w:szCs w:val="28"/>
          <w:lang w:val="en-US" w:eastAsia="zh-CN" w:bidi="ar-SA"/>
        </w:rPr>
        <w:t>管。集镇主干管沿干道布置，具体详见《给水工程规划图》。</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规划消防给水与集镇给水合用一套给水系统。给水干管设地上式消防栓，间距不超过120米，且应设于显眼处，尽量靠近交叉路口，消防栓的出水压力不应低于 0.10MPa。</w:t>
      </w:r>
    </w:p>
    <w:p>
      <w:pPr>
        <w:pStyle w:val="17"/>
        <w:pageBreakBefore w:val="0"/>
        <w:kinsoku/>
        <w:wordWrap/>
        <w:overflowPunct/>
        <w:topLinePunct w:val="0"/>
        <w:bidi w:val="0"/>
        <w:adjustRightInd/>
        <w:snapToGrid/>
        <w:spacing w:line="480" w:lineRule="exact"/>
        <w:ind w:left="0" w:leftChars="0" w:firstLine="562" w:firstLineChars="200"/>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 xml:space="preserve">二、排水工程 </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default" w:ascii="Times New Roman" w:hAnsi="Times New Roman" w:eastAsia="仿宋_GB2312" w:cs="Times New Roman"/>
          <w:b w:val="0"/>
          <w:bCs/>
          <w:color w:val="auto"/>
          <w:sz w:val="28"/>
          <w:szCs w:val="28"/>
          <w:lang w:val="en-US" w:eastAsia="zh-CN"/>
        </w:rPr>
      </w:pPr>
      <w:r>
        <w:rPr>
          <w:rFonts w:hint="eastAsia" w:ascii="Times New Roman" w:hAnsi="Times New Roman" w:eastAsia="仿宋_GB2312" w:cs="Times New Roman"/>
          <w:b w:val="0"/>
          <w:bCs/>
          <w:color w:val="auto"/>
          <w:sz w:val="28"/>
          <w:szCs w:val="28"/>
          <w:lang w:val="en-US" w:eastAsia="zh-CN"/>
        </w:rPr>
        <w:t>1、排水系统现状</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集镇沿路地下排水系统还较完善，基本做到主次分明，污水实现了集中排放。集镇西部建有一小型污水处理厂，日处理能力200吨。</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b w:val="0"/>
          <w:bCs/>
          <w:color w:val="auto"/>
          <w:sz w:val="28"/>
          <w:szCs w:val="28"/>
          <w:lang w:val="en-US" w:eastAsia="zh-CN"/>
        </w:rPr>
      </w:pPr>
      <w:r>
        <w:rPr>
          <w:rFonts w:hint="eastAsia" w:ascii="Times New Roman" w:hAnsi="Times New Roman" w:eastAsia="仿宋_GB2312" w:cs="Times New Roman"/>
          <w:b w:val="0"/>
          <w:bCs/>
          <w:color w:val="auto"/>
          <w:sz w:val="28"/>
          <w:szCs w:val="28"/>
          <w:lang w:val="en-US" w:eastAsia="zh-CN"/>
        </w:rPr>
        <w:t>2、排水体制</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b w:val="0"/>
          <w:bCs/>
          <w:color w:val="auto"/>
          <w:sz w:val="28"/>
          <w:szCs w:val="28"/>
          <w:lang w:val="en-US" w:eastAsia="zh-CN"/>
        </w:rPr>
      </w:pPr>
      <w:r>
        <w:rPr>
          <w:rFonts w:hint="eastAsia" w:ascii="Times New Roman" w:hAnsi="Times New Roman" w:eastAsia="仿宋_GB2312" w:cs="Times New Roman"/>
          <w:b w:val="0"/>
          <w:bCs/>
          <w:color w:val="auto"/>
          <w:sz w:val="28"/>
          <w:szCs w:val="28"/>
          <w:lang w:val="en-US" w:eastAsia="zh-CN"/>
        </w:rPr>
        <w:t xml:space="preserve">规划集镇采用雨污分流制的排水体制。 </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b w:val="0"/>
          <w:bCs/>
          <w:color w:val="auto"/>
          <w:sz w:val="28"/>
          <w:szCs w:val="28"/>
          <w:lang w:val="en-US" w:eastAsia="zh-CN"/>
        </w:rPr>
      </w:pPr>
      <w:r>
        <w:rPr>
          <w:rFonts w:hint="eastAsia" w:ascii="Times New Roman" w:hAnsi="Times New Roman" w:eastAsia="仿宋_GB2312" w:cs="Times New Roman"/>
          <w:b w:val="0"/>
          <w:bCs/>
          <w:color w:val="auto"/>
          <w:sz w:val="28"/>
          <w:szCs w:val="28"/>
          <w:lang w:val="en-US" w:eastAsia="zh-CN"/>
        </w:rPr>
        <w:t>3、雨水工程规划</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zh-CN" w:eastAsia="zh-CN" w:bidi="ar-SA"/>
        </w:rPr>
      </w:pPr>
      <w:r>
        <w:rPr>
          <w:rFonts w:hint="eastAsia" w:ascii="Times New Roman" w:hAnsi="Times New Roman" w:eastAsia="仿宋_GB2312" w:cs="Times New Roman"/>
          <w:color w:val="auto"/>
          <w:kern w:val="2"/>
          <w:sz w:val="28"/>
          <w:szCs w:val="28"/>
          <w:lang w:val="en-US" w:eastAsia="zh-CN" w:bidi="ar-SA"/>
        </w:rPr>
        <w:t xml:space="preserve">（1）雨水量计算 </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zh-CN" w:eastAsia="zh-CN" w:bidi="ar-SA"/>
        </w:rPr>
      </w:pPr>
      <w:r>
        <w:rPr>
          <w:rFonts w:hint="eastAsia" w:ascii="Times New Roman" w:hAnsi="Times New Roman" w:eastAsia="仿宋_GB2312" w:cs="Times New Roman"/>
          <w:color w:val="auto"/>
          <w:kern w:val="2"/>
          <w:sz w:val="28"/>
          <w:szCs w:val="28"/>
          <w:lang w:val="en-US" w:eastAsia="zh-CN" w:bidi="ar-SA"/>
        </w:rPr>
        <w:t xml:space="preserve">采用上犹县暴雨强度公式：q=6016(1+0.48lgP)/(t+10)0.92 </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zh-CN" w:eastAsia="zh-CN" w:bidi="ar-SA"/>
        </w:rPr>
      </w:pPr>
      <w:r>
        <w:rPr>
          <w:rFonts w:hint="eastAsia" w:ascii="Times New Roman" w:hAnsi="Times New Roman" w:eastAsia="仿宋_GB2312" w:cs="Times New Roman"/>
          <w:color w:val="auto"/>
          <w:kern w:val="2"/>
          <w:sz w:val="28"/>
          <w:szCs w:val="28"/>
          <w:lang w:val="en-US" w:eastAsia="zh-CN" w:bidi="ar-SA"/>
        </w:rPr>
        <w:t xml:space="preserve">φ—综合径流系数，取0.60 </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zh-CN" w:eastAsia="zh-CN" w:bidi="ar-SA"/>
        </w:rPr>
      </w:pPr>
      <w:r>
        <w:rPr>
          <w:rFonts w:hint="eastAsia" w:ascii="Times New Roman" w:hAnsi="Times New Roman" w:eastAsia="仿宋_GB2312" w:cs="Times New Roman"/>
          <w:color w:val="auto"/>
          <w:kern w:val="2"/>
          <w:sz w:val="28"/>
          <w:szCs w:val="28"/>
          <w:lang w:val="en-US" w:eastAsia="zh-CN" w:bidi="ar-SA"/>
        </w:rPr>
        <w:t xml:space="preserve">F—汇水面积（公顷） </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zh-CN" w:eastAsia="zh-CN" w:bidi="ar-SA"/>
        </w:rPr>
      </w:pPr>
      <w:r>
        <w:rPr>
          <w:rFonts w:hint="eastAsia" w:ascii="Times New Roman" w:hAnsi="Times New Roman" w:eastAsia="仿宋_GB2312" w:cs="Times New Roman"/>
          <w:color w:val="auto"/>
          <w:kern w:val="2"/>
          <w:sz w:val="28"/>
          <w:szCs w:val="28"/>
          <w:lang w:val="en-US" w:eastAsia="zh-CN" w:bidi="ar-SA"/>
        </w:rPr>
        <w:t xml:space="preserve">P—设计重现期，取1年 </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zh-CN" w:eastAsia="zh-CN" w:bidi="ar-SA"/>
        </w:rPr>
      </w:pPr>
      <w:r>
        <w:rPr>
          <w:rFonts w:hint="eastAsia" w:ascii="Times New Roman" w:hAnsi="Times New Roman" w:eastAsia="仿宋_GB2312" w:cs="Times New Roman"/>
          <w:color w:val="auto"/>
          <w:kern w:val="2"/>
          <w:sz w:val="28"/>
          <w:szCs w:val="28"/>
          <w:lang w:val="en-US" w:eastAsia="zh-CN" w:bidi="ar-SA"/>
        </w:rPr>
        <w:t xml:space="preserve">t—设计降雨历时，t = t1+ mt2 （分钟） </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zh-CN" w:eastAsia="zh-CN" w:bidi="ar-SA"/>
        </w:rPr>
      </w:pPr>
      <w:r>
        <w:rPr>
          <w:rFonts w:hint="eastAsia" w:ascii="Times New Roman" w:hAnsi="Times New Roman" w:eastAsia="仿宋_GB2312" w:cs="Times New Roman"/>
          <w:color w:val="auto"/>
          <w:kern w:val="2"/>
          <w:sz w:val="28"/>
          <w:szCs w:val="28"/>
          <w:lang w:val="en-US" w:eastAsia="zh-CN" w:bidi="ar-SA"/>
        </w:rPr>
        <w:t xml:space="preserve">t1—地表积水时间，取10分钟 </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zh-CN" w:eastAsia="zh-CN" w:bidi="ar-SA"/>
        </w:rPr>
      </w:pPr>
      <w:r>
        <w:rPr>
          <w:rFonts w:hint="eastAsia" w:ascii="Times New Roman" w:hAnsi="Times New Roman" w:eastAsia="仿宋_GB2312" w:cs="Times New Roman"/>
          <w:color w:val="auto"/>
          <w:kern w:val="2"/>
          <w:sz w:val="28"/>
          <w:szCs w:val="28"/>
          <w:lang w:val="en-US" w:eastAsia="zh-CN" w:bidi="ar-SA"/>
        </w:rPr>
        <w:t xml:space="preserve">t2—管网流行时间（分钟） </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zh-CN" w:eastAsia="zh-CN" w:bidi="ar-SA"/>
        </w:rPr>
      </w:pPr>
      <w:r>
        <w:rPr>
          <w:rFonts w:hint="eastAsia" w:ascii="Times New Roman" w:hAnsi="Times New Roman" w:eastAsia="仿宋_GB2312" w:cs="Times New Roman"/>
          <w:color w:val="auto"/>
          <w:kern w:val="2"/>
          <w:sz w:val="28"/>
          <w:szCs w:val="28"/>
          <w:lang w:val="en-US" w:eastAsia="zh-CN" w:bidi="ar-SA"/>
        </w:rPr>
        <w:t xml:space="preserve">m—折减系数，暗管 m=1.2 </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zh-CN" w:eastAsia="zh-CN" w:bidi="ar-SA"/>
        </w:rPr>
      </w:pPr>
      <w:r>
        <w:rPr>
          <w:rFonts w:hint="eastAsia" w:ascii="Times New Roman" w:hAnsi="Times New Roman" w:eastAsia="仿宋_GB2312" w:cs="Times New Roman"/>
          <w:color w:val="auto"/>
          <w:kern w:val="2"/>
          <w:sz w:val="28"/>
          <w:szCs w:val="28"/>
          <w:lang w:val="en-US" w:eastAsia="zh-CN" w:bidi="ar-SA"/>
        </w:rPr>
        <w:t>雨水量按 Q=φ·F·q 计算，其中：径流系数φ绿地取 0.15，其他用地取 O.45，F 为汇水面积。</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（2）雨水管网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ascii="仿宋_GB2312" w:hAnsi="仿宋_GB2312" w:eastAsia="仿宋_GB2312" w:cs="仿宋_GB2312"/>
          <w:color w:val="auto"/>
          <w:kern w:val="0"/>
          <w:sz w:val="28"/>
          <w:szCs w:val="28"/>
          <w:lang w:val="en-US" w:eastAsia="zh-CN" w:bidi="ar"/>
        </w:rPr>
        <w:t>雨水的排放应充分利用现有地形条件和自然沟渠，采用“分片收集、就近排放”的原则。在各个排水分区内，沿干路敷设雨水主干管，雨水就近排入水体。</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雨水管管网走向与道路坡度相结合，利用地形坡度重力排放。雨水管管材采用预制混凝土圆管，雨水管沿道路中心线敷设，覆土深度不小于 1.2m。雨水管主干管管径为 d600，最小管径为 d400。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沿道路每隔 25－60 米设雨水收集口，同时充分利用地表径流，就近排入农田、水塘等区域。管道在改变管径、方向、坡度处，管道接汇处设检查井，且直线最大间距不超过 50m。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2、污水设施规划</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（1）污水量预测</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规划污水量按日平均用水量的80%（日变化系数取1.5）计算，则平富乡集镇污水排放量为267m</w:t>
      </w:r>
      <w:r>
        <w:rPr>
          <w:rFonts w:hint="eastAsia" w:ascii="Times New Roman" w:hAnsi="Times New Roman" w:eastAsia="仿宋_GB2312" w:cs="Times New Roman"/>
          <w:color w:val="auto"/>
          <w:kern w:val="2"/>
          <w:sz w:val="28"/>
          <w:szCs w:val="28"/>
          <w:vertAlign w:val="superscript"/>
          <w:lang w:val="en-US" w:eastAsia="zh-CN" w:bidi="ar-SA"/>
        </w:rPr>
        <w:t>3</w:t>
      </w:r>
      <w:r>
        <w:rPr>
          <w:rFonts w:hint="eastAsia" w:ascii="Times New Roman" w:hAnsi="Times New Roman" w:eastAsia="仿宋_GB2312" w:cs="Times New Roman"/>
          <w:color w:val="auto"/>
          <w:kern w:val="2"/>
          <w:sz w:val="28"/>
          <w:szCs w:val="28"/>
          <w:lang w:val="en-US" w:eastAsia="zh-CN" w:bidi="ar-SA"/>
        </w:rPr>
        <w:t>/d。</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（2）污水处理设施规划</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规划提升平富乡集镇污水处理厂，处理能力达到300吨/日。</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（3）污水管网规划</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污水干管沿集镇主要道路敷设，管径为 d500～d300。集镇内新建污水管道与道路建设同步实施，一般布置在道路的东、南侧。污水管网布置情况详见《集镇污水工程规划图》。</w:t>
      </w:r>
    </w:p>
    <w:p>
      <w:pPr>
        <w:pStyle w:val="17"/>
        <w:pageBreakBefore w:val="0"/>
        <w:kinsoku/>
        <w:wordWrap/>
        <w:overflowPunct/>
        <w:topLinePunct w:val="0"/>
        <w:bidi w:val="0"/>
        <w:adjustRightInd/>
        <w:snapToGrid/>
        <w:spacing w:line="480" w:lineRule="exact"/>
        <w:ind w:left="0" w:leftChars="0" w:firstLine="562" w:firstLineChars="200"/>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 xml:space="preserve">三、电力工程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1、电力设施现状</w:t>
      </w:r>
    </w:p>
    <w:p>
      <w:pPr>
        <w:pStyle w:val="17"/>
        <w:keepNext w:val="0"/>
        <w:keepLines w:val="0"/>
        <w:pageBreakBefore w:val="0"/>
        <w:kinsoku/>
        <w:wordWrap/>
        <w:overflowPunct/>
        <w:topLinePunct w:val="0"/>
        <w:bidi w:val="0"/>
        <w:adjustRightInd/>
        <w:snapToGrid/>
        <w:spacing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现状平富乡无变电站，集镇电力供应接营前35kv变电站。</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2、用电量及用电负荷预测</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规划综合考虑平富乡发展需求，参照《城市电力规划规范》（GB/T50293-2014），规划2035年集镇人均综合用电量为1500kWh/(人•</w:t>
      </w:r>
      <w:r>
        <w:rPr>
          <w:rFonts w:hint="default" w:ascii="Times New Roman" w:hAnsi="Times New Roman" w:eastAsia="仿宋_GB2312" w:cs="Times New Roman"/>
          <w:color w:val="auto"/>
          <w:kern w:val="2"/>
          <w:sz w:val="28"/>
          <w:szCs w:val="28"/>
          <w:lang w:val="en-US" w:eastAsia="zh-CN" w:bidi="ar-SA"/>
        </w:rPr>
        <w:t>a)</w:t>
      </w:r>
      <w:r>
        <w:rPr>
          <w:rFonts w:hint="eastAsia" w:ascii="Times New Roman" w:hAnsi="Times New Roman" w:eastAsia="仿宋_GB2312" w:cs="Times New Roman"/>
          <w:color w:val="auto"/>
          <w:kern w:val="2"/>
          <w:sz w:val="28"/>
          <w:szCs w:val="28"/>
          <w:lang w:val="en-US" w:eastAsia="zh-CN" w:bidi="ar-SA"/>
        </w:rPr>
        <w:t xml:space="preserve">，规划人口以2000常住人口计，则远期集镇年总用电量为300万kWh。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用电量负荷预测：集镇远期 2035 年规划常住人口为2000人，预测 2035 年人均综合负荷取4.5kW，则 2035 年最大负荷为 0.90 万 kW。 同时率取 0.8，则集镇远期为0.72万 kW。</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3、电力设施规划</w:t>
      </w:r>
    </w:p>
    <w:p>
      <w:pPr>
        <w:pStyle w:val="17"/>
        <w:keepNext w:val="0"/>
        <w:keepLines w:val="0"/>
        <w:pageBreakBefore w:val="0"/>
        <w:kinsoku/>
        <w:wordWrap/>
        <w:overflowPunct/>
        <w:topLinePunct w:val="0"/>
        <w:bidi w:val="0"/>
        <w:adjustRightInd/>
        <w:snapToGrid/>
        <w:spacing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规划至2035年，平富乡集镇电力供应接营前110kv变电站。</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4、供电网络规划</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规划集镇电压等级采用 35kV－10kV－380/220V 三级用电结构。集镇实行分片分区供电，设置开关站，确保供电安全。规划10kV 电力线沿干道埋地敷设，与通信光缆异侧布置，东西向道路布置在北侧，南北向道路布置在西侧。 </w:t>
      </w:r>
    </w:p>
    <w:p>
      <w:pPr>
        <w:pStyle w:val="17"/>
        <w:pageBreakBefore w:val="0"/>
        <w:kinsoku/>
        <w:wordWrap/>
        <w:overflowPunct/>
        <w:topLinePunct w:val="0"/>
        <w:bidi w:val="0"/>
        <w:adjustRightInd/>
        <w:snapToGrid/>
        <w:spacing w:line="480" w:lineRule="exact"/>
        <w:ind w:left="0" w:leftChars="0" w:firstLine="562" w:firstLineChars="200"/>
        <w:textAlignment w:val="auto"/>
        <w:rPr>
          <w:rFonts w:hint="default"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四、通信工程</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1、电信工程</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充分利用平富电信所并相应地适当扩充容量。建立起覆盖全镇的移动通信信息网，规划期内实现集镇无缝隙覆盖率达到</w:t>
      </w:r>
      <w:r>
        <w:rPr>
          <w:rFonts w:hint="default" w:ascii="Times New Roman" w:hAnsi="Times New Roman" w:eastAsia="仿宋_GB2312" w:cs="Times New Roman"/>
          <w:color w:val="auto"/>
          <w:kern w:val="2"/>
          <w:sz w:val="28"/>
          <w:szCs w:val="28"/>
          <w:lang w:val="en-US" w:eastAsia="zh-CN" w:bidi="ar-SA"/>
        </w:rPr>
        <w:t>100%</w:t>
      </w:r>
      <w:r>
        <w:rPr>
          <w:rFonts w:hint="eastAsia" w:ascii="Times New Roman" w:hAnsi="Times New Roman" w:eastAsia="仿宋_GB2312" w:cs="Times New Roman"/>
          <w:color w:val="auto"/>
          <w:kern w:val="2"/>
          <w:sz w:val="28"/>
          <w:szCs w:val="28"/>
          <w:lang w:val="en-US" w:eastAsia="zh-CN" w:bidi="ar-SA"/>
        </w:rPr>
        <w:t>，逐步发展数据通信、图像通信、多媒体通信及各种智能化业务和宽带业务。</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2、通信规划</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规划保留现状邮政所，位于乡政府北侧。</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left"/>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3、广播电视规划</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规划加速建设和完善现状集镇广播电视设施，完善微波多路分配系统，扩大有线电视的传送套数，并努力开发其他项目的多功能服务，促进电视事业的飞跃发展。规划期末平富乡集镇有线电视普及率达 100%，各村普及率达95%以上，基本实现有线电视数字化，规划集镇有线电视线路与其他通信线路共沟建设。</w:t>
      </w:r>
    </w:p>
    <w:p>
      <w:pPr>
        <w:pStyle w:val="17"/>
        <w:pageBreakBefore w:val="0"/>
        <w:kinsoku/>
        <w:wordWrap/>
        <w:overflowPunct/>
        <w:topLinePunct w:val="0"/>
        <w:bidi w:val="0"/>
        <w:adjustRightInd/>
        <w:snapToGrid/>
        <w:spacing w:line="480" w:lineRule="exact"/>
        <w:ind w:left="0" w:leftChars="0" w:firstLine="562" w:firstLineChars="200"/>
        <w:textAlignment w:val="auto"/>
        <w:rPr>
          <w:rFonts w:hint="default"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五、燃气工程</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1、用气量预测</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参照《城镇燃气规划规范》（GB/T51098-2015），设计用气量根据当地供气标准和条件综合确定，规划人均综合用气量取3000</w:t>
      </w:r>
      <w:r>
        <w:rPr>
          <w:rFonts w:hint="default" w:ascii="Times New Roman" w:hAnsi="Times New Roman" w:eastAsia="仿宋_GB2312" w:cs="Times New Roman"/>
          <w:color w:val="auto"/>
          <w:kern w:val="2"/>
          <w:sz w:val="28"/>
          <w:szCs w:val="28"/>
          <w:lang w:val="en-US" w:eastAsia="zh-CN" w:bidi="ar-SA"/>
        </w:rPr>
        <w:t>MJ/</w:t>
      </w:r>
      <w:r>
        <w:rPr>
          <w:rFonts w:hint="eastAsia" w:ascii="Times New Roman" w:hAnsi="Times New Roman" w:eastAsia="仿宋_GB2312" w:cs="Times New Roman"/>
          <w:color w:val="auto"/>
          <w:kern w:val="2"/>
          <w:sz w:val="28"/>
          <w:szCs w:val="28"/>
          <w:lang w:val="en-US" w:eastAsia="zh-CN" w:bidi="ar-SA"/>
        </w:rPr>
        <w:t>人·年，</w:t>
      </w:r>
      <w:r>
        <w:rPr>
          <w:rFonts w:ascii="sans-serif" w:hAnsi="sans-serif" w:eastAsia="sans-serif" w:cs="sans-serif"/>
          <w:i w:val="0"/>
          <w:iCs w:val="0"/>
          <w:caps w:val="0"/>
          <w:spacing w:val="0"/>
          <w:sz w:val="24"/>
          <w:szCs w:val="24"/>
          <w:shd w:val="clear" w:fill="FFFFFF"/>
          <w:vertAlign w:val="baseline"/>
        </w:rPr>
        <w:t>天然气</w:t>
      </w:r>
      <w:r>
        <w:rPr>
          <w:rFonts w:hint="eastAsia" w:ascii="Times New Roman" w:hAnsi="Times New Roman" w:eastAsia="仿宋_GB2312" w:cs="Times New Roman"/>
          <w:color w:val="auto"/>
          <w:kern w:val="2"/>
          <w:sz w:val="28"/>
          <w:szCs w:val="28"/>
          <w:lang w:val="en-US" w:eastAsia="zh-CN" w:bidi="ar-SA"/>
        </w:rPr>
        <w:t>低热值取40.00</w:t>
      </w:r>
      <w:r>
        <w:rPr>
          <w:rFonts w:hint="default" w:ascii="Times New Roman" w:hAnsi="Times New Roman" w:eastAsia="仿宋_GB2312" w:cs="Times New Roman"/>
          <w:color w:val="auto"/>
          <w:kern w:val="2"/>
          <w:sz w:val="28"/>
          <w:szCs w:val="28"/>
          <w:lang w:val="en-US" w:eastAsia="zh-CN" w:bidi="ar-SA"/>
        </w:rPr>
        <w:t>MJ/N</w:t>
      </w:r>
      <w:r>
        <w:rPr>
          <w:rFonts w:hint="eastAsia" w:ascii="Times New Roman" w:hAnsi="Times New Roman" w:eastAsia="仿宋_GB2312" w:cs="Times New Roman"/>
          <w:color w:val="auto"/>
          <w:kern w:val="2"/>
          <w:sz w:val="28"/>
          <w:szCs w:val="28"/>
          <w:lang w:val="en-US" w:eastAsia="zh-CN" w:bidi="ar-SA"/>
        </w:rPr>
        <w:t>m³。则至2035年，集镇天然气用量为15万</w:t>
      </w:r>
      <w:r>
        <w:rPr>
          <w:rFonts w:hint="default" w:ascii="Times New Roman" w:hAnsi="Times New Roman" w:eastAsia="仿宋_GB2312" w:cs="Times New Roman"/>
          <w:color w:val="auto"/>
          <w:kern w:val="2"/>
          <w:sz w:val="28"/>
          <w:szCs w:val="28"/>
          <w:lang w:val="en-US" w:eastAsia="zh-CN" w:bidi="ar-SA"/>
        </w:rPr>
        <w:t>N</w:t>
      </w:r>
      <w:r>
        <w:rPr>
          <w:rFonts w:hint="eastAsia" w:ascii="Times New Roman" w:hAnsi="Times New Roman" w:eastAsia="仿宋_GB2312" w:cs="Times New Roman"/>
          <w:color w:val="auto"/>
          <w:kern w:val="2"/>
          <w:sz w:val="28"/>
          <w:szCs w:val="28"/>
          <w:lang w:val="en-US" w:eastAsia="zh-CN" w:bidi="ar-SA"/>
        </w:rPr>
        <w:t>m³/年。</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2、气源规划</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规划平富乡集镇以管道天然气为主气源，液化石油气作为补充气源。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3、燃气设施规划。</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规划平富乡集镇燃气管道接营前镇燃气</w:t>
      </w:r>
      <w:r>
        <w:rPr>
          <w:rFonts w:hint="eastAsia" w:ascii="Times New Roman" w:hAnsi="Times New Roman" w:eastAsia="仿宋_GB2312" w:cs="Times New Roman"/>
          <w:color w:val="auto"/>
          <w:kern w:val="2"/>
          <w:sz w:val="28"/>
          <w:szCs w:val="28"/>
          <w:highlight w:val="none"/>
          <w:lang w:val="en-US" w:eastAsia="zh-CN" w:bidi="ar-SA"/>
        </w:rPr>
        <w:t>调压</w:t>
      </w:r>
      <w:r>
        <w:rPr>
          <w:rFonts w:hint="eastAsia" w:ascii="Times New Roman" w:hAnsi="Times New Roman" w:eastAsia="仿宋_GB2312" w:cs="Times New Roman"/>
          <w:color w:val="auto"/>
          <w:kern w:val="2"/>
          <w:sz w:val="28"/>
          <w:szCs w:val="28"/>
          <w:lang w:val="en-US" w:eastAsia="zh-CN" w:bidi="ar-SA"/>
        </w:rPr>
        <w:t>站。</w:t>
      </w:r>
    </w:p>
    <w:p>
      <w:pPr>
        <w:pStyle w:val="17"/>
        <w:pageBreakBefore w:val="0"/>
        <w:kinsoku/>
        <w:wordWrap/>
        <w:overflowPunct/>
        <w:topLinePunct w:val="0"/>
        <w:bidi w:val="0"/>
        <w:adjustRightInd/>
        <w:snapToGrid/>
        <w:spacing w:line="480" w:lineRule="exact"/>
        <w:ind w:left="0" w:leftChars="0" w:firstLine="562" w:firstLineChars="200"/>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六、环卫工程规划</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1、垃圾量预测</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垃圾产生量的预测：规划垃圾产生量以1公斤/人·日计，集镇生活垃圾产生量为：远期2.0吨/日。规划居民生活垃圾清运量为 100%，建成区垃圾收集和清运全部实现容器化、机械化、道路清扫基本实现机械化，搞好环境卫生，努力创建卫生城镇。</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2、垃圾中转站规划</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规划平富乡集镇西侧乡域内设置一处小型垃圾中转站，用地面积为0.05公顷。其选址应尽可能靠近服务区域中心或垃圾产量最多的地方，周围交通应比较便利，有较好的供电、供水、排水等条件，应尽可能不影响周围居民正常生活。其设计转运量及占地面积严格参考《城市环境卫生设施规划标准》（GB50337-2018）及《生活垃圾转运站技术规范》（CJJ47-2016）等相关要求建设，并由环卫主管部门负责设计审查及竣工验收。</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3、其他环卫设施规划</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ind w:left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（1）环卫工人作息场所</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环卫工人作息场所宜结合城市其他公共服务设施设置，可结合公共厕所、垃圾收集站、垃圾转运站、环境卫生车辆提车站等设施设置，设置标准宜符合《城市环境卫生设施规划标准》（GB50337-2018）相关规定。</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规划环卫所与公共厕所和垃圾中转站共建，负责各片区的环境卫生管理，内设环卫车辆停放和维修场地。</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ind w:left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（2）环卫车辆停车场</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环境卫生车辆数可按2.5车辆/万人—5辆/万人估算，环境卫生车辆停车场用地指标为50m2/辆—150m2/辆建设。环境卫生车辆鼓励采用新能源汽车，并在环境卫生车辆停车场内设置相应的能源供给设施。</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ind w:left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（3）公共厕所 </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规划根据集镇性质及人口密度，集镇公共厕所平均设置密度按平方公里3座设置，则远期集镇需新增1座公共厕所，公共厕所均采用水冲式。</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ind w:left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（4）垃圾收集（垃圾箱、桶） </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规划集镇垃圾收集方式采用垃圾集中收集，垃圾收集点设计应美观大方，密封性好，并便于分类储放，其服务半径一般不超过70米。远期取消垃圾箱，在居住区内设置分类、袋装的垃圾容器间。</w:t>
      </w:r>
    </w:p>
    <w:p>
      <w:pPr>
        <w:pStyle w:val="33"/>
        <w:spacing w:before="156" w:beforeLines="50" w:after="156" w:afterLines="50" w:line="520" w:lineRule="exact"/>
        <w:rPr>
          <w:rFonts w:hint="eastAsia" w:ascii="Times New Roman" w:hAnsi="Times New Roman" w:cs="Times New Roman"/>
          <w:color w:val="auto"/>
          <w:kern w:val="2"/>
          <w:szCs w:val="32"/>
          <w:lang w:val="en-US" w:eastAsia="zh-CN"/>
        </w:rPr>
      </w:pPr>
      <w:bookmarkStart w:id="79" w:name="_Toc3472"/>
      <w:r>
        <w:rPr>
          <w:rFonts w:hint="eastAsia" w:ascii="Times New Roman" w:hAnsi="Times New Roman" w:cs="Times New Roman"/>
          <w:color w:val="auto"/>
          <w:kern w:val="2"/>
          <w:szCs w:val="32"/>
          <w:lang w:val="en-US" w:eastAsia="zh-CN"/>
        </w:rPr>
        <w:t>第七节  集镇防灾减灾规划</w:t>
      </w:r>
      <w:bookmarkEnd w:id="79"/>
    </w:p>
    <w:p>
      <w:pPr>
        <w:pStyle w:val="17"/>
        <w:pageBreakBefore w:val="0"/>
        <w:kinsoku/>
        <w:wordWrap/>
        <w:overflowPunct/>
        <w:topLinePunct w:val="0"/>
        <w:bidi w:val="0"/>
        <w:adjustRightInd/>
        <w:snapToGrid/>
        <w:spacing w:line="480" w:lineRule="exact"/>
        <w:ind w:left="0" w:leftChars="0" w:firstLine="562" w:firstLineChars="200"/>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一、防洪排涝</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1、现状防洪设施</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平富河沿岸通过路堤结合的形式已建设防洪堤。</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2、防洪标准</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根据平富乡的地形特点，结合道路设计，规划平富河边所有道路同时用作防洪堤，堤防高度按 20 年一遇的洪水设防。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3、防洪排涝工程规划 </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① 排涝标准按五年一遇的标准设防，结合道路设计，补齐、完善平富河防洪堤， </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规划河边所有道路同时用作防洪堤，进一步巩固防洪堤的防洪能力，形成具备防洪和交通双重功能的集镇道路。全年定期进行检查，保证防洪堤的稳固。 </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② 结合排水规划，在雨污排水管排水口处设潮门，防止洪水倒灌。 </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③ 根据地势情况，不断完善排涝设施，规划区按要求设置防洪闸。 </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④ 加强集镇周围区域绿化，增强水源涵养和水土保持。</w:t>
      </w:r>
    </w:p>
    <w:p>
      <w:pPr>
        <w:pStyle w:val="17"/>
        <w:pageBreakBefore w:val="0"/>
        <w:kinsoku/>
        <w:wordWrap/>
        <w:overflowPunct/>
        <w:topLinePunct w:val="0"/>
        <w:bidi w:val="0"/>
        <w:adjustRightInd/>
        <w:snapToGrid/>
        <w:spacing w:line="480" w:lineRule="exact"/>
        <w:ind w:left="0" w:leftChars="0" w:firstLine="562" w:firstLineChars="200"/>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二、消防规划</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1、现状及存在的问题 </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集镇中部现状有消防站设施，火警通过拨打 119。 </w:t>
      </w:r>
    </w:p>
    <w:p>
      <w:pPr>
        <w:keepNext w:val="0"/>
        <w:keepLines w:val="0"/>
        <w:pageBreakBefore w:val="0"/>
        <w:widowControl/>
        <w:suppressLineNumbers w:val="0"/>
        <w:kinsoku/>
        <w:wordWrap/>
        <w:overflowPunct/>
        <w:topLinePunct w:val="0"/>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现状存在问题：集镇部分地段消防通道严重不足，建筑防火间距不够。公共消防设施 严重不足，存在许多死角，一旦遇到火情，无法就近供水。</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2、消防设施规划</w:t>
      </w:r>
    </w:p>
    <w:p>
      <w:pPr>
        <w:pStyle w:val="17"/>
        <w:keepNext w:val="0"/>
        <w:keepLines w:val="0"/>
        <w:pageBreakBefore w:val="0"/>
        <w:kinsoku/>
        <w:wordWrap/>
        <w:overflowPunct/>
        <w:topLinePunct w:val="0"/>
        <w:bidi w:val="0"/>
        <w:adjustRightInd/>
        <w:snapToGrid/>
        <w:spacing w:line="480" w:lineRule="exact"/>
        <w:ind w:left="0" w:leftChars="0" w:firstLine="560" w:firstLineChars="200"/>
        <w:textAlignment w:val="auto"/>
        <w:rPr>
          <w:rFonts w:hint="eastAsia" w:ascii="宋体" w:hAnsi="宋体" w:eastAsia="宋体" w:cs="宋体"/>
          <w:color w:val="auto"/>
          <w:kern w:val="0"/>
          <w:sz w:val="28"/>
          <w:szCs w:val="28"/>
          <w:lang w:val="en-US" w:eastAsia="zh-CN" w:bidi="ar"/>
        </w:rPr>
      </w:pPr>
      <w:r>
        <w:rPr>
          <w:rFonts w:hint="eastAsia" w:ascii="Times New Roman" w:hAnsi="Times New Roman" w:eastAsia="仿宋_GB2312" w:cs="Times New Roman"/>
          <w:color w:val="auto"/>
          <w:kern w:val="2"/>
          <w:sz w:val="28"/>
          <w:szCs w:val="28"/>
          <w:lang w:val="en-US" w:eastAsia="zh-CN" w:bidi="ar-SA"/>
        </w:rPr>
        <w:t>规划保留消防站，</w:t>
      </w:r>
      <w:r>
        <w:rPr>
          <w:rFonts w:hint="eastAsia" w:ascii="Times New Roman" w:hAnsi="Times New Roman" w:eastAsia="仿宋_GB2312" w:cs="Times New Roman"/>
          <w:b w:val="0"/>
          <w:bCs w:val="0"/>
          <w:color w:val="auto"/>
          <w:kern w:val="2"/>
          <w:sz w:val="28"/>
          <w:szCs w:val="28"/>
          <w:highlight w:val="none"/>
          <w:lang w:val="en-US" w:eastAsia="zh-CN" w:bidi="ar-SA"/>
        </w:rPr>
        <w:t>位于集镇中部，用地面积0.04公顷</w:t>
      </w:r>
      <w:r>
        <w:rPr>
          <w:rFonts w:hint="eastAsia" w:ascii="Times New Roman" w:hAnsi="Times New Roman" w:eastAsia="仿宋_GB2312" w:cs="Times New Roman"/>
          <w:color w:val="auto"/>
          <w:kern w:val="2"/>
          <w:sz w:val="28"/>
          <w:szCs w:val="28"/>
          <w:lang w:val="en-US" w:eastAsia="zh-CN" w:bidi="ar-SA"/>
        </w:rPr>
        <w:t>。按二级站标准建设，兼顾附近各村庄和森林消防工作，配备专职消防人员和装备等，消防设施配备应突出农村和企业特点，配备机动灵活的手抬机动消防泵、摩托车消防车等，以及用于森林灭火的砍刀等工具。</w:t>
      </w:r>
      <w:r>
        <w:rPr>
          <w:rFonts w:hint="eastAsia" w:ascii="宋体" w:hAnsi="宋体" w:eastAsia="宋体" w:cs="宋体"/>
          <w:color w:val="auto"/>
          <w:kern w:val="0"/>
          <w:sz w:val="28"/>
          <w:szCs w:val="28"/>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3、消防给水设施</w:t>
      </w:r>
    </w:p>
    <w:p>
      <w:pPr>
        <w:pStyle w:val="17"/>
        <w:keepNext w:val="0"/>
        <w:keepLines w:val="0"/>
        <w:pageBreakBefore w:val="0"/>
        <w:kinsoku/>
        <w:wordWrap/>
        <w:overflowPunct/>
        <w:topLinePunct w:val="0"/>
        <w:bidi w:val="0"/>
        <w:adjustRightInd/>
        <w:snapToGrid/>
        <w:spacing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集镇消防水源主要来源于集镇管网供水。为保证消防用水量，给水管水压应达到消火栓最低出水压力(0.1MPa)的要求。沿街设置消防栓，消火栓按保护半径不超过 150m，间距不大于 120m 布置；消防栓距路边不超过 2m，距建筑外墙不宜小于 5m。沿街设置的均为地上式消火栓，消火栓有一个直径为 100mm 和两个直径为 65mm 的栓口，接至消防栓的管道直径不少于 150mm，其用水量按 10－15L/s 计算。平富河沿线考虑消防取水需要。</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4、消防通道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开辟消防通道，既可防止火灾的蔓延又有利于消防车的通行。大型公共建筑应设置环形消防车道，沿街建筑长度超过 150 米时，应设置穿过建筑物的消防通道，其净高与净宽均不应小于 4 米。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5、消防装备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增加与完善消防设备的种类与数量，做到性能优良、功能齐全，按照国家现行《城市消防站建设标准》（修订）、《消防员个人防护装备配备标准》等建设标准中的有关规定，根据实际需要确定实际配置。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6、消防通信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消防指挥中心与消防站和政府、供水、供电、供气、急救、交通、环保等部门以及消防安全重点单位应采用通信专线。城镇消防通信指挥系统内部与公安 110、交警 122、医救 120 等其他城镇救助系统的信息数据共享，达到 110、119、122“三台合一”技术要求，且不影响系统正常工作流程和系统工作的独立性。</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2"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三、人防规划</w:t>
      </w:r>
      <w:r>
        <w:rPr>
          <w:rFonts w:hint="eastAsia" w:ascii="Times New Roman" w:hAnsi="Times New Roman" w:eastAsia="仿宋_GB2312" w:cs="Times New Roman"/>
          <w:color w:val="auto"/>
          <w:kern w:val="2"/>
          <w:sz w:val="28"/>
          <w:szCs w:val="28"/>
          <w:lang w:val="en-US" w:eastAsia="zh-CN" w:bidi="ar-SA"/>
        </w:rPr>
        <w:t xml:space="preserve"> </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0" w:firstLineChars="200"/>
        <w:textAlignment w:val="auto"/>
        <w:rPr>
          <w:rFonts w:hint="eastAsia" w:ascii="Times New Roman" w:hAnsi="Times New Roman" w:eastAsia="仿宋_GB2312" w:cs="Times New Roman"/>
          <w:color w:val="auto"/>
          <w:kern w:val="2"/>
          <w:sz w:val="28"/>
          <w:szCs w:val="28"/>
          <w:highlight w:val="none"/>
          <w:lang w:val="en-US" w:eastAsia="zh-CN" w:bidi="ar-SA"/>
        </w:rPr>
      </w:pPr>
      <w:r>
        <w:rPr>
          <w:rFonts w:hint="eastAsia" w:ascii="Times New Roman" w:hAnsi="Times New Roman" w:eastAsia="仿宋_GB2312" w:cs="Times New Roman"/>
          <w:color w:val="auto"/>
          <w:kern w:val="2"/>
          <w:sz w:val="28"/>
          <w:szCs w:val="28"/>
          <w:highlight w:val="none"/>
          <w:lang w:val="en-US" w:eastAsia="zh-CN" w:bidi="ar-SA"/>
        </w:rPr>
        <w:t>遵循“平战结合”的原则，根据应对战争、平时灾害和重大突发事件接收安置疏散人口、物资、工业设施的需要，建设人防疏散设施，包括人防疏散场所（疏散地域、疏散基地、疏散集结点）。</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 xml:space="preserve">规划以集镇内的对外交通、主干道为疏散通道，保障战时区内及至周边城镇道路的畅通。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本区的灾害预测和应急预警系统制定，人防专业队伍及战略物资贮备建设由上犹县人防规划统一考虑。</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2" w:firstLineChars="200"/>
        <w:jc w:val="left"/>
        <w:textAlignment w:val="auto"/>
        <w:rPr>
          <w:rFonts w:hint="default"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四、防震减灾</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1、设防标准</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宋体" w:hAnsi="宋体" w:eastAsia="宋体" w:cs="宋体"/>
          <w:color w:val="auto"/>
          <w:kern w:val="0"/>
          <w:sz w:val="28"/>
          <w:szCs w:val="28"/>
          <w:lang w:val="en-US" w:eastAsia="zh-CN" w:bidi="ar"/>
        </w:rPr>
      </w:pPr>
      <w:r>
        <w:rPr>
          <w:rFonts w:hint="eastAsia" w:ascii="Times New Roman" w:hAnsi="Times New Roman" w:eastAsia="仿宋_GB2312" w:cs="Times New Roman"/>
          <w:color w:val="auto"/>
          <w:kern w:val="2"/>
          <w:sz w:val="28"/>
          <w:szCs w:val="28"/>
          <w:lang w:val="en-US" w:eastAsia="zh-CN" w:bidi="ar-SA"/>
        </w:rPr>
        <w:t>一般工业及民用工程可按 6 度烈度考虑抗震设防，学校、医院、图书馆、会议大楼等人流密集的公共建筑和交通、通讯、供电、供水、医疗卫生、消防等城镇生命线工程应按不低于 7 度设防。</w:t>
      </w:r>
      <w:r>
        <w:rPr>
          <w:rFonts w:hint="eastAsia" w:ascii="宋体" w:hAnsi="宋体" w:eastAsia="宋体" w:cs="宋体"/>
          <w:color w:val="auto"/>
          <w:kern w:val="0"/>
          <w:sz w:val="28"/>
          <w:szCs w:val="28"/>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2、避难疏散场地</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规划在集镇设置避震疏散场，主要利用集镇范围内的公园绿地、广场、学校操场等空旷地以及外围农田用地等场地。</w:t>
      </w:r>
    </w:p>
    <w:p>
      <w:pPr>
        <w:pStyle w:val="18"/>
        <w:ind w:left="0" w:leftChars="0" w:firstLine="560" w:firstLineChars="200"/>
        <w:rPr>
          <w:rFonts w:hint="default"/>
          <w:color w:val="auto"/>
          <w:lang w:val="en-US" w:eastAsia="zh-CN"/>
        </w:rPr>
      </w:pPr>
      <w:r>
        <w:rPr>
          <w:rFonts w:hint="eastAsia" w:ascii="Times New Roman" w:hAnsi="Times New Roman" w:eastAsia="仿宋_GB2312" w:cs="Times New Roman"/>
          <w:color w:val="auto"/>
          <w:kern w:val="2"/>
          <w:sz w:val="28"/>
          <w:szCs w:val="28"/>
          <w:lang w:val="en-US" w:eastAsia="zh-CN" w:bidi="ar-SA"/>
        </w:rPr>
        <w:t>3、避难疏散通道</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为使危险地段的群众能安全迅速地疏散到安全地区，将集镇内主、次干路作为震时疏散通道，因此避震疏散道路两侧房屋，应特别对高度和道路中心线距离加以限制，抗震疏散通道的宽度不应小于 10米，规划将平富乡集镇G220国道、干路确定为疏散通道，要求为软性沥青路面。 </w:t>
      </w:r>
    </w:p>
    <w:p>
      <w:pPr>
        <w:pStyle w:val="18"/>
        <w:ind w:left="0" w:leftChars="0" w:firstLine="560" w:firstLineChars="200"/>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4、生命线系统规划</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生命线系统包括供水、供电、通讯、交通、医疗、粮食、消防等系统，是区域功能的重要组成部分，比基本烈度提高一度按八度设防。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供水系统：规划要求为了提高抗震能力，对现有的供水系统进行加固处理，提高供水的保障能力，区域新建供水系统应满足抗震能力要求。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供电系统：规划要求尽快对变电站所有设备进行全面检查，对不符合抗震设防要求的建筑物尽快进行加固，并采取必要的抗震措施。新建变电站应采取必要的抗震措施，符合抗震要求。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医疗卫生系统：规划的医院应满足抗震要求，根据实际情况，分别配备小型发电机和备用水箱。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通讯系统：对各类设备、设施进行抗震性能检查，并根据使用特点采取切实可行的抗震防灾措施。储备一定数量的通信器材，以备震后应急抢险所需。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避震疏散通道系统：以集镇干道作为人员疏散和物资运输的主要救援通道。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消防系统：在集镇的适当位置要设置地下储水池，以备应急时使用。</w:t>
      </w:r>
    </w:p>
    <w:p>
      <w:pPr>
        <w:pStyle w:val="33"/>
        <w:spacing w:before="156" w:beforeLines="50" w:after="156" w:afterLines="50" w:line="520" w:lineRule="exact"/>
        <w:rPr>
          <w:rFonts w:hint="eastAsia" w:ascii="Times New Roman" w:hAnsi="Times New Roman" w:cs="Times New Roman"/>
          <w:color w:val="auto"/>
          <w:kern w:val="2"/>
          <w:szCs w:val="32"/>
          <w:lang w:val="en-US" w:eastAsia="zh-CN"/>
        </w:rPr>
      </w:pPr>
      <w:bookmarkStart w:id="80" w:name="_Toc7732"/>
      <w:r>
        <w:rPr>
          <w:rFonts w:hint="eastAsia" w:ascii="Times New Roman" w:hAnsi="Times New Roman" w:cs="Times New Roman"/>
          <w:color w:val="auto"/>
          <w:kern w:val="2"/>
          <w:szCs w:val="32"/>
          <w:lang w:val="en-US" w:eastAsia="zh-CN"/>
        </w:rPr>
        <w:t>第八节  集镇绿地系统和开敞空间规划</w:t>
      </w:r>
      <w:bookmarkEnd w:id="80"/>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2" w:firstLineChars="200"/>
        <w:jc w:val="left"/>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一、绿地系统规划</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集镇形成社区公园、口袋公园两级绿地系统，均衡布局。</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规划绿地与开敞空间总用地面积0.57公顷，其中绿地面积0.27公顷，广场用地0.30公顷。</w:t>
      </w:r>
    </w:p>
    <w:p>
      <w:pPr>
        <w:pStyle w:val="17"/>
        <w:keepNext w:val="0"/>
        <w:keepLines w:val="0"/>
        <w:pageBreakBefore w:val="0"/>
        <w:kinsoku/>
        <w:wordWrap/>
        <w:overflowPunct/>
        <w:topLinePunct w:val="0"/>
        <w:bidi w:val="0"/>
        <w:adjustRightInd/>
        <w:snapToGrid/>
        <w:spacing w:after="0" w:line="480" w:lineRule="exact"/>
        <w:ind w:left="0" w:leftChars="0" w:firstLine="562"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b/>
          <w:bCs/>
          <w:color w:val="auto"/>
          <w:kern w:val="2"/>
          <w:sz w:val="28"/>
          <w:szCs w:val="28"/>
          <w:highlight w:val="none"/>
          <w:lang w:val="en-US" w:eastAsia="zh-CN" w:bidi="ar-SA"/>
        </w:rPr>
        <w:t>公园绿地。</w:t>
      </w:r>
      <w:r>
        <w:rPr>
          <w:rFonts w:hint="eastAsia" w:ascii="Times New Roman" w:hAnsi="Times New Roman" w:eastAsia="仿宋_GB2312" w:cs="Times New Roman"/>
          <w:color w:val="auto"/>
          <w:kern w:val="2"/>
          <w:sz w:val="28"/>
          <w:szCs w:val="28"/>
          <w:lang w:val="en-US" w:eastAsia="zh-CN" w:bidi="ar-SA"/>
        </w:rPr>
        <w:t>规划开发边界内新增公园绿地面积0.06公顷，占集镇城镇开发边界用地的0.27%，</w:t>
      </w:r>
      <w:r>
        <w:rPr>
          <w:rFonts w:hint="eastAsia" w:ascii="Times New Roman" w:hAnsi="Times New Roman" w:eastAsia="仿宋_GB2312" w:cs="Times New Roman"/>
          <w:color w:val="auto"/>
          <w:kern w:val="2"/>
          <w:sz w:val="28"/>
          <w:szCs w:val="28"/>
          <w:highlight w:val="none"/>
          <w:lang w:val="en-US" w:eastAsia="zh-CN" w:bidi="ar-SA"/>
        </w:rPr>
        <w:t>位于集镇中部，营前河（平富段）北侧</w:t>
      </w:r>
      <w:r>
        <w:rPr>
          <w:rFonts w:hint="eastAsia" w:ascii="Times New Roman" w:hAnsi="Times New Roman" w:eastAsia="仿宋_GB2312" w:cs="Times New Roman"/>
          <w:color w:val="auto"/>
          <w:kern w:val="2"/>
          <w:sz w:val="28"/>
          <w:szCs w:val="28"/>
          <w:lang w:val="en-US" w:eastAsia="zh-CN" w:bidi="ar-SA"/>
        </w:rPr>
        <w:t>。</w:t>
      </w:r>
    </w:p>
    <w:p>
      <w:pPr>
        <w:pStyle w:val="18"/>
        <w:keepNext w:val="0"/>
        <w:keepLines w:val="0"/>
        <w:pageBreakBefore w:val="0"/>
        <w:kinsoku/>
        <w:wordWrap/>
        <w:overflowPunct/>
        <w:topLinePunct w:val="0"/>
        <w:bidi w:val="0"/>
        <w:adjustRightInd/>
        <w:snapToGrid/>
        <w:spacing w:afterLines="0" w:line="480" w:lineRule="exact"/>
        <w:ind w:left="0" w:leftChars="0" w:firstLine="562" w:firstLineChars="200"/>
        <w:textAlignment w:val="auto"/>
        <w:rPr>
          <w:rFonts w:hint="eastAsia" w:ascii="Times New Roman" w:hAnsi="Times New Roman" w:eastAsia="仿宋_GB2312" w:cs="Times New Roman"/>
          <w:color w:val="auto"/>
          <w:kern w:val="2"/>
          <w:sz w:val="28"/>
          <w:szCs w:val="28"/>
          <w:highlight w:val="none"/>
          <w:lang w:val="en-US" w:eastAsia="zh-CN" w:bidi="ar-SA"/>
        </w:rPr>
      </w:pPr>
      <w:r>
        <w:rPr>
          <w:rFonts w:hint="eastAsia" w:ascii="Times New Roman" w:hAnsi="Times New Roman" w:eastAsia="仿宋_GB2312" w:cs="Times New Roman"/>
          <w:b/>
          <w:bCs/>
          <w:color w:val="auto"/>
          <w:kern w:val="2"/>
          <w:sz w:val="28"/>
          <w:szCs w:val="28"/>
          <w:highlight w:val="none"/>
          <w:lang w:val="en-US" w:eastAsia="zh-CN" w:bidi="ar-SA"/>
        </w:rPr>
        <w:t>广场用地。</w:t>
      </w:r>
      <w:r>
        <w:rPr>
          <w:rFonts w:hint="eastAsia" w:ascii="Times New Roman" w:hAnsi="Times New Roman" w:eastAsia="仿宋_GB2312" w:cs="Times New Roman"/>
          <w:color w:val="auto"/>
          <w:kern w:val="2"/>
          <w:sz w:val="28"/>
          <w:szCs w:val="28"/>
          <w:highlight w:val="none"/>
          <w:lang w:val="en-US" w:eastAsia="zh-CN" w:bidi="ar-SA"/>
        </w:rPr>
        <w:t>规划在保留乡政府南侧的广场，为居民提供游憩、休闲等活动，在</w:t>
      </w:r>
      <w:r>
        <w:rPr>
          <w:rFonts w:hint="eastAsia" w:ascii="Times New Roman" w:hAnsi="Times New Roman" w:eastAsia="仿宋_GB2312" w:cs="Times New Roman"/>
          <w:color w:val="auto"/>
          <w:kern w:val="2"/>
          <w:sz w:val="28"/>
          <w:szCs w:val="28"/>
          <w:lang w:val="en-US" w:eastAsia="zh-CN" w:bidi="ar-SA"/>
        </w:rPr>
        <w:t>幼儿园</w:t>
      </w:r>
      <w:r>
        <w:rPr>
          <w:rFonts w:hint="eastAsia" w:ascii="Times New Roman" w:hAnsi="Times New Roman" w:eastAsia="仿宋_GB2312" w:cs="Times New Roman"/>
          <w:color w:val="auto"/>
          <w:kern w:val="2"/>
          <w:sz w:val="28"/>
          <w:szCs w:val="28"/>
          <w:highlight w:val="none"/>
          <w:lang w:val="en-US" w:eastAsia="zh-CN" w:bidi="ar-SA"/>
        </w:rPr>
        <w:t>东侧新建一处广场，结合广场设置健身设施和文化展示设施。</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2" w:firstLineChars="200"/>
        <w:jc w:val="left"/>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二、绿地景观规划</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为有效地改善集镇的整体形象，提升城镇品位和魅力。高效及充分利用平富河岸线景观蓝色资源，并结合集镇建筑，对公共开放绿地空间等进行一体化景观设计，增强集镇绿地系统的灵活性与多样性，有助于构筑蓝绿立体交织的网络意象。</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规划形成“一心一廊多点”的绿地景观系统。一心指平富乡集镇社区公园和广场形成的开放空间核心；一带指平富河滨水景观带；多点指集镇多处景观节点。</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2" w:firstLineChars="200"/>
        <w:jc w:val="left"/>
        <w:textAlignment w:val="auto"/>
        <w:rPr>
          <w:rFonts w:hint="default"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三、水系规划</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1、水系规划</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平富乡集镇现状水系资源丰富，平富河穿过集镇，拥有良好的滨水景观，共同构筑丰富的水体景观。加强沿线管理，保护自然水域、湿地、坑塘等蓝色空间。重点保护平富河，提升城市空间景观，提高城市的防洪排涝能力。</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2、岸线规划</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通过整治平富河沿线绿化，创造宜人的亲水空间。滨水开放空间规划应满足连续性、开敞性、可达性的规划原则。滨水开放空间的组织上，通过水岸的“线”，与亲水平台的“点”相互结合，确保滨水开放空间的连续性；合理控制滨水建筑的高度、体量，保证水系的开敞度，节点位置采用街头绿地或小型广场的形式与滨水绿地相呼应；因地制宜设计滨水步道，将水轴上的各个节点空间联系起来。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水系空间总体控制水资源的合理开发与保护，减少水土流失，加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大水利建设，节约水资源；整合现有水系系统，结合文化塑造水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系生态空间的引导思路。对于不同类型的水系引导方法有所不同，主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要从辐射范围，界面控制，绿化控制等几个方面进行引导。如排水渠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的引导，可通过设置水闸，保持河道水量丰盈，设置亲水平台，结合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休闲活动，为市民提供亲切宜人，充满活力的滨水空间。</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滨水景观营造的具体建设措施有：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保留现有，并在适当位置增设观水景廊，丰富视觉景观；同时结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合地形及气候条件辟设通风廊，促进空气流通，改善局部小气候；在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生活岸线适宜地段辟设滨河长廊，满足居民娱乐、休闲生活的需要，</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在河道两岸沿途预留地点提供休闲便利的公共设施；提倡建筑类型多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元化，可适当加入一些设计独特的建筑以丰富沿河建筑风貌。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0" w:firstLineChars="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滨河地带两侧的自然界面很重要，滨河绿带不宜种植高大乔木，以保证滨河景观的渗透性，可设置滨河亲水平台和阶梯状绿化以营造滨河界面优雅、生态的景观特征。根据不同的滨水地貌特征及现有沿湖岸线特点，归纳出适应不同河段的断面类型，在强化部分岸线特色的同时，对局部岸线进行改造及软硬岸的转化。 </w:t>
      </w:r>
    </w:p>
    <w:p>
      <w:pPr>
        <w:pStyle w:val="33"/>
        <w:spacing w:before="156" w:beforeLines="50" w:after="156" w:afterLines="50" w:line="520" w:lineRule="exact"/>
        <w:rPr>
          <w:rFonts w:hint="default" w:ascii="Times New Roman" w:hAnsi="Times New Roman" w:cs="Times New Roman"/>
          <w:color w:val="auto"/>
          <w:kern w:val="2"/>
          <w:szCs w:val="32"/>
          <w:lang w:val="en-US" w:eastAsia="zh-CN"/>
        </w:rPr>
      </w:pPr>
      <w:bookmarkStart w:id="81" w:name="_Toc8541"/>
      <w:r>
        <w:rPr>
          <w:rFonts w:hint="eastAsia" w:ascii="Times New Roman" w:hAnsi="Times New Roman" w:cs="Times New Roman"/>
          <w:color w:val="auto"/>
          <w:kern w:val="2"/>
          <w:szCs w:val="32"/>
          <w:lang w:val="en-US" w:eastAsia="zh-CN"/>
        </w:rPr>
        <w:t>第九节 集镇风貌特色管控</w:t>
      </w:r>
      <w:bookmarkEnd w:id="81"/>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2" w:firstLineChars="200"/>
        <w:jc w:val="left"/>
        <w:textAlignment w:val="auto"/>
        <w:rPr>
          <w:rFonts w:hint="default"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一、城镇风貌定位</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2" w:firstLineChars="200"/>
        <w:jc w:val="left"/>
        <w:textAlignment w:val="auto"/>
        <w:rPr>
          <w:rFonts w:hint="eastAsia" w:ascii="Times New Roman" w:hAnsi="Times New Roman" w:eastAsia="仿宋_GB2312" w:cs="Times New Roman"/>
          <w:color w:val="auto"/>
          <w:kern w:val="2"/>
          <w:sz w:val="28"/>
          <w:szCs w:val="28"/>
          <w:highlight w:val="none"/>
          <w:lang w:val="en-US" w:eastAsia="zh-CN" w:bidi="ar-SA"/>
        </w:rPr>
      </w:pPr>
      <w:r>
        <w:rPr>
          <w:rFonts w:hint="eastAsia" w:ascii="Times New Roman" w:hAnsi="Times New Roman" w:eastAsia="仿宋_GB2312" w:cs="Times New Roman"/>
          <w:b/>
          <w:bCs/>
          <w:color w:val="auto"/>
          <w:kern w:val="2"/>
          <w:sz w:val="28"/>
          <w:szCs w:val="28"/>
          <w:highlight w:val="none"/>
          <w:lang w:val="en-US" w:eastAsia="zh-CN" w:bidi="ar-SA"/>
        </w:rPr>
        <w:t>集镇构建“田园河滨小镇”城镇风貌定位</w:t>
      </w:r>
      <w:r>
        <w:rPr>
          <w:rFonts w:hint="eastAsia" w:ascii="Times New Roman" w:hAnsi="Times New Roman" w:eastAsia="仿宋_GB2312" w:cs="Times New Roman"/>
          <w:color w:val="auto"/>
          <w:kern w:val="2"/>
          <w:sz w:val="28"/>
          <w:szCs w:val="28"/>
          <w:highlight w:val="none"/>
          <w:lang w:val="en-US" w:eastAsia="zh-CN" w:bidi="ar-SA"/>
        </w:rPr>
        <w:t>。</w:t>
      </w:r>
      <w:r>
        <w:rPr>
          <w:rFonts w:hint="eastAsia" w:ascii="Times New Roman" w:hAnsi="Times New Roman" w:eastAsia="仿宋_GB2312" w:cs="Times New Roman"/>
          <w:b w:val="0"/>
          <w:bCs w:val="0"/>
          <w:color w:val="auto"/>
          <w:kern w:val="2"/>
          <w:sz w:val="28"/>
          <w:szCs w:val="28"/>
          <w:highlight w:val="none"/>
          <w:lang w:val="en-US" w:eastAsia="zh-CN" w:bidi="ar-SA"/>
        </w:rPr>
        <w:t xml:space="preserve">结合自然地形地貌特征，严控生态廊道，重点管控集镇与周边田园的关系。挖掘景观价值，完善服务功能，构建园城互融、宜居乐活的田园河滨小镇。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2" w:firstLineChars="200"/>
        <w:jc w:val="left"/>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二、城镇风貌分区</w:t>
      </w:r>
    </w:p>
    <w:p>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Times New Roman" w:hAnsi="Times New Roman" w:eastAsia="仿宋_GB2312" w:cs="Times New Roman"/>
          <w:color w:val="auto"/>
          <w:kern w:val="2"/>
          <w:sz w:val="28"/>
          <w:szCs w:val="28"/>
          <w:highlight w:val="none"/>
          <w:lang w:val="en-US" w:eastAsia="zh-CN" w:bidi="ar-SA"/>
        </w:rPr>
      </w:pPr>
      <w:r>
        <w:rPr>
          <w:rFonts w:hint="eastAsia" w:ascii="Times New Roman" w:hAnsi="Times New Roman" w:eastAsia="仿宋_GB2312" w:cs="Times New Roman"/>
          <w:b/>
          <w:bCs/>
          <w:color w:val="auto"/>
          <w:kern w:val="2"/>
          <w:sz w:val="28"/>
          <w:szCs w:val="28"/>
          <w:highlight w:val="none"/>
          <w:lang w:val="en-US" w:eastAsia="zh-CN" w:bidi="ar-SA"/>
        </w:rPr>
        <w:t>宜居生活风貌片区：</w:t>
      </w:r>
      <w:r>
        <w:rPr>
          <w:rFonts w:hint="eastAsia" w:ascii="Times New Roman" w:hAnsi="Times New Roman" w:eastAsia="仿宋_GB2312" w:cs="Times New Roman"/>
          <w:b w:val="0"/>
          <w:bCs w:val="0"/>
          <w:color w:val="auto"/>
          <w:kern w:val="2"/>
          <w:sz w:val="28"/>
          <w:szCs w:val="28"/>
          <w:highlight w:val="none"/>
          <w:lang w:val="en-US" w:eastAsia="zh-CN" w:bidi="ar-SA"/>
        </w:rPr>
        <w:t>包含集镇北部及周边区域。以居住功能为主，加强220国道沿线界面的连续性，建筑高度、体量、风格应与传统建筑相协调，鼓励以传统建筑风格布局，屋顶以赭红色及灰黑色坡屋顶为主，建筑外观材质以青砖、红砖、木、石为主，色彩以青灰、麻灰、砖红、锗红、土黄、浅黄等为主；新建现代建筑以白色、米色、灰色和土黄色为主，以红、褐、黑色为辅，建筑外观和屋顶形式适当与历史风貌相呼应。</w:t>
      </w:r>
    </w:p>
    <w:p>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color w:val="auto"/>
          <w:highlight w:val="none"/>
        </w:rPr>
      </w:pPr>
      <w:r>
        <w:rPr>
          <w:rFonts w:hint="eastAsia" w:ascii="Times New Roman" w:hAnsi="Times New Roman" w:eastAsia="仿宋_GB2312" w:cs="Times New Roman"/>
          <w:b/>
          <w:bCs/>
          <w:color w:val="auto"/>
          <w:kern w:val="2"/>
          <w:sz w:val="28"/>
          <w:szCs w:val="28"/>
          <w:highlight w:val="none"/>
          <w:lang w:val="en-US" w:eastAsia="zh-CN" w:bidi="ar-SA"/>
        </w:rPr>
        <w:t>综合商贸风貌片区：</w:t>
      </w:r>
      <w:r>
        <w:rPr>
          <w:rFonts w:hint="eastAsia" w:ascii="Times New Roman" w:hAnsi="Times New Roman" w:eastAsia="仿宋_GB2312" w:cs="Times New Roman"/>
          <w:b w:val="0"/>
          <w:bCs w:val="0"/>
          <w:color w:val="auto"/>
          <w:kern w:val="2"/>
          <w:sz w:val="28"/>
          <w:szCs w:val="28"/>
          <w:highlight w:val="none"/>
          <w:lang w:val="en-US" w:eastAsia="zh-CN" w:bidi="ar-SA"/>
        </w:rPr>
        <w:t>主要包括集镇南部的行政服务、商贸等综合发展的区域。规划加强街道空间与建筑界面的引导，突出商业活力、安全宜居的人文主题，加强220国道沿线界面的塑造，体现人文活力小镇总体意向。</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2" w:firstLineChars="200"/>
        <w:jc w:val="left"/>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三、空间形态管控引导</w:t>
      </w:r>
    </w:p>
    <w:p>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Times New Roman" w:hAnsi="Times New Roman" w:eastAsia="仿宋_GB2312" w:cs="Times New Roman"/>
          <w:b/>
          <w:bCs/>
          <w:color w:val="auto"/>
          <w:kern w:val="2"/>
          <w:sz w:val="28"/>
          <w:szCs w:val="28"/>
          <w:highlight w:val="none"/>
          <w:lang w:val="en-US" w:eastAsia="zh-CN" w:bidi="ar-SA"/>
        </w:rPr>
      </w:pPr>
      <w:r>
        <w:rPr>
          <w:rFonts w:hint="eastAsia" w:ascii="Times New Roman" w:hAnsi="Times New Roman" w:eastAsia="仿宋_GB2312" w:cs="Times New Roman"/>
          <w:b/>
          <w:bCs/>
          <w:color w:val="auto"/>
          <w:kern w:val="2"/>
          <w:sz w:val="28"/>
          <w:szCs w:val="28"/>
          <w:highlight w:val="none"/>
          <w:lang w:val="en-US" w:eastAsia="zh-CN" w:bidi="ar-SA"/>
        </w:rPr>
        <w:t>开发强度分区引导。</w:t>
      </w:r>
      <w:r>
        <w:rPr>
          <w:rFonts w:hint="eastAsia" w:ascii="Times New Roman" w:hAnsi="Times New Roman" w:eastAsia="仿宋_GB2312" w:cs="Times New Roman"/>
          <w:b w:val="0"/>
          <w:bCs w:val="0"/>
          <w:color w:val="auto"/>
          <w:kern w:val="2"/>
          <w:sz w:val="28"/>
          <w:szCs w:val="28"/>
          <w:highlight w:val="none"/>
          <w:lang w:val="en-US" w:eastAsia="zh-CN" w:bidi="ar-SA"/>
        </w:rPr>
        <w:t>规划结合城市空间布局特色、用地性质、主导功能对开发建设强度提出管控要求。设定两类开发建设强度分区，即：Ⅰ级强度区、Ⅱ级强度区，地块开发强度在控制性详细规划中具体确定。Ⅰ级强度区容积率小于1.0，主要包括</w:t>
      </w:r>
      <w:r>
        <w:rPr>
          <w:rFonts w:hint="eastAsia" w:ascii="Times New Roman" w:hAnsi="Times New Roman" w:eastAsia="仿宋_GB2312" w:cs="Times New Roman"/>
          <w:color w:val="auto"/>
          <w:kern w:val="2"/>
          <w:sz w:val="28"/>
          <w:szCs w:val="28"/>
          <w:lang w:val="en-US" w:eastAsia="zh-CN" w:bidi="ar-SA"/>
        </w:rPr>
        <w:t>教育用地、公用设施用地、现状农村聚居点</w:t>
      </w:r>
      <w:r>
        <w:rPr>
          <w:rFonts w:hint="eastAsia" w:ascii="Times New Roman" w:hAnsi="Times New Roman" w:eastAsia="仿宋_GB2312" w:cs="Times New Roman"/>
          <w:b w:val="0"/>
          <w:bCs w:val="0"/>
          <w:color w:val="auto"/>
          <w:kern w:val="2"/>
          <w:sz w:val="28"/>
          <w:szCs w:val="28"/>
          <w:highlight w:val="none"/>
          <w:lang w:val="en-US" w:eastAsia="zh-CN" w:bidi="ar-SA"/>
        </w:rPr>
        <w:t xml:space="preserve">等。Ⅱ级强度区容积率1.0-1.5，主要包括居住用地、医疗卫生、商业设施、商住混合功能为主的地块。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ind w:left="0" w:leftChars="0" w:firstLine="562" w:firstLineChars="200"/>
        <w:jc w:val="left"/>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bCs/>
          <w:color w:val="auto"/>
          <w:kern w:val="2"/>
          <w:sz w:val="28"/>
          <w:szCs w:val="28"/>
          <w:highlight w:val="none"/>
          <w:lang w:val="en-US" w:eastAsia="zh-CN" w:bidi="ar-SA"/>
        </w:rPr>
        <w:t>高度分区引导。</w:t>
      </w:r>
      <w:r>
        <w:rPr>
          <w:rFonts w:hint="eastAsia" w:ascii="Times New Roman" w:hAnsi="Times New Roman" w:eastAsia="仿宋_GB2312" w:cs="Times New Roman"/>
          <w:b w:val="0"/>
          <w:bCs w:val="0"/>
          <w:color w:val="auto"/>
          <w:kern w:val="2"/>
          <w:sz w:val="28"/>
          <w:szCs w:val="28"/>
          <w:highlight w:val="none"/>
          <w:lang w:val="en-US" w:eastAsia="zh-CN" w:bidi="ar-SA"/>
        </w:rPr>
        <w:t xml:space="preserve">规划划分两个层级高度控制分区，原则上按照高度控制分区进行建筑高度控制；其中一级控制区为12米以下，二级高度控制区为12-24米。 </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各级高度控制区内允许存在部分建筑高度超过控制上限，超出建筑面积比例不超过5%，以营造城市空间的多样性；地区应严格限制高度，新建建筑原则上控制在24米以下，即以底层、多层建筑为主，局部景观节点和视线通廊交汇处可突破。</w:t>
      </w:r>
    </w:p>
    <w:p>
      <w:pPr>
        <w:pStyle w:val="33"/>
        <w:spacing w:before="156" w:beforeLines="50" w:after="156" w:afterLines="50" w:line="520" w:lineRule="exact"/>
        <w:rPr>
          <w:rFonts w:hint="default" w:ascii="Times New Roman" w:hAnsi="Times New Roman" w:cs="Times New Roman"/>
          <w:color w:val="auto"/>
          <w:kern w:val="2"/>
          <w:szCs w:val="32"/>
          <w:lang w:val="en-US" w:eastAsia="zh-CN"/>
        </w:rPr>
      </w:pPr>
      <w:bookmarkStart w:id="82" w:name="_Toc7621"/>
      <w:bookmarkStart w:id="83" w:name="_Toc7251"/>
      <w:r>
        <w:rPr>
          <w:rFonts w:hint="eastAsia" w:ascii="Times New Roman" w:hAnsi="Times New Roman" w:cs="Times New Roman"/>
          <w:color w:val="auto"/>
          <w:kern w:val="2"/>
          <w:szCs w:val="32"/>
          <w:lang w:val="en-US" w:eastAsia="zh-CN"/>
        </w:rPr>
        <w:t>第十节  住房建设与人居环境整治</w:t>
      </w:r>
      <w:bookmarkEnd w:id="82"/>
      <w:bookmarkEnd w:id="83"/>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2" w:firstLineChars="200"/>
        <w:jc w:val="left"/>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一、健全住房供应体系</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2" w:firstLineChars="200"/>
        <w:textAlignment w:val="auto"/>
        <w:rPr>
          <w:rFonts w:hint="eastAsia" w:ascii="Times New Roman" w:hAnsi="Times New Roman" w:eastAsia="仿宋_GB2312" w:cs="Times New Roman"/>
          <w:color w:val="auto"/>
          <w:kern w:val="2"/>
          <w:sz w:val="28"/>
          <w:szCs w:val="28"/>
          <w:highlight w:val="none"/>
          <w:lang w:val="en-US" w:eastAsia="zh-CN" w:bidi="ar-SA"/>
        </w:rPr>
      </w:pPr>
      <w:r>
        <w:rPr>
          <w:rFonts w:hint="eastAsia" w:ascii="Times New Roman" w:hAnsi="Times New Roman" w:eastAsia="仿宋_GB2312" w:cs="Times New Roman"/>
          <w:b/>
          <w:bCs/>
          <w:color w:val="auto"/>
          <w:kern w:val="2"/>
          <w:sz w:val="28"/>
          <w:szCs w:val="28"/>
          <w:highlight w:val="none"/>
          <w:lang w:val="en-US" w:eastAsia="zh-CN" w:bidi="ar-SA"/>
        </w:rPr>
        <w:t>合理构建住房供应体系</w:t>
      </w:r>
      <w:r>
        <w:rPr>
          <w:rFonts w:hint="eastAsia" w:ascii="Times New Roman" w:hAnsi="Times New Roman" w:eastAsia="仿宋_GB2312" w:cs="Times New Roman"/>
          <w:color w:val="auto"/>
          <w:kern w:val="2"/>
          <w:sz w:val="28"/>
          <w:szCs w:val="28"/>
          <w:highlight w:val="none"/>
          <w:lang w:val="en-US" w:eastAsia="zh-CN" w:bidi="ar-SA"/>
        </w:rPr>
        <w:t>。</w:t>
      </w:r>
      <w:r>
        <w:rPr>
          <w:rFonts w:hint="eastAsia" w:ascii="Times New Roman" w:hAnsi="Times New Roman" w:eastAsia="仿宋_GB2312" w:cs="Times New Roman"/>
          <w:b w:val="0"/>
          <w:bCs w:val="0"/>
          <w:color w:val="auto"/>
          <w:kern w:val="2"/>
          <w:sz w:val="28"/>
          <w:szCs w:val="28"/>
          <w:highlight w:val="none"/>
          <w:lang w:val="en-US" w:eastAsia="zh-CN" w:bidi="ar-SA"/>
        </w:rPr>
        <w:t xml:space="preserve">从市场需求出发，加快建立多主体供应、多渠道保障、租购并举的住房制度；建立符合平富乡实际情况的住房供应体系。 </w:t>
      </w:r>
    </w:p>
    <w:p>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Times New Roman" w:hAnsi="Times New Roman"/>
          <w:color w:val="auto"/>
          <w:sz w:val="32"/>
          <w:szCs w:val="32"/>
          <w:lang w:val="en-US" w:eastAsia="zh-CN"/>
        </w:rPr>
      </w:pPr>
      <w:r>
        <w:rPr>
          <w:rFonts w:hint="eastAsia" w:ascii="Times New Roman" w:hAnsi="Times New Roman" w:eastAsia="仿宋_GB2312" w:cs="Times New Roman"/>
          <w:b/>
          <w:bCs/>
          <w:color w:val="auto"/>
          <w:kern w:val="2"/>
          <w:sz w:val="28"/>
          <w:szCs w:val="28"/>
          <w:highlight w:val="none"/>
          <w:lang w:val="en-US" w:eastAsia="zh-CN" w:bidi="ar-SA"/>
        </w:rPr>
        <w:t>提高住宅人居环境品质。</w:t>
      </w:r>
      <w:r>
        <w:rPr>
          <w:rFonts w:hint="eastAsia" w:ascii="Times New Roman" w:hAnsi="Times New Roman" w:eastAsia="仿宋_GB2312" w:cs="Times New Roman"/>
          <w:color w:val="auto"/>
          <w:kern w:val="2"/>
          <w:sz w:val="28"/>
          <w:szCs w:val="28"/>
          <w:lang w:val="en-US" w:eastAsia="zh-CN" w:bidi="ar-SA"/>
        </w:rPr>
        <w:t>完善住房质量管理机制，加强新建住房建筑标准化管理，积极推广绿色建筑和装配式建筑。</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2" w:firstLineChars="200"/>
        <w:jc w:val="left"/>
        <w:textAlignment w:val="auto"/>
        <w:rPr>
          <w:rFonts w:hint="default"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二、居住用地布局</w:t>
      </w:r>
    </w:p>
    <w:p>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Times New Roman" w:hAnsi="Times New Roman" w:eastAsia="仿宋_GB2312" w:cs="Times New Roman"/>
          <w:b w:val="0"/>
          <w:bCs w:val="0"/>
          <w:color w:val="auto"/>
          <w:kern w:val="2"/>
          <w:sz w:val="28"/>
          <w:szCs w:val="28"/>
          <w:highlight w:val="none"/>
          <w:lang w:val="en-US" w:eastAsia="zh-CN" w:bidi="ar-SA"/>
        </w:rPr>
      </w:pPr>
      <w:r>
        <w:rPr>
          <w:rFonts w:hint="eastAsia" w:ascii="Times New Roman" w:hAnsi="Times New Roman" w:eastAsia="仿宋_GB2312" w:cs="Times New Roman"/>
          <w:b w:val="0"/>
          <w:bCs w:val="0"/>
          <w:color w:val="auto"/>
          <w:kern w:val="2"/>
          <w:sz w:val="28"/>
          <w:szCs w:val="28"/>
          <w:highlight w:val="none"/>
          <w:lang w:val="en-US" w:eastAsia="zh-CN" w:bidi="ar-SA"/>
        </w:rPr>
        <w:t>至 2035年，平富乡集镇规划居住用地14.42公顷，将平富乡集镇的居住用地划分为两大片区，即北部居住片区与南部居住片区。</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2" w:firstLineChars="200"/>
        <w:textAlignment w:val="auto"/>
        <w:rPr>
          <w:rFonts w:hint="eastAsia" w:ascii="Times New Roman" w:hAnsi="Times New Roman" w:eastAsia="仿宋_GB2312" w:cs="Times New Roman"/>
          <w:color w:val="auto"/>
          <w:kern w:val="2"/>
          <w:sz w:val="28"/>
          <w:szCs w:val="28"/>
          <w:highlight w:val="none"/>
          <w:lang w:val="en-US" w:eastAsia="zh-CN" w:bidi="ar-SA"/>
        </w:rPr>
      </w:pPr>
      <w:r>
        <w:rPr>
          <w:rFonts w:hint="eastAsia" w:ascii="Times New Roman" w:hAnsi="Times New Roman" w:eastAsia="仿宋_GB2312" w:cs="Times New Roman"/>
          <w:b/>
          <w:bCs/>
          <w:color w:val="auto"/>
          <w:kern w:val="2"/>
          <w:sz w:val="28"/>
          <w:szCs w:val="28"/>
          <w:highlight w:val="none"/>
          <w:lang w:val="en-US" w:eastAsia="zh-CN" w:bidi="ar-SA"/>
        </w:rPr>
        <w:t>北部居住片区：</w:t>
      </w:r>
      <w:r>
        <w:rPr>
          <w:rFonts w:hint="eastAsia" w:ascii="Times New Roman" w:hAnsi="Times New Roman" w:eastAsia="仿宋_GB2312" w:cs="Times New Roman"/>
          <w:b w:val="0"/>
          <w:bCs w:val="0"/>
          <w:color w:val="auto"/>
          <w:kern w:val="2"/>
          <w:sz w:val="28"/>
          <w:szCs w:val="28"/>
          <w:highlight w:val="none"/>
          <w:lang w:val="en-US" w:eastAsia="zh-CN" w:bidi="ar-SA"/>
        </w:rPr>
        <w:t>位于集镇的北部，居住用地面积约为4.87公顷。该区主要为现状居民点，以提升居住环境，完善配套设施为主。</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2" w:firstLineChars="200"/>
        <w:textAlignment w:val="auto"/>
        <w:rPr>
          <w:rFonts w:hint="eastAsia" w:ascii="Times New Roman" w:hAnsi="Times New Roman" w:eastAsia="仿宋_GB2312" w:cs="Times New Roman"/>
          <w:color w:val="auto"/>
          <w:kern w:val="2"/>
          <w:sz w:val="28"/>
          <w:szCs w:val="28"/>
          <w:highlight w:val="none"/>
          <w:lang w:val="en-US" w:eastAsia="zh-CN" w:bidi="ar-SA"/>
        </w:rPr>
      </w:pPr>
      <w:r>
        <w:rPr>
          <w:rFonts w:hint="eastAsia" w:ascii="Times New Roman" w:hAnsi="Times New Roman" w:eastAsia="仿宋_GB2312" w:cs="Times New Roman"/>
          <w:b/>
          <w:bCs/>
          <w:color w:val="auto"/>
          <w:kern w:val="2"/>
          <w:sz w:val="28"/>
          <w:szCs w:val="28"/>
          <w:highlight w:val="none"/>
          <w:lang w:val="en-US" w:eastAsia="zh-CN" w:bidi="ar-SA"/>
        </w:rPr>
        <w:t>南部居住片区：</w:t>
      </w:r>
      <w:r>
        <w:rPr>
          <w:rFonts w:hint="eastAsia" w:ascii="Times New Roman" w:hAnsi="Times New Roman" w:eastAsia="仿宋_GB2312" w:cs="Times New Roman"/>
          <w:b w:val="0"/>
          <w:bCs w:val="0"/>
          <w:color w:val="auto"/>
          <w:kern w:val="2"/>
          <w:sz w:val="28"/>
          <w:szCs w:val="28"/>
          <w:highlight w:val="none"/>
          <w:lang w:val="en-US" w:eastAsia="zh-CN" w:bidi="ar-SA"/>
        </w:rPr>
        <w:t>位于集镇的南部，居住用地面积约为9.55公顷。该区主要为现状居民集聚区，完善道路交通，加强配套设施建设，优化人居环境，提升城镇空间品质。</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2" w:firstLineChars="200"/>
        <w:jc w:val="left"/>
        <w:textAlignment w:val="auto"/>
        <w:rPr>
          <w:rFonts w:hint="default"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三、人居环境整治</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2" w:firstLineChars="200"/>
        <w:textAlignment w:val="auto"/>
        <w:rPr>
          <w:rFonts w:hint="eastAsia" w:ascii="Times New Roman" w:hAnsi="Times New Roman" w:eastAsia="仿宋_GB2312" w:cs="Times New Roman"/>
          <w:color w:val="auto"/>
          <w:kern w:val="2"/>
          <w:sz w:val="28"/>
          <w:szCs w:val="28"/>
          <w:highlight w:val="none"/>
          <w:lang w:val="en-US" w:eastAsia="zh-CN" w:bidi="ar-SA"/>
        </w:rPr>
      </w:pPr>
      <w:r>
        <w:rPr>
          <w:rFonts w:hint="eastAsia" w:ascii="Times New Roman" w:hAnsi="Times New Roman" w:eastAsia="仿宋_GB2312" w:cs="Times New Roman"/>
          <w:b/>
          <w:bCs/>
          <w:color w:val="auto"/>
          <w:kern w:val="2"/>
          <w:sz w:val="28"/>
          <w:szCs w:val="28"/>
          <w:highlight w:val="none"/>
          <w:lang w:val="en-US" w:eastAsia="zh-CN" w:bidi="ar-SA"/>
        </w:rPr>
        <w:t>环境综合整治。</w:t>
      </w:r>
      <w:r>
        <w:rPr>
          <w:rFonts w:hint="eastAsia" w:ascii="Times New Roman" w:hAnsi="Times New Roman" w:eastAsia="仿宋_GB2312" w:cs="Times New Roman"/>
          <w:color w:val="auto"/>
          <w:kern w:val="2"/>
          <w:sz w:val="28"/>
          <w:szCs w:val="28"/>
          <w:highlight w:val="none"/>
          <w:lang w:val="en-US" w:eastAsia="zh-CN" w:bidi="ar-SA"/>
        </w:rPr>
        <w:t xml:space="preserve">主要包括拆除集镇违章建(构)筑物、拆墙透绿、治理环境卫生等。重点提升位于集镇中北部自然村组，整治环境、改善居住空间，整体环境品质得到提升。 </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2" w:firstLineChars="200"/>
        <w:textAlignment w:val="auto"/>
        <w:rPr>
          <w:rFonts w:hint="eastAsia" w:ascii="Times New Roman" w:hAnsi="Times New Roman" w:eastAsia="仿宋_GB2312" w:cs="Times New Roman"/>
          <w:color w:val="auto"/>
          <w:kern w:val="2"/>
          <w:sz w:val="28"/>
          <w:szCs w:val="28"/>
          <w:highlight w:val="none"/>
          <w:lang w:val="en-US" w:eastAsia="zh-CN" w:bidi="ar-SA"/>
        </w:rPr>
      </w:pPr>
      <w:r>
        <w:rPr>
          <w:rFonts w:hint="eastAsia" w:ascii="Times New Roman" w:hAnsi="Times New Roman" w:eastAsia="仿宋_GB2312" w:cs="Times New Roman"/>
          <w:b/>
          <w:bCs/>
          <w:color w:val="auto"/>
          <w:kern w:val="2"/>
          <w:sz w:val="28"/>
          <w:szCs w:val="28"/>
          <w:highlight w:val="none"/>
          <w:lang w:val="en-US" w:eastAsia="zh-CN" w:bidi="ar-SA"/>
        </w:rPr>
        <w:t>道路网络梳理。</w:t>
      </w:r>
      <w:r>
        <w:rPr>
          <w:rFonts w:hint="eastAsia" w:ascii="Times New Roman" w:hAnsi="Times New Roman" w:eastAsia="仿宋_GB2312" w:cs="Times New Roman"/>
          <w:color w:val="auto"/>
          <w:kern w:val="2"/>
          <w:sz w:val="28"/>
          <w:szCs w:val="28"/>
          <w:highlight w:val="none"/>
          <w:lang w:val="en-US" w:eastAsia="zh-CN" w:bidi="ar-SA"/>
        </w:rPr>
        <w:t xml:space="preserve">规划延续集镇原有发展脉络，梳理巷路系统，增加支路，使集镇内部道路能成系统；路网梳理后，集镇内部停车、行车问题得到有效解决。 </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2" w:firstLineChars="200"/>
        <w:textAlignment w:val="auto"/>
        <w:rPr>
          <w:rFonts w:hint="eastAsia" w:ascii="Times New Roman" w:hAnsi="Times New Roman" w:eastAsia="仿宋_GB2312" w:cs="Times New Roman"/>
          <w:color w:val="auto"/>
          <w:kern w:val="2"/>
          <w:sz w:val="28"/>
          <w:szCs w:val="28"/>
          <w:highlight w:val="none"/>
          <w:lang w:val="en-US" w:eastAsia="zh-CN" w:bidi="ar-SA"/>
        </w:rPr>
      </w:pPr>
      <w:r>
        <w:rPr>
          <w:rFonts w:hint="eastAsia" w:ascii="Times New Roman" w:hAnsi="Times New Roman" w:eastAsia="仿宋_GB2312" w:cs="Times New Roman"/>
          <w:b/>
          <w:bCs/>
          <w:color w:val="auto"/>
          <w:kern w:val="2"/>
          <w:sz w:val="28"/>
          <w:szCs w:val="28"/>
          <w:highlight w:val="none"/>
          <w:lang w:val="en-US" w:eastAsia="zh-CN" w:bidi="ar-SA"/>
        </w:rPr>
        <w:t>集镇补绿增绿。</w:t>
      </w:r>
      <w:r>
        <w:rPr>
          <w:rFonts w:hint="eastAsia" w:ascii="Times New Roman" w:hAnsi="Times New Roman" w:eastAsia="仿宋_GB2312" w:cs="Times New Roman"/>
          <w:color w:val="auto"/>
          <w:kern w:val="2"/>
          <w:sz w:val="28"/>
          <w:szCs w:val="28"/>
          <w:highlight w:val="none"/>
          <w:lang w:val="en-US" w:eastAsia="zh-CN" w:bidi="ar-SA"/>
        </w:rPr>
        <w:t xml:space="preserve">利用集镇内部空地建设小型绿化景观，建设街头休闲空间，美化生活环境，房前屋后鼓励种植绿化，以庭院绿化和垂直绿化为补充，提升居住社区绿化覆盖率。 </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2" w:firstLineChars="200"/>
        <w:textAlignment w:val="auto"/>
        <w:rPr>
          <w:rFonts w:hint="eastAsia" w:ascii="Times New Roman" w:hAnsi="Times New Roman" w:eastAsia="仿宋_GB2312" w:cs="Times New Roman"/>
          <w:color w:val="auto"/>
          <w:kern w:val="2"/>
          <w:sz w:val="28"/>
          <w:szCs w:val="28"/>
          <w:highlight w:val="none"/>
          <w:lang w:val="en-US" w:eastAsia="zh-CN" w:bidi="ar-SA"/>
        </w:rPr>
      </w:pPr>
      <w:r>
        <w:rPr>
          <w:rFonts w:hint="eastAsia" w:ascii="Times New Roman" w:hAnsi="Times New Roman" w:eastAsia="仿宋_GB2312" w:cs="Times New Roman"/>
          <w:b/>
          <w:bCs/>
          <w:color w:val="auto"/>
          <w:kern w:val="2"/>
          <w:sz w:val="28"/>
          <w:szCs w:val="28"/>
          <w:highlight w:val="none"/>
          <w:lang w:val="en-US" w:eastAsia="zh-CN" w:bidi="ar-SA"/>
        </w:rPr>
        <w:t>配套设施完善。</w:t>
      </w:r>
      <w:r>
        <w:rPr>
          <w:rFonts w:hint="eastAsia" w:ascii="Times New Roman" w:hAnsi="Times New Roman" w:eastAsia="仿宋_GB2312" w:cs="Times New Roman"/>
          <w:color w:val="auto"/>
          <w:kern w:val="2"/>
          <w:sz w:val="28"/>
          <w:szCs w:val="28"/>
          <w:highlight w:val="none"/>
          <w:lang w:val="en-US" w:eastAsia="zh-CN" w:bidi="ar-SA"/>
        </w:rPr>
        <w:t>主要包括社区配套设施设备(社区服务设施、文化体育设施、安全防范设施、停车设施、管理服务用房等)的补建，市政公用设施(垃圾、供排水、 供气、供电、电信、邮政和污水处理等设施)的完善。要按照公共服务均等化的要求，加强社区组织工作用房和居民公益性服务设施建设。</w:t>
      </w:r>
    </w:p>
    <w:p>
      <w:pPr>
        <w:pStyle w:val="33"/>
        <w:spacing w:before="156" w:beforeLines="50" w:after="156" w:afterLines="50" w:line="520" w:lineRule="exact"/>
        <w:rPr>
          <w:rFonts w:hint="default" w:ascii="Times New Roman" w:hAnsi="Times New Roman" w:cs="Times New Roman"/>
          <w:color w:val="auto"/>
          <w:kern w:val="2"/>
          <w:szCs w:val="32"/>
          <w:lang w:val="en-US" w:eastAsia="zh-CN"/>
        </w:rPr>
      </w:pPr>
      <w:bookmarkStart w:id="84" w:name="_Toc29457"/>
      <w:r>
        <w:rPr>
          <w:rFonts w:hint="eastAsia" w:ascii="Times New Roman" w:hAnsi="Times New Roman" w:cs="Times New Roman"/>
          <w:color w:val="auto"/>
          <w:kern w:val="2"/>
          <w:szCs w:val="32"/>
          <w:lang w:val="en-US" w:eastAsia="zh-CN"/>
        </w:rPr>
        <w:t>第十一节 集镇“四线”管控</w:t>
      </w:r>
      <w:bookmarkEnd w:id="84"/>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2" w:firstLineChars="200"/>
        <w:jc w:val="left"/>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一、绿线划定</w:t>
      </w:r>
    </w:p>
    <w:p>
      <w:pPr>
        <w:pStyle w:val="17"/>
        <w:keepNext w:val="0"/>
        <w:keepLines w:val="0"/>
        <w:pageBreakBefore w:val="0"/>
        <w:kinsoku/>
        <w:wordWrap/>
        <w:overflowPunct/>
        <w:topLinePunct w:val="0"/>
        <w:bidi w:val="0"/>
        <w:adjustRightInd/>
        <w:snapToGrid/>
        <w:spacing w:line="480" w:lineRule="exact"/>
        <w:ind w:left="0" w:leftChars="0" w:firstLine="560" w:firstLineChars="200"/>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1、划定面积</w:t>
      </w:r>
    </w:p>
    <w:p>
      <w:pPr>
        <w:pStyle w:val="17"/>
        <w:keepNext w:val="0"/>
        <w:keepLines w:val="0"/>
        <w:pageBreakBefore w:val="0"/>
        <w:kinsoku/>
        <w:wordWrap/>
        <w:overflowPunct/>
        <w:topLinePunct w:val="0"/>
        <w:bidi w:val="0"/>
        <w:adjustRightInd/>
        <w:snapToGrid/>
        <w:spacing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平富乡集镇划定城市绿线0.06公顷，主要为口袋公园，是集镇生活环境和品质的重要开敞空间，实施刚性管控。</w:t>
      </w:r>
    </w:p>
    <w:p>
      <w:pPr>
        <w:keepNext w:val="0"/>
        <w:keepLines w:val="0"/>
        <w:widowControl/>
        <w:suppressLineNumbers w:val="0"/>
        <w:ind w:left="0" w:leftChars="0" w:firstLine="0" w:firstLineChars="0"/>
        <w:jc w:val="center"/>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b/>
          <w:bCs/>
          <w:color w:val="auto"/>
          <w:kern w:val="2"/>
          <w:sz w:val="21"/>
          <w:szCs w:val="21"/>
          <w:lang w:val="en-US" w:eastAsia="zh-CN" w:bidi="ar-SA"/>
        </w:rPr>
        <w:t>表12-7 集镇绿线汇总表</w:t>
      </w:r>
    </w:p>
    <w:tbl>
      <w:tblPr>
        <w:tblStyle w:val="20"/>
        <w:tblW w:w="8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2"/>
        <w:gridCol w:w="2672"/>
        <w:gridCol w:w="2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2672" w:type="dxa"/>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bCs/>
                <w:color w:val="auto"/>
                <w:kern w:val="2"/>
                <w:sz w:val="21"/>
                <w:szCs w:val="21"/>
                <w:lang w:val="en-US" w:eastAsia="zh-CN" w:bidi="ar-SA"/>
              </w:rPr>
            </w:pPr>
            <w:r>
              <w:rPr>
                <w:rFonts w:hint="eastAsia" w:ascii="Times New Roman" w:hAnsi="Times New Roman" w:eastAsia="仿宋_GB2312" w:cs="Times New Roman"/>
                <w:b/>
                <w:bCs/>
                <w:color w:val="auto"/>
                <w:kern w:val="2"/>
                <w:sz w:val="21"/>
                <w:szCs w:val="21"/>
                <w:lang w:val="en-US" w:eastAsia="zh-CN" w:bidi="ar-SA"/>
              </w:rPr>
              <w:t>名称</w:t>
            </w:r>
          </w:p>
        </w:tc>
        <w:tc>
          <w:tcPr>
            <w:tcW w:w="2672" w:type="dxa"/>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bCs/>
                <w:color w:val="auto"/>
                <w:kern w:val="2"/>
                <w:sz w:val="21"/>
                <w:szCs w:val="21"/>
                <w:lang w:val="en-US" w:eastAsia="zh-CN" w:bidi="ar-SA"/>
              </w:rPr>
            </w:pPr>
            <w:r>
              <w:rPr>
                <w:rFonts w:hint="eastAsia" w:ascii="Times New Roman" w:hAnsi="Times New Roman" w:eastAsia="仿宋_GB2312" w:cs="Times New Roman"/>
                <w:b/>
                <w:bCs/>
                <w:color w:val="auto"/>
                <w:kern w:val="2"/>
                <w:sz w:val="21"/>
                <w:szCs w:val="21"/>
                <w:lang w:val="en-US" w:eastAsia="zh-CN" w:bidi="ar-SA"/>
              </w:rPr>
              <w:t>位置</w:t>
            </w:r>
          </w:p>
        </w:tc>
        <w:tc>
          <w:tcPr>
            <w:tcW w:w="2674" w:type="dxa"/>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bCs/>
                <w:color w:val="auto"/>
                <w:kern w:val="2"/>
                <w:sz w:val="21"/>
                <w:szCs w:val="21"/>
                <w:lang w:val="en-US" w:eastAsia="zh-CN" w:bidi="ar-SA"/>
              </w:rPr>
            </w:pPr>
            <w:r>
              <w:rPr>
                <w:rFonts w:hint="eastAsia" w:ascii="Times New Roman" w:hAnsi="Times New Roman" w:eastAsia="仿宋_GB2312" w:cs="Times New Roman"/>
                <w:b/>
                <w:bCs/>
                <w:color w:val="auto"/>
                <w:kern w:val="2"/>
                <w:sz w:val="21"/>
                <w:szCs w:val="21"/>
                <w:lang w:val="en-US" w:eastAsia="zh-CN" w:bidi="ar-SA"/>
              </w:rPr>
              <w:t>面积（公顷）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2672" w:type="dxa"/>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社区公园</w:t>
            </w:r>
          </w:p>
        </w:tc>
        <w:tc>
          <w:tcPr>
            <w:tcW w:w="2672" w:type="dxa"/>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集镇中部</w:t>
            </w:r>
          </w:p>
        </w:tc>
        <w:tc>
          <w:tcPr>
            <w:tcW w:w="2674" w:type="dxa"/>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0.06</w:t>
            </w:r>
          </w:p>
        </w:tc>
      </w:tr>
    </w:tbl>
    <w:p>
      <w:pPr>
        <w:pStyle w:val="17"/>
        <w:keepNext w:val="0"/>
        <w:keepLines w:val="0"/>
        <w:pageBreakBefore w:val="0"/>
        <w:kinsoku/>
        <w:wordWrap/>
        <w:overflowPunct/>
        <w:topLinePunct w:val="0"/>
        <w:bidi w:val="0"/>
        <w:adjustRightInd/>
        <w:snapToGrid/>
        <w:spacing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2、管控要求</w:t>
      </w:r>
    </w:p>
    <w:p>
      <w:pPr>
        <w:pStyle w:val="17"/>
        <w:keepNext w:val="0"/>
        <w:keepLines w:val="0"/>
        <w:pageBreakBefore w:val="0"/>
        <w:kinsoku/>
        <w:wordWrap/>
        <w:overflowPunct/>
        <w:topLinePunct w:val="0"/>
        <w:bidi w:val="0"/>
        <w:adjustRightInd/>
        <w:snapToGrid/>
        <w:spacing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城市绿线实施分类划定和分类管控。城市绿线严格按照《城市绿线管理办法》《赣州市城市绿化管理条例》管控。绿线内的用地，不得改作他用，不得违反法律法规、强制性标准以及批准的规划进行开发建设。确因规划调整、城市重大基础设施建设等需要调整的，由自然资源主管部门制定调整方案，并征得城市绿化主管部门同意，依法报原审批机关批准后，及时向社会公布。调整城市绿线不得减少规划绿地的总量，因调整城市绿线减少规划绿地的，自然资源主管部门应当会同城市绿化主管部门按就近原则补足相同类别、相同面积的规划绿地。</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2" w:firstLineChars="200"/>
        <w:jc w:val="left"/>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 xml:space="preserve">二、城市黄线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default"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 xml:space="preserve">1、划定面积 </w:t>
      </w:r>
    </w:p>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上犹县平富乡集镇划定城市黄线0.25公顷，主要为集镇范围内的水工设施，实施刚性管控。</w:t>
      </w:r>
    </w:p>
    <w:p>
      <w:pPr>
        <w:keepNext w:val="0"/>
        <w:keepLines w:val="0"/>
        <w:widowControl/>
        <w:suppressLineNumbers w:val="0"/>
        <w:ind w:left="0" w:leftChars="0" w:firstLine="0" w:firstLineChars="0"/>
        <w:jc w:val="center"/>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b/>
          <w:bCs/>
          <w:color w:val="auto"/>
          <w:kern w:val="2"/>
          <w:sz w:val="21"/>
          <w:szCs w:val="21"/>
          <w:lang w:val="en-US" w:eastAsia="zh-CN" w:bidi="ar-SA"/>
        </w:rPr>
        <w:t>表12-8集镇黄线汇总表</w:t>
      </w:r>
    </w:p>
    <w:tbl>
      <w:tblPr>
        <w:tblStyle w:val="20"/>
        <w:tblW w:w="8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72"/>
        <w:gridCol w:w="2672"/>
        <w:gridCol w:w="2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2672" w:type="dxa"/>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bCs/>
                <w:color w:val="auto"/>
                <w:kern w:val="2"/>
                <w:sz w:val="21"/>
                <w:szCs w:val="21"/>
                <w:lang w:val="en-US" w:eastAsia="zh-CN" w:bidi="ar-SA"/>
              </w:rPr>
            </w:pPr>
            <w:r>
              <w:rPr>
                <w:rFonts w:hint="eastAsia" w:ascii="Times New Roman" w:hAnsi="Times New Roman" w:eastAsia="仿宋_GB2312" w:cs="Times New Roman"/>
                <w:b/>
                <w:bCs/>
                <w:color w:val="auto"/>
                <w:kern w:val="2"/>
                <w:sz w:val="21"/>
                <w:szCs w:val="21"/>
                <w:lang w:val="en-US" w:eastAsia="zh-CN" w:bidi="ar-SA"/>
              </w:rPr>
              <w:t>名称</w:t>
            </w:r>
          </w:p>
        </w:tc>
        <w:tc>
          <w:tcPr>
            <w:tcW w:w="2672" w:type="dxa"/>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bCs/>
                <w:color w:val="auto"/>
                <w:kern w:val="2"/>
                <w:sz w:val="21"/>
                <w:szCs w:val="21"/>
                <w:lang w:val="en-US" w:eastAsia="zh-CN" w:bidi="ar-SA"/>
              </w:rPr>
            </w:pPr>
            <w:r>
              <w:rPr>
                <w:rFonts w:hint="eastAsia" w:ascii="Times New Roman" w:hAnsi="Times New Roman" w:eastAsia="仿宋_GB2312" w:cs="Times New Roman"/>
                <w:b/>
                <w:bCs/>
                <w:color w:val="auto"/>
                <w:kern w:val="2"/>
                <w:sz w:val="21"/>
                <w:szCs w:val="21"/>
                <w:lang w:val="en-US" w:eastAsia="zh-CN" w:bidi="ar-SA"/>
              </w:rPr>
              <w:t>位置</w:t>
            </w:r>
          </w:p>
        </w:tc>
        <w:tc>
          <w:tcPr>
            <w:tcW w:w="2674" w:type="dxa"/>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b/>
                <w:bCs/>
                <w:color w:val="auto"/>
                <w:kern w:val="2"/>
                <w:sz w:val="21"/>
                <w:szCs w:val="21"/>
                <w:lang w:val="en-US" w:eastAsia="zh-CN" w:bidi="ar-SA"/>
              </w:rPr>
            </w:pPr>
            <w:r>
              <w:rPr>
                <w:rFonts w:hint="eastAsia" w:ascii="Times New Roman" w:hAnsi="Times New Roman" w:eastAsia="仿宋_GB2312" w:cs="Times New Roman"/>
                <w:b/>
                <w:bCs/>
                <w:color w:val="auto"/>
                <w:kern w:val="2"/>
                <w:sz w:val="21"/>
                <w:szCs w:val="21"/>
                <w:lang w:val="en-US" w:eastAsia="zh-CN" w:bidi="ar-SA"/>
              </w:rPr>
              <w:t>面积（公顷）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2672" w:type="dxa"/>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水工设施</w:t>
            </w:r>
          </w:p>
        </w:tc>
        <w:tc>
          <w:tcPr>
            <w:tcW w:w="2672" w:type="dxa"/>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集镇北部</w:t>
            </w:r>
          </w:p>
        </w:tc>
        <w:tc>
          <w:tcPr>
            <w:tcW w:w="2674" w:type="dxa"/>
          </w:tcPr>
          <w:p>
            <w:pPr>
              <w:pageBreakBefore w:val="0"/>
              <w:kinsoku/>
              <w:wordWrap/>
              <w:overflowPunct/>
              <w:topLinePunct w:val="0"/>
              <w:bidi w:val="0"/>
              <w:adjustRightInd/>
              <w:snapToGrid/>
              <w:spacing w:line="480" w:lineRule="exact"/>
              <w:ind w:left="0" w:leftChars="0" w:firstLine="0" w:firstLineChars="0"/>
              <w:jc w:val="center"/>
              <w:textAlignment w:val="auto"/>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0.25</w:t>
            </w:r>
          </w:p>
        </w:tc>
      </w:tr>
    </w:tbl>
    <w:p>
      <w:pPr>
        <w:keepNext w:val="0"/>
        <w:keepLines w:val="0"/>
        <w:pageBreakBefore w:val="0"/>
        <w:widowControl/>
        <w:suppressLineNumbers w:val="0"/>
        <w:kinsoku/>
        <w:wordWrap/>
        <w:overflowPunct/>
        <w:topLinePunct w:val="0"/>
        <w:autoSpaceDE/>
        <w:autoSpaceDN/>
        <w:bidi w:val="0"/>
        <w:adjustRightInd/>
        <w:snapToGrid/>
        <w:spacing w:line="480" w:lineRule="exact"/>
        <w:ind w:left="0" w:leftChars="0" w:firstLine="560" w:firstLineChars="200"/>
        <w:jc w:val="left"/>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2、管控要求</w:t>
      </w:r>
    </w:p>
    <w:p>
      <w:pPr>
        <w:pStyle w:val="11"/>
        <w:keepNext w:val="0"/>
        <w:keepLines w:val="0"/>
        <w:pageBreakBefore w:val="0"/>
        <w:kinsoku/>
        <w:wordWrap/>
        <w:overflowPunct/>
        <w:topLinePunct w:val="0"/>
        <w:autoSpaceDE/>
        <w:autoSpaceDN/>
        <w:bidi w:val="0"/>
        <w:adjustRightInd/>
        <w:snapToGrid/>
        <w:spacing w:line="480" w:lineRule="exact"/>
        <w:ind w:left="0" w:leftChars="0" w:firstLine="560" w:firstLineChars="200"/>
        <w:textAlignment w:val="auto"/>
        <w:rPr>
          <w:rFonts w:hint="default"/>
          <w:color w:val="auto"/>
          <w:lang w:val="en-US" w:eastAsia="zh-CN"/>
        </w:rPr>
      </w:pPr>
      <w:r>
        <w:rPr>
          <w:rFonts w:hint="eastAsia" w:ascii="Times New Roman" w:hAnsi="Times New Roman" w:eastAsia="仿宋_GB2312" w:cs="Times New Roman"/>
          <w:color w:val="auto"/>
          <w:kern w:val="2"/>
          <w:sz w:val="28"/>
          <w:szCs w:val="28"/>
          <w:lang w:val="en-US" w:eastAsia="zh-CN" w:bidi="ar-SA"/>
        </w:rPr>
        <w:t>城市黄线严格按照《城市黄线管理办法》管控。在城市黄线内进行建设活动，应当贯彻安全、高效、经济的方针，处理好近远期关系，根据城市发展的实际需要，分期有序实施。在符合相关规范的前提下，允许新型基础设施建设。在城市黄线范围内禁止进行下列活动：违反城市规划要求，进行建筑物、构筑物及其他设施的建设；违反国家有关技术标准和规范进行建设；未经批准，改装、迁移或拆毁原有城市基础设施；其他损坏城市基础设施或影响城市基础设施安全和正常运转的行为。</w:t>
      </w:r>
    </w:p>
    <w:p>
      <w:pPr>
        <w:keepNext w:val="0"/>
        <w:keepLines w:val="0"/>
        <w:pageBreakBefore w:val="0"/>
        <w:widowControl/>
        <w:suppressLineNumbers w:val="0"/>
        <w:kinsoku/>
        <w:wordWrap/>
        <w:overflowPunct/>
        <w:topLinePunct w:val="0"/>
        <w:bidi w:val="0"/>
        <w:adjustRightInd/>
        <w:snapToGrid/>
        <w:spacing w:line="480" w:lineRule="exact"/>
        <w:jc w:val="left"/>
        <w:textAlignment w:val="auto"/>
        <w:rPr>
          <w:rFonts w:hint="eastAsia" w:ascii="Times New Roman" w:hAnsi="Times New Roman" w:eastAsia="仿宋_GB2312" w:cs="Times New Roman"/>
          <w:color w:val="auto"/>
          <w:kern w:val="2"/>
          <w:sz w:val="28"/>
          <w:szCs w:val="28"/>
          <w:lang w:val="en-US" w:eastAsia="zh-CN" w:bidi="ar-SA"/>
        </w:rPr>
      </w:pPr>
    </w:p>
    <w:p>
      <w:pPr>
        <w:rPr>
          <w:rFonts w:hint="eastAsia" w:ascii="Times New Roman" w:hAnsi="Times New Roman" w:eastAsia="Arial Unicode MS"/>
          <w:color w:val="auto"/>
          <w:lang w:val="en-US" w:eastAsia="zh-CN"/>
        </w:rPr>
      </w:pPr>
      <w:r>
        <w:rPr>
          <w:rFonts w:hint="eastAsia" w:ascii="Times New Roman" w:hAnsi="Times New Roman" w:eastAsia="Arial Unicode MS"/>
          <w:color w:val="auto"/>
          <w:lang w:val="en-US" w:eastAsia="zh-CN"/>
        </w:rPr>
        <w:br w:type="page"/>
      </w:r>
    </w:p>
    <w:p>
      <w:pPr>
        <w:pStyle w:val="34"/>
        <w:keepNext/>
        <w:keepLines/>
        <w:pageBreakBefore w:val="0"/>
        <w:widowControl w:val="0"/>
        <w:kinsoku/>
        <w:wordWrap/>
        <w:overflowPunct/>
        <w:topLinePunct w:val="0"/>
        <w:autoSpaceDE/>
        <w:autoSpaceDN/>
        <w:bidi w:val="0"/>
        <w:adjustRightInd/>
        <w:snapToGrid/>
        <w:spacing w:before="156" w:beforeLines="50" w:after="156" w:afterLines="50"/>
        <w:ind w:left="0" w:firstLine="0" w:firstLineChars="0"/>
        <w:jc w:val="center"/>
        <w:textAlignment w:val="center"/>
        <w:rPr>
          <w:rFonts w:hint="eastAsia" w:ascii="Times New Roman" w:hAnsi="Times New Roman" w:eastAsia="Arial Unicode MS"/>
          <w:color w:val="auto"/>
          <w:lang w:val="en-US" w:eastAsia="zh-CN"/>
        </w:rPr>
      </w:pPr>
      <w:bookmarkStart w:id="85" w:name="_Toc22826"/>
      <w:r>
        <w:rPr>
          <w:rFonts w:hint="eastAsia" w:ascii="Times New Roman" w:hAnsi="Times New Roman" w:eastAsia="Arial Unicode MS"/>
          <w:color w:val="auto"/>
          <w:lang w:val="en-US" w:eastAsia="zh-CN"/>
        </w:rPr>
        <w:t>第十三章 村庄规划指引</w:t>
      </w:r>
      <w:bookmarkEnd w:id="85"/>
    </w:p>
    <w:p>
      <w:pPr>
        <w:pStyle w:val="33"/>
        <w:spacing w:before="156" w:beforeLines="50" w:after="156" w:afterLines="50" w:line="520" w:lineRule="exact"/>
        <w:rPr>
          <w:rFonts w:hint="eastAsia" w:ascii="Times New Roman" w:hAnsi="Times New Roman"/>
          <w:color w:val="auto"/>
          <w:kern w:val="2"/>
          <w:szCs w:val="32"/>
          <w:lang w:val="en-US" w:eastAsia="zh-CN"/>
        </w:rPr>
      </w:pPr>
      <w:bookmarkStart w:id="86" w:name="_Toc21810"/>
      <w:r>
        <w:rPr>
          <w:rFonts w:hint="eastAsia" w:ascii="Times New Roman" w:hAnsi="Times New Roman"/>
          <w:color w:val="auto"/>
          <w:kern w:val="2"/>
          <w:szCs w:val="32"/>
          <w:lang w:val="en-US" w:eastAsia="zh-CN"/>
        </w:rPr>
        <w:t>第一节 村庄分类与指引</w:t>
      </w:r>
      <w:bookmarkEnd w:id="86"/>
    </w:p>
    <w:p>
      <w:pPr>
        <w:keepNext w:val="0"/>
        <w:keepLines w:val="0"/>
        <w:pageBreakBefore w:val="0"/>
        <w:widowControl/>
        <w:suppressLineNumbers w:val="0"/>
        <w:kinsoku/>
        <w:wordWrap/>
        <w:overflowPunct/>
        <w:topLinePunct w:val="0"/>
        <w:bidi w:val="0"/>
        <w:spacing w:line="480" w:lineRule="exact"/>
        <w:jc w:val="left"/>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基于村庄现状资源禀赋和发展条件，将全域村庄分为集聚发展类、整治提升类、城郊融合类共3种类型，全面开展村庄规划，划定村庄建设边界，针对不同类型的村庄分别制定差异化的管控和引导措施，促进全域村庄集约高效、凸显特色的发展，构建全域乡村新格局。</w:t>
      </w:r>
    </w:p>
    <w:p>
      <w:pPr>
        <w:pStyle w:val="30"/>
        <w:pageBreakBefore w:val="0"/>
        <w:kinsoku/>
        <w:wordWrap/>
        <w:overflowPunct/>
        <w:topLinePunct w:val="0"/>
        <w:bidi w:val="0"/>
        <w:spacing w:before="62" w:beforeLines="20" w:after="62" w:afterLines="20" w:line="480" w:lineRule="exact"/>
        <w:rPr>
          <w:rFonts w:hint="eastAsia" w:ascii="Times New Roman" w:hAnsi="Times New Roman" w:eastAsia="仿宋_GB2312" w:cs="Times New Roman"/>
          <w:b/>
          <w:bCs w:val="0"/>
          <w:color w:val="auto"/>
          <w:kern w:val="2"/>
          <w:sz w:val="21"/>
          <w:szCs w:val="21"/>
          <w:lang w:val="en-US" w:eastAsia="zh-CN" w:bidi="ar-SA"/>
        </w:rPr>
      </w:pPr>
      <w:r>
        <w:rPr>
          <w:rFonts w:hint="eastAsia" w:ascii="Times New Roman" w:hAnsi="Times New Roman" w:eastAsia="仿宋_GB2312" w:cs="Times New Roman"/>
          <w:b/>
          <w:bCs w:val="0"/>
          <w:color w:val="auto"/>
          <w:kern w:val="2"/>
          <w:sz w:val="21"/>
          <w:szCs w:val="21"/>
          <w:lang w:val="en-US" w:eastAsia="zh-CN" w:bidi="ar-SA"/>
        </w:rPr>
        <w:t>表13-1平富乡村庄规划分类指引表</w:t>
      </w:r>
    </w:p>
    <w:tbl>
      <w:tblPr>
        <w:tblStyle w:val="19"/>
        <w:tblW w:w="472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144"/>
        <w:gridCol w:w="39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6" w:hRule="atLeast"/>
        </w:trPr>
        <w:tc>
          <w:tcPr>
            <w:tcW w:w="2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pageBreakBefore w:val="0"/>
              <w:kinsoku/>
              <w:wordWrap/>
              <w:overflowPunct/>
              <w:topLinePunct w:val="0"/>
              <w:bidi w:val="0"/>
              <w:spacing w:line="480" w:lineRule="exact"/>
              <w:jc w:val="center"/>
              <w:rPr>
                <w:rFonts w:hint="eastAsia" w:ascii="Times New Roman" w:hAnsi="Times New Roman" w:eastAsia="仿宋_GB2312" w:cs="Times New Roman"/>
                <w:b/>
                <w:bCs w:val="0"/>
                <w:color w:val="auto"/>
                <w:kern w:val="2"/>
                <w:sz w:val="21"/>
                <w:szCs w:val="21"/>
                <w:lang w:val="en-US" w:eastAsia="zh-CN" w:bidi="ar-SA"/>
              </w:rPr>
            </w:pPr>
            <w:r>
              <w:rPr>
                <w:rFonts w:hint="eastAsia" w:ascii="Times New Roman" w:hAnsi="Times New Roman" w:eastAsia="仿宋_GB2312" w:cs="Times New Roman"/>
                <w:b/>
                <w:bCs w:val="0"/>
                <w:color w:val="auto"/>
                <w:kern w:val="2"/>
                <w:sz w:val="21"/>
                <w:szCs w:val="21"/>
                <w:lang w:val="en-US" w:eastAsia="zh-CN" w:bidi="ar-SA"/>
              </w:rPr>
              <w:t>行政村名</w:t>
            </w:r>
          </w:p>
        </w:tc>
        <w:tc>
          <w:tcPr>
            <w:tcW w:w="2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pageBreakBefore w:val="0"/>
              <w:kinsoku/>
              <w:wordWrap/>
              <w:overflowPunct/>
              <w:topLinePunct w:val="0"/>
              <w:bidi w:val="0"/>
              <w:spacing w:line="480" w:lineRule="exact"/>
              <w:jc w:val="center"/>
              <w:rPr>
                <w:rFonts w:hint="eastAsia" w:ascii="Times New Roman" w:hAnsi="Times New Roman" w:eastAsia="仿宋_GB2312" w:cs="Times New Roman"/>
                <w:b/>
                <w:bCs w:val="0"/>
                <w:color w:val="auto"/>
                <w:kern w:val="2"/>
                <w:sz w:val="21"/>
                <w:szCs w:val="21"/>
                <w:lang w:val="en-US" w:eastAsia="zh-CN" w:bidi="ar-SA"/>
              </w:rPr>
            </w:pPr>
            <w:r>
              <w:rPr>
                <w:rFonts w:hint="eastAsia" w:ascii="Times New Roman" w:hAnsi="Times New Roman" w:eastAsia="仿宋_GB2312" w:cs="Times New Roman"/>
                <w:b/>
                <w:bCs w:val="0"/>
                <w:color w:val="auto"/>
                <w:kern w:val="2"/>
                <w:sz w:val="21"/>
                <w:szCs w:val="21"/>
                <w:lang w:val="en-US" w:eastAsia="zh-CN" w:bidi="ar-SA"/>
              </w:rPr>
              <w:t>村庄分类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7" w:hRule="atLeast"/>
        </w:trPr>
        <w:tc>
          <w:tcPr>
            <w:tcW w:w="2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6"/>
              <w:keepNext w:val="0"/>
              <w:keepLines w:val="0"/>
              <w:widowControl/>
              <w:suppressLineNumbers w:val="0"/>
              <w:ind w:left="0" w:leftChars="0" w:right="0" w:rightChars="0" w:firstLine="420" w:firstLineChars="200"/>
              <w:jc w:val="center"/>
              <w:rPr>
                <w:rFonts w:hint="eastAsia" w:ascii="Times New Roman" w:hAnsi="Times New Roman" w:eastAsia="仿宋_GB2312" w:cs="Times New Roman"/>
                <w:b w:val="0"/>
                <w:bCs/>
                <w:color w:val="auto"/>
                <w:kern w:val="2"/>
                <w:sz w:val="21"/>
                <w:szCs w:val="21"/>
                <w:lang w:val="en-US" w:eastAsia="zh-CN" w:bidi="ar-SA"/>
              </w:rPr>
            </w:pPr>
            <w:r>
              <w:rPr>
                <w:rFonts w:hint="eastAsia" w:ascii="Times New Roman" w:hAnsi="Times New Roman" w:eastAsia="仿宋_GB2312" w:cs="Times New Roman"/>
                <w:b w:val="0"/>
                <w:bCs/>
                <w:color w:val="auto"/>
                <w:kern w:val="2"/>
                <w:sz w:val="21"/>
                <w:szCs w:val="21"/>
                <w:lang w:val="en-US" w:eastAsia="zh-CN" w:bidi="ar-SA"/>
              </w:rPr>
              <w:t>平富村</w:t>
            </w:r>
          </w:p>
        </w:tc>
        <w:tc>
          <w:tcPr>
            <w:tcW w:w="2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6"/>
              <w:keepNext w:val="0"/>
              <w:keepLines w:val="0"/>
              <w:widowControl/>
              <w:suppressLineNumbers w:val="0"/>
              <w:ind w:left="0" w:leftChars="0" w:right="0" w:rightChars="0" w:firstLine="420" w:firstLineChars="200"/>
              <w:jc w:val="center"/>
              <w:rPr>
                <w:rFonts w:hint="default" w:ascii="Times New Roman" w:hAnsi="Times New Roman" w:eastAsia="仿宋_GB2312" w:cs="Times New Roman"/>
                <w:b w:val="0"/>
                <w:bCs/>
                <w:color w:val="auto"/>
                <w:kern w:val="2"/>
                <w:sz w:val="21"/>
                <w:szCs w:val="21"/>
                <w:lang w:val="en-US" w:eastAsia="zh-CN" w:bidi="ar-SA"/>
              </w:rPr>
            </w:pPr>
            <w:r>
              <w:rPr>
                <w:rFonts w:hint="eastAsia" w:ascii="Times New Roman" w:hAnsi="Times New Roman" w:eastAsia="仿宋_GB2312" w:cs="Times New Roman"/>
                <w:b w:val="0"/>
                <w:bCs/>
                <w:color w:val="auto"/>
                <w:kern w:val="2"/>
                <w:sz w:val="21"/>
                <w:szCs w:val="21"/>
                <w:lang w:val="en-US" w:eastAsia="zh-CN" w:bidi="ar-SA"/>
              </w:rPr>
              <w:t>城郊融合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7" w:hRule="atLeast"/>
        </w:trPr>
        <w:tc>
          <w:tcPr>
            <w:tcW w:w="257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6"/>
              <w:keepNext w:val="0"/>
              <w:keepLines w:val="0"/>
              <w:widowControl/>
              <w:suppressLineNumbers w:val="0"/>
              <w:ind w:left="0" w:leftChars="0" w:right="0" w:rightChars="0" w:firstLine="420" w:firstLineChars="200"/>
              <w:jc w:val="center"/>
              <w:rPr>
                <w:rFonts w:hint="eastAsia" w:ascii="Times New Roman" w:hAnsi="Times New Roman" w:eastAsia="仿宋_GB2312" w:cs="Times New Roman"/>
                <w:b w:val="0"/>
                <w:bCs/>
                <w:color w:val="auto"/>
                <w:kern w:val="2"/>
                <w:sz w:val="21"/>
                <w:szCs w:val="21"/>
                <w:lang w:val="en-US" w:eastAsia="zh-CN" w:bidi="ar-SA"/>
              </w:rPr>
            </w:pPr>
            <w:r>
              <w:rPr>
                <w:rFonts w:hint="eastAsia" w:ascii="Times New Roman" w:hAnsi="Times New Roman" w:eastAsia="仿宋_GB2312" w:cs="Times New Roman"/>
                <w:b w:val="0"/>
                <w:bCs/>
                <w:color w:val="auto"/>
                <w:kern w:val="2"/>
                <w:sz w:val="21"/>
                <w:szCs w:val="21"/>
                <w:lang w:val="en-US" w:eastAsia="zh-CN" w:bidi="ar-SA"/>
              </w:rPr>
              <w:t>上寨村</w:t>
            </w:r>
          </w:p>
        </w:tc>
        <w:tc>
          <w:tcPr>
            <w:tcW w:w="2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6"/>
              <w:keepNext w:val="0"/>
              <w:keepLines w:val="0"/>
              <w:widowControl/>
              <w:suppressLineNumbers w:val="0"/>
              <w:ind w:left="0" w:leftChars="0" w:right="0" w:rightChars="0" w:firstLine="420" w:firstLineChars="200"/>
              <w:jc w:val="center"/>
              <w:rPr>
                <w:rFonts w:hint="default" w:ascii="Times New Roman" w:hAnsi="Times New Roman" w:eastAsia="仿宋_GB2312" w:cs="Times New Roman"/>
                <w:b w:val="0"/>
                <w:bCs/>
                <w:color w:val="auto"/>
                <w:kern w:val="2"/>
                <w:sz w:val="21"/>
                <w:szCs w:val="21"/>
                <w:lang w:val="en-US" w:eastAsia="zh-CN" w:bidi="ar-SA"/>
              </w:rPr>
            </w:pPr>
            <w:r>
              <w:rPr>
                <w:rFonts w:hint="eastAsia" w:ascii="Times New Roman" w:hAnsi="Times New Roman" w:eastAsia="仿宋_GB2312" w:cs="Times New Roman"/>
                <w:b w:val="0"/>
                <w:bCs/>
                <w:color w:val="auto"/>
                <w:kern w:val="2"/>
                <w:sz w:val="21"/>
                <w:szCs w:val="21"/>
                <w:lang w:val="en-US" w:eastAsia="zh-CN" w:bidi="ar-SA"/>
              </w:rPr>
              <w:t>集聚发展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7" w:hRule="atLeast"/>
        </w:trPr>
        <w:tc>
          <w:tcPr>
            <w:tcW w:w="257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6"/>
              <w:keepNext w:val="0"/>
              <w:keepLines w:val="0"/>
              <w:widowControl/>
              <w:suppressLineNumbers w:val="0"/>
              <w:ind w:left="0" w:leftChars="0" w:right="0" w:rightChars="0" w:firstLine="420" w:firstLineChars="200"/>
              <w:jc w:val="center"/>
              <w:rPr>
                <w:rFonts w:hint="eastAsia" w:ascii="Times New Roman" w:hAnsi="Times New Roman" w:eastAsia="仿宋_GB2312" w:cs="Times New Roman"/>
                <w:b w:val="0"/>
                <w:bCs/>
                <w:color w:val="auto"/>
                <w:kern w:val="2"/>
                <w:sz w:val="21"/>
                <w:szCs w:val="21"/>
                <w:lang w:val="en-US" w:eastAsia="zh-CN" w:bidi="ar-SA"/>
              </w:rPr>
            </w:pPr>
            <w:r>
              <w:rPr>
                <w:rFonts w:hint="eastAsia" w:ascii="Times New Roman" w:hAnsi="Times New Roman" w:eastAsia="仿宋_GB2312" w:cs="Times New Roman"/>
                <w:b w:val="0"/>
                <w:bCs/>
                <w:color w:val="auto"/>
                <w:kern w:val="2"/>
                <w:sz w:val="21"/>
                <w:szCs w:val="21"/>
                <w:lang w:val="en-US" w:eastAsia="zh-CN" w:bidi="ar-SA"/>
              </w:rPr>
              <w:t>向前村</w:t>
            </w:r>
          </w:p>
        </w:tc>
        <w:tc>
          <w:tcPr>
            <w:tcW w:w="2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6"/>
              <w:keepNext w:val="0"/>
              <w:keepLines w:val="0"/>
              <w:widowControl/>
              <w:suppressLineNumbers w:val="0"/>
              <w:ind w:left="0" w:leftChars="0" w:right="0" w:rightChars="0" w:firstLine="420" w:firstLineChars="200"/>
              <w:jc w:val="center"/>
              <w:rPr>
                <w:rFonts w:hint="default" w:ascii="Times New Roman" w:hAnsi="Times New Roman" w:eastAsia="仿宋_GB2312" w:cs="Times New Roman"/>
                <w:b w:val="0"/>
                <w:bCs/>
                <w:color w:val="auto"/>
                <w:kern w:val="2"/>
                <w:sz w:val="21"/>
                <w:szCs w:val="21"/>
                <w:lang w:val="en-US" w:eastAsia="zh-CN" w:bidi="ar-SA"/>
              </w:rPr>
            </w:pPr>
            <w:r>
              <w:rPr>
                <w:rFonts w:hint="eastAsia" w:ascii="Times New Roman" w:hAnsi="Times New Roman" w:eastAsia="仿宋_GB2312" w:cs="Times New Roman"/>
                <w:b w:val="0"/>
                <w:bCs/>
                <w:color w:val="auto"/>
                <w:kern w:val="2"/>
                <w:sz w:val="21"/>
                <w:szCs w:val="21"/>
                <w:lang w:val="en-US" w:eastAsia="zh-CN" w:bidi="ar-SA"/>
              </w:rPr>
              <w:t>集聚发展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7" w:hRule="atLeast"/>
        </w:trPr>
        <w:tc>
          <w:tcPr>
            <w:tcW w:w="257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6"/>
              <w:keepNext w:val="0"/>
              <w:keepLines w:val="0"/>
              <w:widowControl/>
              <w:suppressLineNumbers w:val="0"/>
              <w:ind w:left="0" w:leftChars="0" w:right="0" w:rightChars="0" w:firstLine="420" w:firstLineChars="200"/>
              <w:jc w:val="center"/>
              <w:rPr>
                <w:rFonts w:hint="eastAsia" w:ascii="Times New Roman" w:hAnsi="Times New Roman" w:eastAsia="仿宋_GB2312" w:cs="Times New Roman"/>
                <w:b w:val="0"/>
                <w:bCs/>
                <w:color w:val="auto"/>
                <w:kern w:val="2"/>
                <w:sz w:val="21"/>
                <w:szCs w:val="21"/>
                <w:lang w:val="en-US" w:eastAsia="zh-CN" w:bidi="ar-SA"/>
              </w:rPr>
            </w:pPr>
            <w:r>
              <w:rPr>
                <w:rFonts w:hint="eastAsia" w:ascii="Times New Roman" w:hAnsi="Times New Roman" w:eastAsia="仿宋_GB2312" w:cs="Times New Roman"/>
                <w:b w:val="0"/>
                <w:bCs/>
                <w:color w:val="auto"/>
                <w:kern w:val="2"/>
                <w:sz w:val="21"/>
                <w:szCs w:val="21"/>
                <w:lang w:val="en-US" w:eastAsia="zh-CN" w:bidi="ar-SA"/>
              </w:rPr>
              <w:t>信地村</w:t>
            </w:r>
          </w:p>
        </w:tc>
        <w:tc>
          <w:tcPr>
            <w:tcW w:w="2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6"/>
              <w:keepNext w:val="0"/>
              <w:keepLines w:val="0"/>
              <w:widowControl/>
              <w:suppressLineNumbers w:val="0"/>
              <w:ind w:left="0" w:leftChars="0" w:right="0" w:rightChars="0" w:firstLine="420" w:firstLineChars="200"/>
              <w:jc w:val="center"/>
              <w:rPr>
                <w:rFonts w:hint="default" w:ascii="Times New Roman" w:hAnsi="Times New Roman" w:eastAsia="仿宋_GB2312" w:cs="Times New Roman"/>
                <w:b w:val="0"/>
                <w:bCs/>
                <w:color w:val="auto"/>
                <w:kern w:val="2"/>
                <w:sz w:val="21"/>
                <w:szCs w:val="21"/>
                <w:lang w:val="en-US" w:eastAsia="zh-CN" w:bidi="ar-SA"/>
              </w:rPr>
            </w:pPr>
            <w:r>
              <w:rPr>
                <w:rFonts w:hint="eastAsia" w:ascii="Times New Roman" w:hAnsi="Times New Roman" w:eastAsia="仿宋_GB2312" w:cs="Times New Roman"/>
                <w:b w:val="0"/>
                <w:bCs/>
                <w:color w:val="auto"/>
                <w:kern w:val="2"/>
                <w:sz w:val="21"/>
                <w:szCs w:val="21"/>
                <w:lang w:val="en-US" w:eastAsia="zh-CN" w:bidi="ar-SA"/>
              </w:rPr>
              <w:t>整治提升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7" w:hRule="atLeast"/>
        </w:trPr>
        <w:tc>
          <w:tcPr>
            <w:tcW w:w="257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6"/>
              <w:keepNext w:val="0"/>
              <w:keepLines w:val="0"/>
              <w:widowControl/>
              <w:suppressLineNumbers w:val="0"/>
              <w:ind w:left="0" w:leftChars="0" w:right="0" w:rightChars="0" w:firstLine="420" w:firstLineChars="200"/>
              <w:jc w:val="center"/>
              <w:rPr>
                <w:rFonts w:hint="eastAsia" w:ascii="Times New Roman" w:hAnsi="Times New Roman" w:eastAsia="仿宋_GB2312" w:cs="Times New Roman"/>
                <w:b w:val="0"/>
                <w:bCs/>
                <w:color w:val="auto"/>
                <w:kern w:val="2"/>
                <w:sz w:val="21"/>
                <w:szCs w:val="21"/>
                <w:lang w:val="en-US" w:eastAsia="zh-CN" w:bidi="ar-SA"/>
              </w:rPr>
            </w:pPr>
            <w:r>
              <w:rPr>
                <w:rFonts w:hint="eastAsia" w:ascii="Times New Roman" w:hAnsi="Times New Roman" w:eastAsia="仿宋_GB2312" w:cs="Times New Roman"/>
                <w:b w:val="0"/>
                <w:bCs/>
                <w:color w:val="auto"/>
                <w:kern w:val="2"/>
                <w:sz w:val="21"/>
                <w:szCs w:val="21"/>
                <w:lang w:val="en-US" w:eastAsia="zh-CN" w:bidi="ar-SA"/>
              </w:rPr>
              <w:t>庄前村</w:t>
            </w:r>
          </w:p>
        </w:tc>
        <w:tc>
          <w:tcPr>
            <w:tcW w:w="2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6"/>
              <w:keepNext w:val="0"/>
              <w:keepLines w:val="0"/>
              <w:widowControl/>
              <w:suppressLineNumbers w:val="0"/>
              <w:ind w:left="0" w:leftChars="0" w:right="0" w:rightChars="0" w:firstLine="420" w:firstLineChars="200"/>
              <w:jc w:val="center"/>
              <w:rPr>
                <w:rFonts w:hint="default" w:ascii="Times New Roman" w:hAnsi="Times New Roman" w:eastAsia="仿宋_GB2312" w:cs="Times New Roman"/>
                <w:b w:val="0"/>
                <w:bCs/>
                <w:color w:val="auto"/>
                <w:kern w:val="2"/>
                <w:sz w:val="21"/>
                <w:szCs w:val="21"/>
                <w:lang w:val="en-US" w:eastAsia="zh-CN" w:bidi="ar-SA"/>
              </w:rPr>
            </w:pPr>
            <w:r>
              <w:rPr>
                <w:rFonts w:hint="eastAsia" w:ascii="Times New Roman" w:hAnsi="Times New Roman" w:eastAsia="仿宋_GB2312" w:cs="Times New Roman"/>
                <w:b w:val="0"/>
                <w:bCs/>
                <w:color w:val="auto"/>
                <w:kern w:val="2"/>
                <w:sz w:val="21"/>
                <w:szCs w:val="21"/>
                <w:lang w:val="en-US" w:eastAsia="zh-CN" w:bidi="ar-SA"/>
              </w:rPr>
              <w:t>城郊融合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7" w:hRule="atLeast"/>
        </w:trPr>
        <w:tc>
          <w:tcPr>
            <w:tcW w:w="257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6"/>
              <w:keepNext w:val="0"/>
              <w:keepLines w:val="0"/>
              <w:widowControl/>
              <w:suppressLineNumbers w:val="0"/>
              <w:ind w:left="0" w:leftChars="0" w:right="0" w:rightChars="0" w:firstLine="420" w:firstLineChars="200"/>
              <w:jc w:val="center"/>
              <w:rPr>
                <w:rFonts w:hint="eastAsia" w:ascii="Times New Roman" w:hAnsi="Times New Roman" w:eastAsia="仿宋_GB2312" w:cs="Times New Roman"/>
                <w:b w:val="0"/>
                <w:bCs/>
                <w:color w:val="auto"/>
                <w:kern w:val="2"/>
                <w:sz w:val="21"/>
                <w:szCs w:val="21"/>
                <w:lang w:val="en-US" w:eastAsia="zh-CN" w:bidi="ar-SA"/>
              </w:rPr>
            </w:pPr>
            <w:r>
              <w:rPr>
                <w:rFonts w:hint="eastAsia" w:ascii="Times New Roman" w:hAnsi="Times New Roman" w:eastAsia="仿宋_GB2312" w:cs="Times New Roman"/>
                <w:b w:val="0"/>
                <w:bCs/>
                <w:color w:val="auto"/>
                <w:kern w:val="2"/>
                <w:sz w:val="21"/>
                <w:szCs w:val="21"/>
                <w:lang w:val="en-US" w:eastAsia="zh-CN" w:bidi="ar-SA"/>
              </w:rPr>
              <w:t>庄坑村</w:t>
            </w:r>
          </w:p>
        </w:tc>
        <w:tc>
          <w:tcPr>
            <w:tcW w:w="2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6"/>
              <w:keepNext w:val="0"/>
              <w:keepLines w:val="0"/>
              <w:widowControl/>
              <w:suppressLineNumbers w:val="0"/>
              <w:ind w:left="0" w:leftChars="0" w:right="0" w:rightChars="0" w:firstLine="420" w:firstLineChars="200"/>
              <w:jc w:val="center"/>
              <w:rPr>
                <w:rFonts w:hint="default" w:ascii="Times New Roman" w:hAnsi="Times New Roman" w:eastAsia="仿宋_GB2312" w:cs="Times New Roman"/>
                <w:b w:val="0"/>
                <w:bCs/>
                <w:color w:val="auto"/>
                <w:kern w:val="2"/>
                <w:sz w:val="21"/>
                <w:szCs w:val="21"/>
                <w:lang w:val="en-US" w:eastAsia="zh-CN" w:bidi="ar-SA"/>
              </w:rPr>
            </w:pPr>
            <w:r>
              <w:rPr>
                <w:rFonts w:hint="eastAsia" w:ascii="Times New Roman" w:hAnsi="Times New Roman" w:eastAsia="仿宋_GB2312" w:cs="Times New Roman"/>
                <w:b w:val="0"/>
                <w:bCs/>
                <w:color w:val="auto"/>
                <w:kern w:val="2"/>
                <w:sz w:val="21"/>
                <w:szCs w:val="21"/>
                <w:lang w:val="en-US" w:eastAsia="zh-CN" w:bidi="ar-SA"/>
              </w:rPr>
              <w:t>整治提升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7" w:hRule="atLeast"/>
        </w:trPr>
        <w:tc>
          <w:tcPr>
            <w:tcW w:w="257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6"/>
              <w:keepNext w:val="0"/>
              <w:keepLines w:val="0"/>
              <w:widowControl/>
              <w:suppressLineNumbers w:val="0"/>
              <w:ind w:left="0" w:leftChars="0" w:right="0" w:rightChars="0" w:firstLine="420" w:firstLineChars="200"/>
              <w:jc w:val="center"/>
              <w:rPr>
                <w:rFonts w:hint="eastAsia" w:ascii="Times New Roman" w:hAnsi="Times New Roman" w:eastAsia="仿宋_GB2312" w:cs="Times New Roman"/>
                <w:b w:val="0"/>
                <w:bCs/>
                <w:color w:val="auto"/>
                <w:kern w:val="2"/>
                <w:sz w:val="21"/>
                <w:szCs w:val="21"/>
                <w:lang w:val="en-US" w:eastAsia="zh-CN" w:bidi="ar-SA"/>
              </w:rPr>
            </w:pPr>
            <w:r>
              <w:rPr>
                <w:rFonts w:hint="eastAsia" w:ascii="Times New Roman" w:hAnsi="Times New Roman" w:eastAsia="仿宋_GB2312" w:cs="Times New Roman"/>
                <w:b w:val="0"/>
                <w:bCs/>
                <w:color w:val="auto"/>
                <w:kern w:val="2"/>
                <w:sz w:val="21"/>
                <w:szCs w:val="21"/>
                <w:lang w:val="en-US" w:eastAsia="zh-CN" w:bidi="ar-SA"/>
              </w:rPr>
              <w:t>横坑村</w:t>
            </w:r>
          </w:p>
        </w:tc>
        <w:tc>
          <w:tcPr>
            <w:tcW w:w="2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6"/>
              <w:keepNext w:val="0"/>
              <w:keepLines w:val="0"/>
              <w:widowControl/>
              <w:suppressLineNumbers w:val="0"/>
              <w:ind w:left="0" w:leftChars="0" w:right="0" w:rightChars="0" w:firstLine="420" w:firstLineChars="200"/>
              <w:jc w:val="center"/>
              <w:rPr>
                <w:rFonts w:hint="default" w:ascii="Times New Roman" w:hAnsi="Times New Roman" w:eastAsia="仿宋_GB2312" w:cs="Times New Roman"/>
                <w:b w:val="0"/>
                <w:bCs/>
                <w:color w:val="auto"/>
                <w:kern w:val="2"/>
                <w:sz w:val="21"/>
                <w:szCs w:val="21"/>
                <w:lang w:val="en-US" w:eastAsia="zh-CN" w:bidi="ar-SA"/>
              </w:rPr>
            </w:pPr>
            <w:r>
              <w:rPr>
                <w:rFonts w:hint="eastAsia" w:ascii="Times New Roman" w:hAnsi="Times New Roman" w:eastAsia="仿宋_GB2312" w:cs="Times New Roman"/>
                <w:b w:val="0"/>
                <w:bCs/>
                <w:color w:val="auto"/>
                <w:kern w:val="2"/>
                <w:sz w:val="21"/>
                <w:szCs w:val="21"/>
                <w:lang w:val="en-US" w:eastAsia="zh-CN" w:bidi="ar-SA"/>
              </w:rPr>
              <w:t>整治提升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9" w:hRule="atLeast"/>
        </w:trPr>
        <w:tc>
          <w:tcPr>
            <w:tcW w:w="2571" w:type="pct"/>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16"/>
              <w:keepNext w:val="0"/>
              <w:keepLines w:val="0"/>
              <w:widowControl/>
              <w:suppressLineNumbers w:val="0"/>
              <w:ind w:left="0" w:leftChars="0" w:right="0" w:rightChars="0" w:firstLine="420" w:firstLineChars="200"/>
              <w:jc w:val="center"/>
              <w:rPr>
                <w:rFonts w:hint="eastAsia" w:ascii="Times New Roman" w:hAnsi="Times New Roman" w:eastAsia="仿宋_GB2312" w:cs="Times New Roman"/>
                <w:b w:val="0"/>
                <w:bCs/>
                <w:color w:val="auto"/>
                <w:kern w:val="2"/>
                <w:sz w:val="21"/>
                <w:szCs w:val="21"/>
                <w:lang w:val="en-US" w:eastAsia="zh-CN" w:bidi="ar-SA"/>
              </w:rPr>
            </w:pPr>
            <w:r>
              <w:rPr>
                <w:rFonts w:hint="eastAsia" w:ascii="Times New Roman" w:hAnsi="Times New Roman" w:eastAsia="仿宋_GB2312" w:cs="Times New Roman"/>
                <w:b w:val="0"/>
                <w:bCs/>
                <w:color w:val="auto"/>
                <w:kern w:val="2"/>
                <w:sz w:val="21"/>
                <w:szCs w:val="21"/>
                <w:lang w:val="en-US" w:eastAsia="zh-CN" w:bidi="ar-SA"/>
              </w:rPr>
              <w:t>大潭村</w:t>
            </w:r>
          </w:p>
        </w:tc>
        <w:tc>
          <w:tcPr>
            <w:tcW w:w="24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6"/>
              <w:keepNext w:val="0"/>
              <w:keepLines w:val="0"/>
              <w:widowControl/>
              <w:suppressLineNumbers w:val="0"/>
              <w:ind w:left="0" w:leftChars="0" w:right="0" w:rightChars="0" w:firstLine="420" w:firstLineChars="200"/>
              <w:jc w:val="center"/>
              <w:rPr>
                <w:rFonts w:hint="default" w:ascii="Times New Roman" w:hAnsi="Times New Roman" w:eastAsia="仿宋_GB2312" w:cs="Times New Roman"/>
                <w:b w:val="0"/>
                <w:bCs/>
                <w:color w:val="auto"/>
                <w:kern w:val="2"/>
                <w:sz w:val="21"/>
                <w:szCs w:val="21"/>
                <w:lang w:val="en-US" w:eastAsia="zh-CN" w:bidi="ar-SA"/>
              </w:rPr>
            </w:pPr>
            <w:r>
              <w:rPr>
                <w:rFonts w:hint="eastAsia" w:ascii="Times New Roman" w:hAnsi="Times New Roman" w:eastAsia="仿宋_GB2312" w:cs="Times New Roman"/>
                <w:b w:val="0"/>
                <w:bCs/>
                <w:color w:val="auto"/>
                <w:kern w:val="2"/>
                <w:sz w:val="21"/>
                <w:szCs w:val="21"/>
                <w:lang w:val="en-US" w:eastAsia="zh-CN" w:bidi="ar-SA"/>
              </w:rPr>
              <w:t>整治提升</w:t>
            </w:r>
          </w:p>
        </w:tc>
      </w:tr>
    </w:tbl>
    <w:p>
      <w:pPr>
        <w:pStyle w:val="33"/>
        <w:spacing w:before="156" w:beforeLines="50" w:after="156" w:afterLines="50" w:line="520" w:lineRule="exact"/>
        <w:rPr>
          <w:rFonts w:hint="eastAsia" w:ascii="Times New Roman" w:hAnsi="Times New Roman"/>
          <w:color w:val="auto"/>
          <w:kern w:val="2"/>
          <w:szCs w:val="32"/>
          <w:lang w:val="en-US" w:eastAsia="zh-CN"/>
        </w:rPr>
      </w:pPr>
      <w:bookmarkStart w:id="87" w:name="_Toc11133"/>
      <w:r>
        <w:rPr>
          <w:rFonts w:hint="eastAsia" w:ascii="Times New Roman" w:hAnsi="Times New Roman"/>
          <w:color w:val="auto"/>
          <w:kern w:val="2"/>
          <w:szCs w:val="32"/>
          <w:lang w:val="en-US" w:eastAsia="zh-CN"/>
        </w:rPr>
        <w:t>第二节 划定村庄规划编制单元</w:t>
      </w:r>
      <w:bookmarkEnd w:id="87"/>
    </w:p>
    <w:p>
      <w:pPr>
        <w:pStyle w:val="18"/>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为有效实现平富乡国土空间规划体系传导，进一步加强规划管理，规范平富乡域详细规划的编制，结合平富乡实际情况，科学划分详细规划编制单元，作为组织详细规划编制和开展规划管理的基础。</w:t>
      </w:r>
    </w:p>
    <w:p>
      <w:pPr>
        <w:pStyle w:val="18"/>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本次规划乡域共分为9个编制单元，分别为平富村（编制单元03），庄前村（编制单元04），向前村（编制单元05），上寨村（编制单元06），信地村（编制单元07），庄坑村（编制单元08），大潭村（编制单元09），横坑村（编制单元10）。</w:t>
      </w:r>
    </w:p>
    <w:p>
      <w:pPr>
        <w:pStyle w:val="18"/>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rPr>
          <w:rFonts w:hint="default" w:ascii="Times New Roman" w:hAnsi="Times New Roman" w:eastAsia="仿宋_GB2312" w:cs="Times New Roman"/>
          <w:color w:val="auto"/>
          <w:kern w:val="2"/>
          <w:sz w:val="28"/>
          <w:szCs w:val="28"/>
          <w:lang w:val="en-US" w:eastAsia="zh-CN" w:bidi="ar-SA"/>
        </w:rPr>
      </w:pPr>
    </w:p>
    <w:p>
      <w:pPr>
        <w:pStyle w:val="33"/>
        <w:spacing w:before="156" w:beforeLines="50" w:after="156" w:afterLines="50" w:line="520" w:lineRule="exact"/>
        <w:rPr>
          <w:rFonts w:hint="eastAsia" w:ascii="Times New Roman" w:hAnsi="Times New Roman"/>
          <w:color w:val="auto"/>
          <w:kern w:val="2"/>
          <w:szCs w:val="32"/>
          <w:lang w:val="en-US" w:eastAsia="zh-CN"/>
        </w:rPr>
      </w:pPr>
      <w:bookmarkStart w:id="88" w:name="_Toc19981"/>
      <w:r>
        <w:rPr>
          <w:rFonts w:hint="eastAsia" w:ascii="Times New Roman" w:hAnsi="Times New Roman"/>
          <w:color w:val="auto"/>
          <w:kern w:val="2"/>
          <w:szCs w:val="32"/>
          <w:lang w:val="en-US" w:eastAsia="zh-CN"/>
        </w:rPr>
        <w:t>第三节 统筹划定全域村庄建设边界</w:t>
      </w:r>
      <w:bookmarkEnd w:id="88"/>
    </w:p>
    <w:p>
      <w:pPr>
        <w:pStyle w:val="18"/>
        <w:keepNext w:val="0"/>
        <w:keepLines w:val="0"/>
        <w:pageBreakBefore w:val="0"/>
        <w:widowControl w:val="0"/>
        <w:kinsoku/>
        <w:wordWrap/>
        <w:overflowPunct/>
        <w:topLinePunct w:val="0"/>
        <w:autoSpaceDE/>
        <w:autoSpaceDN/>
        <w:bidi w:val="0"/>
        <w:adjustRightInd/>
        <w:snapToGrid/>
        <w:spacing w:beforeLines="0"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坚持县域统筹，支持有条件有需求的村庄分区分类编制村庄规划，合理确定村庄布局和建设边界。将村庄规划纳入村级议事协商目录。规范优化乡村地区行政区划设置，严禁违背农民意愿撤并村庄、搞大社区。推进以乡镇为单元的全域土地综合整治。积极盘活存量集体建设用地，优先保障农民居住、乡村基础设施、公共服务空间和产业用地需求，出台乡村振兴用地政策指南。编制村容村貌提升导则，立足乡土特征、地域特点和民族特色提升村庄风貌，防止大拆大建、盲目建牌楼亭廊“堆盆景”。实施传统村落集中连片保护利用示范，建立完善传统村落调查认定、撤并前置审查、灾毁防范等制度。制定农村基本具备现代生活条件建设指引。</w:t>
      </w:r>
    </w:p>
    <w:p>
      <w:pPr>
        <w:snapToGrid w:val="0"/>
        <w:spacing w:line="480" w:lineRule="exact"/>
        <w:ind w:firstLine="560"/>
        <w:rPr>
          <w:rFonts w:hint="eastAsia" w:ascii="Times New Roman" w:hAnsi="Times New Roman" w:eastAsia="仿宋_GB2312" w:cs="Times New Roman"/>
          <w:b w:val="0"/>
          <w:bCs/>
          <w:color w:val="auto"/>
          <w:sz w:val="28"/>
          <w:szCs w:val="28"/>
          <w:highlight w:val="none"/>
          <w:lang w:val="en-US" w:eastAsia="zh-CN"/>
        </w:rPr>
      </w:pPr>
      <w:r>
        <w:rPr>
          <w:rFonts w:hint="eastAsia" w:ascii="Times New Roman" w:hAnsi="Times New Roman" w:eastAsia="仿宋_GB2312" w:cs="Times New Roman"/>
          <w:b w:val="0"/>
          <w:bCs/>
          <w:color w:val="auto"/>
          <w:sz w:val="28"/>
          <w:szCs w:val="28"/>
          <w:highlight w:val="none"/>
          <w:lang w:val="en-US" w:eastAsia="zh-CN"/>
        </w:rPr>
        <w:t>分析落实用地发展需求，21～23年报批批次总建设用地规模为2.47公顷，其中需纳入村庄建设边界用地规模为1.97公顷；乡村建设及重大项目需要调入村庄用地17.87公顷。</w:t>
      </w:r>
    </w:p>
    <w:p>
      <w:pPr>
        <w:snapToGrid w:val="0"/>
        <w:spacing w:line="480" w:lineRule="exact"/>
        <w:ind w:firstLine="560"/>
        <w:rPr>
          <w:rFonts w:hint="eastAsia" w:ascii="Times New Roman" w:hAnsi="Times New Roman" w:eastAsia="仿宋_GB2312" w:cs="Times New Roman"/>
          <w:bCs/>
          <w:color w:val="auto"/>
          <w:sz w:val="28"/>
          <w:szCs w:val="28"/>
          <w:highlight w:val="none"/>
          <w:lang w:val="en-US" w:eastAsia="zh-CN"/>
        </w:rPr>
      </w:pPr>
      <w:r>
        <w:rPr>
          <w:rFonts w:hint="eastAsia" w:ascii="Times New Roman" w:hAnsi="Times New Roman" w:eastAsia="仿宋_GB2312" w:cs="Times New Roman"/>
          <w:bCs/>
          <w:color w:val="auto"/>
          <w:sz w:val="28"/>
          <w:szCs w:val="28"/>
          <w:highlight w:val="none"/>
          <w:lang w:val="en-US" w:eastAsia="zh-CN"/>
        </w:rPr>
        <w:t>规划调入19.84公顷村庄建设边界，分布在平富村、庄前村、向前村、上寨村、庄坑村、信地畲族村、横坑畲族村、大潭村八个行政区划，主要用于产业发展、居民安置等乡村振兴项目。</w:t>
      </w:r>
    </w:p>
    <w:p>
      <w:pPr>
        <w:snapToGrid w:val="0"/>
        <w:spacing w:line="480" w:lineRule="exact"/>
        <w:ind w:firstLine="560"/>
        <w:rPr>
          <w:rFonts w:hint="eastAsia" w:ascii="Times New Roman" w:hAnsi="Times New Roman" w:eastAsia="仿宋_GB2312"/>
          <w:color w:val="auto"/>
          <w:highlight w:val="none"/>
        </w:rPr>
      </w:pPr>
      <w:r>
        <w:rPr>
          <w:rFonts w:hint="eastAsia" w:ascii="Times New Roman" w:hAnsi="Times New Roman" w:eastAsia="仿宋_GB2312" w:cs="Times New Roman"/>
          <w:bCs/>
          <w:color w:val="auto"/>
          <w:sz w:val="28"/>
          <w:szCs w:val="28"/>
          <w:highlight w:val="none"/>
          <w:lang w:val="en-US" w:eastAsia="zh-CN"/>
        </w:rPr>
        <w:t>在规划期间，平富乡村庄建设边界调出27.03公顷，涉及8个行政村。</w:t>
      </w:r>
    </w:p>
    <w:p>
      <w:pPr>
        <w:snapToGrid w:val="0"/>
        <w:spacing w:line="480" w:lineRule="exact"/>
        <w:ind w:firstLine="560"/>
        <w:rPr>
          <w:rFonts w:hint="eastAsia" w:ascii="Times New Roman" w:hAnsi="Times New Roman" w:eastAsia="仿宋_GB2312" w:cs="Times New Roman"/>
          <w:bCs/>
          <w:color w:val="auto"/>
          <w:sz w:val="28"/>
          <w:szCs w:val="28"/>
          <w:highlight w:val="none"/>
          <w:lang w:val="en-US" w:eastAsia="zh-CN"/>
        </w:rPr>
      </w:pPr>
      <w:r>
        <w:rPr>
          <w:rFonts w:hint="eastAsia" w:ascii="Times New Roman" w:hAnsi="Times New Roman" w:eastAsia="仿宋_GB2312" w:cs="Times New Roman"/>
          <w:bCs/>
          <w:color w:val="auto"/>
          <w:sz w:val="28"/>
          <w:szCs w:val="28"/>
          <w:highlight w:val="none"/>
          <w:lang w:val="en-US" w:eastAsia="zh-CN"/>
        </w:rPr>
        <w:t>平富乡现状203规模为144.14公顷，其中调出27.03公顷，调入19.84公顷（包括已报批及项目），规划调整为136.95公顷，共预留7.19公顷机动指标，预留比例为4.99%。</w:t>
      </w:r>
    </w:p>
    <w:p>
      <w:pPr>
        <w:keepNext/>
        <w:pageBreakBefore w:val="0"/>
        <w:kinsoku/>
        <w:wordWrap/>
        <w:overflowPunct/>
        <w:topLinePunct w:val="0"/>
        <w:bidi w:val="0"/>
        <w:snapToGrid w:val="0"/>
        <w:spacing w:line="480" w:lineRule="exact"/>
        <w:ind w:firstLine="0" w:firstLineChars="0"/>
        <w:jc w:val="center"/>
        <w:rPr>
          <w:rFonts w:hint="default"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 xml:space="preserve">表13-2 </w:t>
      </w:r>
      <w:r>
        <w:rPr>
          <w:rFonts w:hint="default" w:ascii="Times New Roman" w:hAnsi="Times New Roman" w:eastAsia="仿宋_GB2312" w:cs="微软雅黑"/>
          <w:b/>
          <w:bCs w:val="0"/>
          <w:color w:val="auto"/>
          <w:kern w:val="0"/>
          <w:sz w:val="21"/>
          <w:szCs w:val="21"/>
          <w:lang w:val="en-US" w:eastAsia="zh-CN" w:bidi="zh-CN"/>
        </w:rPr>
        <w:t>村庄建设边界规模分解表</w:t>
      </w:r>
    </w:p>
    <w:tbl>
      <w:tblPr>
        <w:tblStyle w:val="19"/>
        <w:tblW w:w="8378"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70"/>
        <w:gridCol w:w="1035"/>
        <w:gridCol w:w="990"/>
        <w:gridCol w:w="704"/>
        <w:gridCol w:w="1025"/>
        <w:gridCol w:w="944"/>
        <w:gridCol w:w="959"/>
        <w:gridCol w:w="796"/>
        <w:gridCol w:w="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5" w:hRule="atLeast"/>
        </w:trPr>
        <w:tc>
          <w:tcPr>
            <w:tcW w:w="1070" w:type="dxa"/>
            <w:vMerge w:val="restar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ascii="仿宋_GB2312" w:hAnsi="宋体" w:eastAsia="仿宋_GB2312" w:cs="仿宋_GB2312"/>
                <w:b/>
                <w:bCs/>
                <w:i w:val="0"/>
                <w:iCs w:val="0"/>
                <w:color w:val="000000"/>
                <w:sz w:val="21"/>
                <w:szCs w:val="21"/>
                <w:u w:val="none"/>
              </w:rPr>
            </w:pPr>
            <w:r>
              <w:rPr>
                <w:rFonts w:hint="eastAsia" w:ascii="仿宋_GB2312" w:hAnsi="宋体" w:eastAsia="仿宋_GB2312" w:cs="仿宋_GB2312"/>
                <w:b/>
                <w:bCs/>
                <w:i w:val="0"/>
                <w:iCs w:val="0"/>
                <w:color w:val="000000"/>
                <w:kern w:val="0"/>
                <w:sz w:val="21"/>
                <w:szCs w:val="21"/>
                <w:u w:val="none"/>
                <w:lang w:val="en-US" w:eastAsia="zh-CN" w:bidi="ar"/>
              </w:rPr>
              <w:t>行政村名</w:t>
            </w:r>
          </w:p>
        </w:tc>
        <w:tc>
          <w:tcPr>
            <w:tcW w:w="3754" w:type="dxa"/>
            <w:gridSpan w:val="4"/>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1"/>
                <w:szCs w:val="21"/>
                <w:u w:val="none"/>
              </w:rPr>
            </w:pPr>
            <w:r>
              <w:rPr>
                <w:rFonts w:hint="eastAsia" w:ascii="仿宋_GB2312" w:hAnsi="宋体" w:eastAsia="仿宋_GB2312" w:cs="仿宋_GB2312"/>
                <w:b/>
                <w:bCs/>
                <w:i w:val="0"/>
                <w:iCs w:val="0"/>
                <w:color w:val="000000"/>
                <w:kern w:val="0"/>
                <w:sz w:val="21"/>
                <w:szCs w:val="21"/>
                <w:u w:val="none"/>
                <w:lang w:val="en-US" w:eastAsia="zh-CN" w:bidi="ar"/>
              </w:rPr>
              <w:t>现状“</w:t>
            </w:r>
            <w:r>
              <w:rPr>
                <w:rFonts w:hint="default" w:ascii="Times New Roman" w:hAnsi="Times New Roman" w:eastAsia="仿宋_GB2312" w:cs="Times New Roman"/>
                <w:b/>
                <w:bCs/>
                <w:i w:val="0"/>
                <w:iCs w:val="0"/>
                <w:color w:val="000000"/>
                <w:kern w:val="0"/>
                <w:sz w:val="21"/>
                <w:szCs w:val="21"/>
                <w:u w:val="none"/>
                <w:lang w:val="en-US" w:eastAsia="zh-CN" w:bidi="ar"/>
              </w:rPr>
              <w:t>203</w:t>
            </w:r>
            <w:r>
              <w:rPr>
                <w:rFonts w:hint="eastAsia" w:ascii="仿宋_GB2312" w:hAnsi="宋体" w:eastAsia="仿宋_GB2312" w:cs="仿宋_GB2312"/>
                <w:b/>
                <w:bCs/>
                <w:i w:val="0"/>
                <w:iCs w:val="0"/>
                <w:color w:val="000000"/>
                <w:kern w:val="0"/>
                <w:sz w:val="21"/>
                <w:szCs w:val="21"/>
                <w:u w:val="none"/>
                <w:lang w:val="en-US" w:eastAsia="zh-CN" w:bidi="ar"/>
              </w:rPr>
              <w:t>”规模</w:t>
            </w:r>
          </w:p>
        </w:tc>
        <w:tc>
          <w:tcPr>
            <w:tcW w:w="1903"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1"/>
                <w:szCs w:val="21"/>
                <w:u w:val="none"/>
              </w:rPr>
            </w:pPr>
            <w:r>
              <w:rPr>
                <w:rFonts w:hint="eastAsia" w:ascii="仿宋_GB2312" w:hAnsi="宋体" w:eastAsia="仿宋_GB2312" w:cs="仿宋_GB2312"/>
                <w:b/>
                <w:bCs/>
                <w:i w:val="0"/>
                <w:iCs w:val="0"/>
                <w:color w:val="000000"/>
                <w:kern w:val="0"/>
                <w:sz w:val="21"/>
                <w:szCs w:val="21"/>
                <w:u w:val="none"/>
                <w:lang w:val="en-US" w:eastAsia="zh-CN" w:bidi="ar"/>
              </w:rPr>
              <w:t>村庄建设边界规模</w:t>
            </w:r>
          </w:p>
        </w:tc>
        <w:tc>
          <w:tcPr>
            <w:tcW w:w="1651" w:type="dxa"/>
            <w:gridSpan w:val="2"/>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center"/>
              <w:rPr>
                <w:rFonts w:hint="eastAsia" w:ascii="仿宋_GB2312" w:hAnsi="宋体" w:eastAsia="仿宋_GB2312" w:cs="仿宋_GB2312"/>
                <w:b/>
                <w:bCs/>
                <w:i w:val="0"/>
                <w:iCs w:val="0"/>
                <w:color w:val="000000"/>
                <w:sz w:val="21"/>
                <w:szCs w:val="21"/>
                <w:u w:val="none"/>
              </w:rPr>
            </w:pPr>
            <w:r>
              <w:rPr>
                <w:rFonts w:hint="eastAsia" w:ascii="仿宋_GB2312" w:hAnsi="宋体" w:eastAsia="仿宋_GB2312" w:cs="仿宋_GB2312"/>
                <w:b/>
                <w:bCs/>
                <w:i w:val="0"/>
                <w:iCs w:val="0"/>
                <w:color w:val="000000"/>
                <w:kern w:val="0"/>
                <w:sz w:val="21"/>
                <w:szCs w:val="21"/>
                <w:u w:val="none"/>
                <w:lang w:val="en-US" w:eastAsia="zh-CN" w:bidi="ar"/>
              </w:rPr>
              <w:t>增减变化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98" w:hRule="atLeast"/>
        </w:trPr>
        <w:tc>
          <w:tcPr>
            <w:tcW w:w="1070" w:type="dxa"/>
            <w:vMerge w:val="continue"/>
            <w:tcBorders>
              <w:top w:val="single" w:color="000000" w:sz="4" w:space="0"/>
              <w:left w:val="single" w:color="000000" w:sz="4" w:space="0"/>
              <w:bottom w:val="single" w:color="000000" w:sz="4" w:space="0"/>
              <w:right w:val="single" w:color="000000" w:sz="4" w:space="0"/>
            </w:tcBorders>
            <w:shd w:val="clear" w:color="auto" w:fill="auto"/>
            <w:vAlign w:val="top"/>
          </w:tcPr>
          <w:p>
            <w:pPr>
              <w:jc w:val="center"/>
              <w:rPr>
                <w:rFonts w:hint="eastAsia" w:ascii="仿宋_GB2312" w:hAnsi="宋体" w:eastAsia="仿宋_GB2312" w:cs="仿宋_GB2312"/>
                <w:b/>
                <w:bCs/>
                <w:i w:val="0"/>
                <w:iCs w:val="0"/>
                <w:color w:val="000000"/>
                <w:sz w:val="21"/>
                <w:szCs w:val="21"/>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仿宋_GB2312" w:hAnsi="宋体" w:eastAsia="仿宋_GB2312" w:cs="仿宋_GB2312"/>
                <w:b/>
                <w:bCs/>
                <w:i w:val="0"/>
                <w:iCs w:val="0"/>
                <w:color w:val="000000"/>
                <w:sz w:val="21"/>
                <w:szCs w:val="21"/>
                <w:u w:val="none"/>
              </w:rPr>
            </w:pPr>
            <w:r>
              <w:rPr>
                <w:rFonts w:hint="eastAsia" w:ascii="仿宋_GB2312" w:hAnsi="宋体" w:eastAsia="仿宋_GB2312" w:cs="仿宋_GB2312"/>
                <w:b/>
                <w:bCs/>
                <w:i w:val="0"/>
                <w:iCs w:val="0"/>
                <w:color w:val="000000"/>
                <w:kern w:val="0"/>
                <w:sz w:val="21"/>
                <w:szCs w:val="21"/>
                <w:u w:val="none"/>
                <w:lang w:val="en-US" w:eastAsia="zh-CN" w:bidi="ar"/>
              </w:rPr>
              <w:t>面积</w:t>
            </w:r>
          </w:p>
        </w:tc>
        <w:tc>
          <w:tcPr>
            <w:tcW w:w="99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仿宋_GB2312" w:hAnsi="宋体" w:eastAsia="仿宋_GB2312" w:cs="仿宋_GB2312"/>
                <w:b/>
                <w:bCs/>
                <w:i w:val="0"/>
                <w:iCs w:val="0"/>
                <w:color w:val="000000"/>
                <w:sz w:val="21"/>
                <w:szCs w:val="21"/>
                <w:u w:val="none"/>
              </w:rPr>
            </w:pPr>
            <w:r>
              <w:rPr>
                <w:rFonts w:hint="eastAsia" w:ascii="仿宋_GB2312" w:hAnsi="宋体" w:eastAsia="仿宋_GB2312" w:cs="仿宋_GB2312"/>
                <w:b/>
                <w:bCs/>
                <w:i w:val="0"/>
                <w:iCs w:val="0"/>
                <w:color w:val="000000"/>
                <w:kern w:val="0"/>
                <w:sz w:val="21"/>
                <w:szCs w:val="21"/>
                <w:u w:val="none"/>
                <w:lang w:val="en-US" w:eastAsia="zh-CN" w:bidi="ar"/>
              </w:rPr>
              <w:t>比例</w:t>
            </w:r>
          </w:p>
        </w:tc>
        <w:tc>
          <w:tcPr>
            <w:tcW w:w="70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仿宋_GB2312" w:hAnsi="宋体" w:eastAsia="仿宋_GB2312" w:cs="仿宋_GB2312"/>
                <w:b/>
                <w:bCs/>
                <w:i w:val="0"/>
                <w:iCs w:val="0"/>
                <w:color w:val="000000"/>
                <w:sz w:val="21"/>
                <w:szCs w:val="21"/>
                <w:u w:val="none"/>
              </w:rPr>
            </w:pPr>
            <w:r>
              <w:rPr>
                <w:rFonts w:hint="eastAsia" w:ascii="仿宋_GB2312" w:hAnsi="宋体" w:eastAsia="仿宋_GB2312" w:cs="仿宋_GB2312"/>
                <w:b/>
                <w:bCs/>
                <w:i w:val="0"/>
                <w:iCs w:val="0"/>
                <w:color w:val="000000"/>
                <w:kern w:val="0"/>
                <w:sz w:val="21"/>
                <w:szCs w:val="21"/>
                <w:u w:val="none"/>
                <w:lang w:val="en-US" w:eastAsia="zh-CN" w:bidi="ar"/>
              </w:rPr>
              <w:t>其中</w:t>
            </w:r>
            <w:r>
              <w:rPr>
                <w:rFonts w:hint="default" w:ascii="Times New Roman" w:hAnsi="Times New Roman" w:eastAsia="仿宋_GB2312" w:cs="Times New Roman"/>
                <w:b/>
                <w:bCs/>
                <w:i w:val="0"/>
                <w:iCs w:val="0"/>
                <w:color w:val="000000"/>
                <w:kern w:val="0"/>
                <w:sz w:val="21"/>
                <w:szCs w:val="21"/>
                <w:u w:val="none"/>
                <w:lang w:val="en-US" w:eastAsia="zh-CN" w:bidi="ar"/>
              </w:rPr>
              <w:t>203</w:t>
            </w:r>
            <w:r>
              <w:rPr>
                <w:rFonts w:hint="eastAsia" w:ascii="仿宋_GB2312" w:hAnsi="宋体" w:eastAsia="仿宋_GB2312" w:cs="仿宋_GB2312"/>
                <w:b/>
                <w:bCs/>
                <w:i w:val="0"/>
                <w:iCs w:val="0"/>
                <w:color w:val="000000"/>
                <w:kern w:val="0"/>
                <w:sz w:val="21"/>
                <w:szCs w:val="21"/>
                <w:u w:val="none"/>
                <w:lang w:val="en-US" w:eastAsia="zh-CN" w:bidi="ar"/>
              </w:rPr>
              <w:t>内非建设用地面积</w:t>
            </w:r>
          </w:p>
        </w:tc>
        <w:tc>
          <w:tcPr>
            <w:tcW w:w="102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仿宋_GB2312" w:hAnsi="宋体" w:eastAsia="仿宋_GB2312" w:cs="仿宋_GB2312"/>
                <w:b/>
                <w:bCs/>
                <w:i w:val="0"/>
                <w:iCs w:val="0"/>
                <w:color w:val="000000"/>
                <w:sz w:val="21"/>
                <w:szCs w:val="21"/>
                <w:u w:val="none"/>
              </w:rPr>
            </w:pPr>
            <w:r>
              <w:rPr>
                <w:rFonts w:hint="eastAsia" w:ascii="仿宋_GB2312" w:hAnsi="宋体" w:eastAsia="仿宋_GB2312" w:cs="仿宋_GB2312"/>
                <w:b/>
                <w:bCs/>
                <w:i w:val="0"/>
                <w:iCs w:val="0"/>
                <w:color w:val="000000"/>
                <w:kern w:val="0"/>
                <w:sz w:val="21"/>
                <w:szCs w:val="21"/>
                <w:u w:val="none"/>
                <w:lang w:val="en-US" w:eastAsia="zh-CN" w:bidi="ar"/>
              </w:rPr>
              <w:t>比例</w:t>
            </w:r>
          </w:p>
        </w:tc>
        <w:tc>
          <w:tcPr>
            <w:tcW w:w="944"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仿宋_GB2312" w:hAnsi="宋体" w:eastAsia="仿宋_GB2312" w:cs="仿宋_GB2312"/>
                <w:b/>
                <w:bCs/>
                <w:i w:val="0"/>
                <w:iCs w:val="0"/>
                <w:color w:val="000000"/>
                <w:sz w:val="21"/>
                <w:szCs w:val="21"/>
                <w:u w:val="none"/>
              </w:rPr>
            </w:pPr>
            <w:r>
              <w:rPr>
                <w:rFonts w:hint="eastAsia" w:ascii="仿宋_GB2312" w:hAnsi="宋体" w:eastAsia="仿宋_GB2312" w:cs="仿宋_GB2312"/>
                <w:b/>
                <w:bCs/>
                <w:i w:val="0"/>
                <w:iCs w:val="0"/>
                <w:color w:val="000000"/>
                <w:kern w:val="0"/>
                <w:sz w:val="21"/>
                <w:szCs w:val="21"/>
                <w:u w:val="none"/>
                <w:lang w:val="en-US" w:eastAsia="zh-CN" w:bidi="ar"/>
              </w:rPr>
              <w:t>面积</w:t>
            </w:r>
          </w:p>
        </w:tc>
        <w:tc>
          <w:tcPr>
            <w:tcW w:w="959"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仿宋_GB2312" w:hAnsi="宋体" w:eastAsia="仿宋_GB2312" w:cs="仿宋_GB2312"/>
                <w:b/>
                <w:bCs/>
                <w:i w:val="0"/>
                <w:iCs w:val="0"/>
                <w:color w:val="000000"/>
                <w:sz w:val="21"/>
                <w:szCs w:val="21"/>
                <w:u w:val="none"/>
              </w:rPr>
            </w:pPr>
            <w:r>
              <w:rPr>
                <w:rFonts w:hint="eastAsia" w:ascii="仿宋_GB2312" w:hAnsi="宋体" w:eastAsia="仿宋_GB2312" w:cs="仿宋_GB2312"/>
                <w:b/>
                <w:bCs/>
                <w:i w:val="0"/>
                <w:iCs w:val="0"/>
                <w:color w:val="000000"/>
                <w:kern w:val="0"/>
                <w:sz w:val="21"/>
                <w:szCs w:val="21"/>
                <w:u w:val="none"/>
                <w:lang w:val="en-US" w:eastAsia="zh-CN" w:bidi="ar"/>
              </w:rPr>
              <w:t>比例</w:t>
            </w:r>
          </w:p>
        </w:tc>
        <w:tc>
          <w:tcPr>
            <w:tcW w:w="796"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仿宋_GB2312" w:hAnsi="宋体" w:eastAsia="仿宋_GB2312" w:cs="仿宋_GB2312"/>
                <w:b/>
                <w:bCs/>
                <w:i w:val="0"/>
                <w:iCs w:val="0"/>
                <w:color w:val="000000"/>
                <w:sz w:val="21"/>
                <w:szCs w:val="21"/>
                <w:u w:val="none"/>
              </w:rPr>
            </w:pPr>
            <w:r>
              <w:rPr>
                <w:rFonts w:hint="eastAsia" w:ascii="仿宋_GB2312" w:hAnsi="宋体" w:eastAsia="仿宋_GB2312" w:cs="仿宋_GB2312"/>
                <w:b/>
                <w:bCs/>
                <w:i w:val="0"/>
                <w:iCs w:val="0"/>
                <w:color w:val="000000"/>
                <w:kern w:val="0"/>
                <w:sz w:val="21"/>
                <w:szCs w:val="21"/>
                <w:u w:val="none"/>
                <w:lang w:val="en-US" w:eastAsia="zh-CN" w:bidi="ar"/>
              </w:rPr>
              <w:t>面积</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ind w:left="0" w:leftChars="0" w:firstLine="0" w:firstLineChars="0"/>
              <w:jc w:val="both"/>
              <w:textAlignment w:val="center"/>
              <w:rPr>
                <w:rFonts w:hint="eastAsia" w:ascii="仿宋_GB2312" w:hAnsi="宋体" w:eastAsia="仿宋_GB2312" w:cs="仿宋_GB2312"/>
                <w:b/>
                <w:bCs/>
                <w:i w:val="0"/>
                <w:iCs w:val="0"/>
                <w:color w:val="000000"/>
                <w:sz w:val="21"/>
                <w:szCs w:val="21"/>
                <w:u w:val="none"/>
              </w:rPr>
            </w:pPr>
            <w:r>
              <w:rPr>
                <w:rFonts w:hint="eastAsia" w:ascii="仿宋_GB2312" w:hAnsi="宋体" w:eastAsia="仿宋_GB2312" w:cs="仿宋_GB2312"/>
                <w:b/>
                <w:bCs/>
                <w:i w:val="0"/>
                <w:iCs w:val="0"/>
                <w:color w:val="000000"/>
                <w:kern w:val="0"/>
                <w:sz w:val="21"/>
                <w:szCs w:val="21"/>
                <w:u w:val="none"/>
                <w:lang w:val="en-US" w:eastAsia="zh-CN" w:bidi="ar"/>
              </w:rPr>
              <w:t>比例</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top"/>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大潭村</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20.57</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14.27%</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 xml:space="preserve">4.66 </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11.05%</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 xml:space="preserve">16.85 </w:t>
            </w:r>
          </w:p>
        </w:tc>
        <w:tc>
          <w:tcPr>
            <w:tcW w:w="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12.31%</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 xml:space="preserve">-3.72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-1.96%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top"/>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横坑村</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15.82</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10.98%</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 xml:space="preserve">5.89 </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13.97%</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 xml:space="preserve">11.09 </w:t>
            </w:r>
          </w:p>
        </w:tc>
        <w:tc>
          <w:tcPr>
            <w:tcW w:w="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8.10%</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 xml:space="preserve">-4.73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-2.88%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top"/>
              <w:rPr>
                <w:rFonts w:hint="eastAsia" w:ascii="仿宋_GB2312" w:hAnsi="宋体" w:eastAsia="仿宋_GB2312" w:cs="仿宋_GB2312"/>
                <w:i w:val="0"/>
                <w:iCs w:val="0"/>
                <w:color w:val="000000"/>
                <w:sz w:val="21"/>
                <w:szCs w:val="21"/>
                <w:u w:val="none"/>
              </w:rPr>
            </w:pPr>
            <w:r>
              <w:rPr>
                <w:rFonts w:hint="eastAsia" w:ascii="仿宋_GB2312" w:hAnsi="宋体" w:eastAsia="仿宋_GB2312" w:cs="仿宋_GB2312"/>
                <w:i w:val="0"/>
                <w:iCs w:val="0"/>
                <w:color w:val="000000"/>
                <w:kern w:val="0"/>
                <w:sz w:val="21"/>
                <w:szCs w:val="21"/>
                <w:u w:val="none"/>
                <w:lang w:val="en-US" w:eastAsia="zh-CN" w:bidi="ar"/>
              </w:rPr>
              <w:t>平富村</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24.57</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17.05%</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 xml:space="preserve">8.09 </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19.19%</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 xml:space="preserve">23.40 </w:t>
            </w:r>
          </w:p>
        </w:tc>
        <w:tc>
          <w:tcPr>
            <w:tcW w:w="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17.09%</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 xml:space="preserve">-1.17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top"/>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上寨村</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24.96</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17.32%</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 xml:space="preserve">9.76 </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23.14%</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 xml:space="preserve">19.08 </w:t>
            </w:r>
          </w:p>
        </w:tc>
        <w:tc>
          <w:tcPr>
            <w:tcW w:w="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13.93%</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 xml:space="preserve">-5.88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-3.38%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top"/>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向前村</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20.48</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14.21%</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 xml:space="preserve">4.39 </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10.42%</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 xml:space="preserve">31.36 </w:t>
            </w:r>
          </w:p>
        </w:tc>
        <w:tc>
          <w:tcPr>
            <w:tcW w:w="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22.90%</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 xml:space="preserve">10.88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8.69%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top"/>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信地村</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14.84</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10.30%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 xml:space="preserve">5.71 </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13.55%</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 xml:space="preserve">11.08 </w:t>
            </w:r>
          </w:p>
        </w:tc>
        <w:tc>
          <w:tcPr>
            <w:tcW w:w="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8.09%</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 xml:space="preserve">-3.76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-2.20%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top"/>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庄坑村</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 xml:space="preserve">9.00 </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6.24%</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 xml:space="preserve">1.85 </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4.38%</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 xml:space="preserve">9.46 </w:t>
            </w:r>
          </w:p>
        </w:tc>
        <w:tc>
          <w:tcPr>
            <w:tcW w:w="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6.91%</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 xml:space="preserve">0.46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0.67%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7" w:hRule="atLeast"/>
        </w:trPr>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top"/>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庄前村</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13.91</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9.65%</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 xml:space="preserve">1.81 </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4.30%</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 xml:space="preserve">14.61 </w:t>
            </w:r>
          </w:p>
        </w:tc>
        <w:tc>
          <w:tcPr>
            <w:tcW w:w="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10.67%</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 xml:space="preserve">0.70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6" w:hRule="atLeast"/>
        </w:trPr>
        <w:tc>
          <w:tcPr>
            <w:tcW w:w="107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both"/>
              <w:textAlignment w:val="top"/>
              <w:rPr>
                <w:rFonts w:hint="eastAsia" w:ascii="仿宋_GB2312" w:hAnsi="宋体" w:eastAsia="仿宋_GB2312" w:cs="仿宋_GB2312"/>
                <w:i w:val="0"/>
                <w:iCs w:val="0"/>
                <w:color w:val="000000"/>
                <w:kern w:val="0"/>
                <w:sz w:val="21"/>
                <w:szCs w:val="21"/>
                <w:u w:val="none"/>
                <w:lang w:val="en-US" w:eastAsia="zh-CN" w:bidi="ar"/>
              </w:rPr>
            </w:pPr>
            <w:r>
              <w:rPr>
                <w:rFonts w:hint="eastAsia" w:ascii="仿宋_GB2312" w:hAnsi="宋体" w:eastAsia="仿宋_GB2312" w:cs="仿宋_GB2312"/>
                <w:i w:val="0"/>
                <w:iCs w:val="0"/>
                <w:color w:val="000000"/>
                <w:kern w:val="0"/>
                <w:sz w:val="21"/>
                <w:szCs w:val="21"/>
                <w:u w:val="none"/>
                <w:lang w:val="en-US" w:eastAsia="zh-CN" w:bidi="ar"/>
              </w:rPr>
              <w:t>总计</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144.14</w:t>
            </w:r>
          </w:p>
        </w:tc>
        <w:tc>
          <w:tcPr>
            <w:tcW w:w="99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100.00%</w:t>
            </w:r>
          </w:p>
        </w:tc>
        <w:tc>
          <w:tcPr>
            <w:tcW w:w="70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 xml:space="preserve">42.17 </w:t>
            </w:r>
          </w:p>
        </w:tc>
        <w:tc>
          <w:tcPr>
            <w:tcW w:w="10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100.00%</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 xml:space="preserve">136.95 </w:t>
            </w:r>
          </w:p>
        </w:tc>
        <w:tc>
          <w:tcPr>
            <w:tcW w:w="95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100.00%</w:t>
            </w:r>
          </w:p>
        </w:tc>
        <w:tc>
          <w:tcPr>
            <w:tcW w:w="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 xml:space="preserve">-7.19 </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31"/>
              <w:pageBreakBefore w:val="0"/>
              <w:kinsoku/>
              <w:wordWrap/>
              <w:overflowPunct/>
              <w:topLinePunct w:val="0"/>
              <w:bidi w:val="0"/>
              <w:spacing w:line="480" w:lineRule="exact"/>
              <w:jc w:val="center"/>
              <w:rPr>
                <w:rFonts w:hint="default" w:ascii="Times New Roman" w:hAnsi="Times New Roman" w:eastAsia="仿宋_GB2312" w:cs="微软雅黑"/>
                <w:bCs/>
                <w:color w:val="auto"/>
                <w:kern w:val="0"/>
                <w:sz w:val="21"/>
                <w:szCs w:val="21"/>
                <w:lang w:val="en-US" w:eastAsia="zh-CN" w:bidi="zh-CN"/>
              </w:rPr>
            </w:pPr>
            <w:r>
              <w:rPr>
                <w:rFonts w:hint="default" w:ascii="Times New Roman" w:hAnsi="Times New Roman" w:eastAsia="仿宋_GB2312" w:cs="微软雅黑"/>
                <w:bCs/>
                <w:color w:val="auto"/>
                <w:kern w:val="0"/>
                <w:sz w:val="21"/>
                <w:szCs w:val="21"/>
                <w:lang w:val="en-US" w:eastAsia="zh-CN" w:bidi="zh-CN"/>
              </w:rPr>
              <w:t>0.00%</w:t>
            </w:r>
          </w:p>
        </w:tc>
      </w:tr>
    </w:tbl>
    <w:p>
      <w:pPr>
        <w:pStyle w:val="17"/>
        <w:keepNext w:val="0"/>
        <w:keepLines w:val="0"/>
        <w:pageBreakBefore w:val="0"/>
        <w:widowControl w:val="0"/>
        <w:kinsoku/>
        <w:wordWrap/>
        <w:overflowPunct/>
        <w:topLinePunct w:val="0"/>
        <w:autoSpaceDE w:val="0"/>
        <w:autoSpaceDN w:val="0"/>
        <w:bidi w:val="0"/>
        <w:adjustRightInd/>
        <w:snapToGrid/>
        <w:spacing w:after="0" w:line="360" w:lineRule="auto"/>
        <w:jc w:val="center"/>
        <w:textAlignment w:val="auto"/>
        <w:rPr>
          <w:rFonts w:hint="eastAsia" w:ascii="黑体" w:hAnsi="黑体" w:eastAsia="黑体" w:cs="黑体"/>
          <w:b/>
          <w:bCs/>
          <w:color w:val="auto"/>
          <w:sz w:val="32"/>
          <w:szCs w:val="32"/>
          <w:lang w:val="en-US" w:eastAsia="zh-CN"/>
        </w:rPr>
      </w:pPr>
      <w:r>
        <w:rPr>
          <w:rFonts w:hint="eastAsia" w:ascii="Times New Roman" w:hAnsi="Times New Roman" w:eastAsia="Arial Unicode MS"/>
          <w:color w:val="auto"/>
          <w:lang w:val="en-US" w:eastAsia="zh-CN"/>
        </w:rPr>
        <w:br w:type="page"/>
      </w:r>
      <w:bookmarkStart w:id="89" w:name="_Toc21882"/>
      <w:r>
        <w:rPr>
          <w:rStyle w:val="41"/>
          <w:rFonts w:hint="eastAsia" w:ascii="黑体" w:hAnsi="黑体" w:eastAsia="黑体" w:cs="黑体"/>
          <w:lang w:val="en-US" w:eastAsia="zh-CN"/>
        </w:rPr>
        <w:t>第十四章  规划传导落实与重大项目布点</w:t>
      </w:r>
      <w:bookmarkEnd w:id="89"/>
    </w:p>
    <w:p>
      <w:pPr>
        <w:pStyle w:val="33"/>
        <w:spacing w:before="156" w:beforeLines="50" w:after="156" w:afterLines="50" w:line="520" w:lineRule="exact"/>
        <w:rPr>
          <w:rFonts w:hint="eastAsia" w:ascii="Times New Roman" w:hAnsi="Times New Roman" w:cs="Times New Roman"/>
          <w:color w:val="auto"/>
          <w:kern w:val="2"/>
          <w:szCs w:val="32"/>
          <w:lang w:val="en-US" w:eastAsia="zh-CN"/>
        </w:rPr>
      </w:pPr>
      <w:bookmarkStart w:id="90" w:name="_Toc5005"/>
      <w:r>
        <w:rPr>
          <w:rFonts w:hint="eastAsia" w:ascii="Times New Roman" w:hAnsi="Times New Roman" w:cs="Times New Roman"/>
          <w:color w:val="auto"/>
          <w:kern w:val="2"/>
          <w:szCs w:val="32"/>
          <w:lang w:val="en-US" w:eastAsia="zh-CN"/>
        </w:rPr>
        <w:t>第一节 落实市县规划</w:t>
      </w:r>
      <w:bookmarkEnd w:id="90"/>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落实市县自然保护地、各类基础设施、公共服务设施、生态修复、国土整治、矿产资源开发利用、历史文化保护、安全防灾等相关专项规划提出的约束性指标、目标规模、管控要求等，明确各相关专项规划深化细化的方向和重点。</w:t>
      </w:r>
    </w:p>
    <w:p>
      <w:pPr>
        <w:pStyle w:val="33"/>
        <w:spacing w:before="156" w:beforeLines="50" w:after="156" w:afterLines="50" w:line="520" w:lineRule="exact"/>
        <w:rPr>
          <w:rFonts w:hint="eastAsia" w:ascii="Times New Roman" w:hAnsi="Times New Roman" w:cs="Times New Roman"/>
          <w:color w:val="auto"/>
          <w:kern w:val="2"/>
          <w:szCs w:val="32"/>
          <w:lang w:val="en-US" w:eastAsia="zh-CN"/>
        </w:rPr>
      </w:pPr>
      <w:bookmarkStart w:id="91" w:name="_Toc14133"/>
      <w:r>
        <w:rPr>
          <w:rFonts w:hint="eastAsia" w:ascii="Times New Roman" w:hAnsi="Times New Roman" w:cs="Times New Roman"/>
          <w:color w:val="auto"/>
          <w:kern w:val="2"/>
          <w:szCs w:val="32"/>
          <w:lang w:val="en-US" w:eastAsia="zh-CN"/>
        </w:rPr>
        <w:t>第二节 城镇开发边界内详细规划传导</w:t>
      </w:r>
      <w:bookmarkEnd w:id="91"/>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为落实本规划确定的管控和建设要求，建立科学有效的传导机制，划定1个编制单元作为城镇开发边界内详细规划的编制依据。</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刚性管控 。包括总体规划中确定的生态保护红线、城镇开发边界、城市四线等底线要素，对结构性绿地面积、重要公共服务设施和市政基础设施、次干路及以上路网进行刚性管控，各详规单元在编制控制性详细规划时应该严格遵守刚性管控内容。</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color w:val="auto"/>
          <w:kern w:val="2"/>
          <w:sz w:val="28"/>
          <w:szCs w:val="28"/>
          <w:lang w:val="en-US" w:eastAsia="zh-CN" w:bidi="ar-SA"/>
        </w:rPr>
        <w:t>弹性管控 。对详规单元中确定的居住、商业、工业、物流等经营性用地、一般公共服务设施和市政基础设施用地布局、公园绿地的具体用地布局、支路及街坊内部道路等内容进行弹性引导，可结合实际情况在单元范围内进行局部调整。</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422" w:firstLineChars="200"/>
        <w:jc w:val="center"/>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微软雅黑"/>
          <w:b/>
          <w:bCs w:val="0"/>
          <w:color w:val="auto"/>
          <w:kern w:val="0"/>
          <w:sz w:val="21"/>
          <w:szCs w:val="21"/>
          <w:lang w:val="en-US" w:eastAsia="zh-CN" w:bidi="zh-CN"/>
        </w:rPr>
        <w:t>表14-1  城镇开发边界内详细规划编制单元基本情况表</w:t>
      </w:r>
    </w:p>
    <w:tbl>
      <w:tblPr>
        <w:tblStyle w:val="19"/>
        <w:tblW w:w="4915" w:type="pct"/>
        <w:tblInd w:w="0" w:type="dxa"/>
        <w:tblLayout w:type="fixed"/>
        <w:tblCellMar>
          <w:top w:w="0" w:type="dxa"/>
          <w:left w:w="0" w:type="dxa"/>
          <w:bottom w:w="0" w:type="dxa"/>
          <w:right w:w="0" w:type="dxa"/>
        </w:tblCellMar>
      </w:tblPr>
      <w:tblGrid>
        <w:gridCol w:w="245"/>
        <w:gridCol w:w="527"/>
        <w:gridCol w:w="647"/>
        <w:gridCol w:w="731"/>
        <w:gridCol w:w="963"/>
        <w:gridCol w:w="770"/>
        <w:gridCol w:w="2353"/>
        <w:gridCol w:w="1959"/>
      </w:tblGrid>
      <w:tr>
        <w:tblPrEx>
          <w:tblCellMar>
            <w:top w:w="0" w:type="dxa"/>
            <w:left w:w="0" w:type="dxa"/>
            <w:bottom w:w="0" w:type="dxa"/>
            <w:right w:w="0" w:type="dxa"/>
          </w:tblCellMar>
        </w:tblPrEx>
        <w:trPr>
          <w:trHeight w:val="537" w:hRule="atLeast"/>
          <w:tblHeader/>
        </w:trPr>
        <w:tc>
          <w:tcPr>
            <w:tcW w:w="14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1"/>
              <w:pageBreakBefore w:val="0"/>
              <w:kinsoku/>
              <w:wordWrap/>
              <w:overflowPunct/>
              <w:topLinePunct w:val="0"/>
              <w:bidi w:val="0"/>
              <w:spacing w:line="480" w:lineRule="exact"/>
              <w:rPr>
                <w:rFonts w:hint="eastAsia" w:ascii="Times New Roman" w:hAnsi="Times New Roman" w:eastAsia="仿宋_GB2312" w:cs="Times New Roman"/>
                <w:b/>
                <w:bCs w:val="0"/>
                <w:color w:val="auto"/>
                <w:kern w:val="2"/>
                <w:sz w:val="21"/>
                <w:szCs w:val="21"/>
                <w:lang w:val="en-US" w:eastAsia="zh-CN" w:bidi="ar-SA"/>
              </w:rPr>
            </w:pPr>
            <w:r>
              <w:rPr>
                <w:rFonts w:hint="eastAsia" w:ascii="Times New Roman" w:hAnsi="Times New Roman" w:eastAsia="仿宋_GB2312" w:cs="Times New Roman"/>
                <w:b/>
                <w:bCs w:val="0"/>
                <w:color w:val="auto"/>
                <w:kern w:val="2"/>
                <w:sz w:val="21"/>
                <w:szCs w:val="21"/>
                <w:lang w:val="en-US" w:eastAsia="zh-CN" w:bidi="ar-SA"/>
              </w:rPr>
              <w:t>序号</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1"/>
              <w:pageBreakBefore w:val="0"/>
              <w:kinsoku/>
              <w:wordWrap/>
              <w:overflowPunct/>
              <w:topLinePunct w:val="0"/>
              <w:bidi w:val="0"/>
              <w:spacing w:line="480" w:lineRule="exact"/>
              <w:rPr>
                <w:rFonts w:hint="eastAsia" w:ascii="Times New Roman" w:hAnsi="Times New Roman" w:eastAsia="仿宋_GB2312" w:cs="Times New Roman"/>
                <w:b/>
                <w:bCs w:val="0"/>
                <w:color w:val="auto"/>
                <w:kern w:val="2"/>
                <w:sz w:val="21"/>
                <w:szCs w:val="21"/>
                <w:lang w:val="en-US" w:eastAsia="zh-CN" w:bidi="ar-SA"/>
              </w:rPr>
            </w:pPr>
            <w:r>
              <w:rPr>
                <w:rFonts w:hint="eastAsia" w:ascii="Times New Roman" w:hAnsi="Times New Roman" w:eastAsia="仿宋_GB2312" w:cs="Times New Roman"/>
                <w:b/>
                <w:bCs w:val="0"/>
                <w:color w:val="auto"/>
                <w:kern w:val="2"/>
                <w:sz w:val="21"/>
                <w:szCs w:val="21"/>
                <w:lang w:val="en-US" w:eastAsia="zh-CN" w:bidi="ar-SA"/>
              </w:rPr>
              <w:t>区域</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1"/>
              <w:pageBreakBefore w:val="0"/>
              <w:kinsoku/>
              <w:wordWrap/>
              <w:overflowPunct/>
              <w:topLinePunct w:val="0"/>
              <w:bidi w:val="0"/>
              <w:spacing w:line="480" w:lineRule="exact"/>
              <w:rPr>
                <w:rFonts w:hint="eastAsia" w:ascii="Times New Roman" w:hAnsi="Times New Roman" w:eastAsia="仿宋_GB2312" w:cs="Times New Roman"/>
                <w:b/>
                <w:bCs w:val="0"/>
                <w:color w:val="auto"/>
                <w:kern w:val="2"/>
                <w:sz w:val="21"/>
                <w:szCs w:val="21"/>
                <w:lang w:val="en-US" w:eastAsia="zh-CN" w:bidi="ar-SA"/>
              </w:rPr>
            </w:pPr>
            <w:r>
              <w:rPr>
                <w:rFonts w:hint="eastAsia" w:ascii="Times New Roman" w:hAnsi="Times New Roman" w:eastAsia="仿宋_GB2312" w:cs="Times New Roman"/>
                <w:b/>
                <w:bCs w:val="0"/>
                <w:color w:val="auto"/>
                <w:kern w:val="2"/>
                <w:sz w:val="21"/>
                <w:szCs w:val="21"/>
                <w:lang w:val="en-US" w:eastAsia="zh-CN" w:bidi="ar-SA"/>
              </w:rPr>
              <w:t>单元名称</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1"/>
              <w:pageBreakBefore w:val="0"/>
              <w:kinsoku/>
              <w:wordWrap/>
              <w:overflowPunct/>
              <w:topLinePunct w:val="0"/>
              <w:bidi w:val="0"/>
              <w:spacing w:line="480" w:lineRule="exact"/>
              <w:rPr>
                <w:rFonts w:hint="eastAsia" w:ascii="Times New Roman" w:hAnsi="Times New Roman" w:eastAsia="仿宋_GB2312" w:cs="Times New Roman"/>
                <w:b/>
                <w:bCs w:val="0"/>
                <w:color w:val="auto"/>
                <w:kern w:val="2"/>
                <w:sz w:val="21"/>
                <w:szCs w:val="21"/>
                <w:lang w:val="en-US" w:eastAsia="zh-CN" w:bidi="ar-SA"/>
              </w:rPr>
            </w:pPr>
            <w:r>
              <w:rPr>
                <w:rFonts w:hint="eastAsia" w:ascii="Times New Roman" w:hAnsi="Times New Roman" w:eastAsia="仿宋_GB2312" w:cs="Times New Roman"/>
                <w:b/>
                <w:bCs w:val="0"/>
                <w:color w:val="auto"/>
                <w:kern w:val="2"/>
                <w:sz w:val="21"/>
                <w:szCs w:val="21"/>
                <w:lang w:val="en-US" w:eastAsia="zh-CN" w:bidi="ar-SA"/>
              </w:rPr>
              <w:t>面积</w:t>
            </w:r>
          </w:p>
          <w:p>
            <w:pPr>
              <w:pStyle w:val="31"/>
              <w:pageBreakBefore w:val="0"/>
              <w:kinsoku/>
              <w:wordWrap/>
              <w:overflowPunct/>
              <w:topLinePunct w:val="0"/>
              <w:bidi w:val="0"/>
              <w:spacing w:line="480" w:lineRule="exact"/>
              <w:rPr>
                <w:rFonts w:hint="eastAsia" w:ascii="Times New Roman" w:hAnsi="Times New Roman" w:eastAsia="仿宋_GB2312" w:cs="Times New Roman"/>
                <w:b/>
                <w:bCs w:val="0"/>
                <w:color w:val="auto"/>
                <w:kern w:val="2"/>
                <w:sz w:val="21"/>
                <w:szCs w:val="21"/>
                <w:lang w:val="en-US" w:eastAsia="zh-CN" w:bidi="ar-SA"/>
              </w:rPr>
            </w:pPr>
            <w:r>
              <w:rPr>
                <w:rFonts w:hint="eastAsia" w:ascii="Times New Roman" w:hAnsi="Times New Roman" w:eastAsia="仿宋_GB2312" w:cs="Times New Roman"/>
                <w:b/>
                <w:bCs w:val="0"/>
                <w:color w:val="auto"/>
                <w:kern w:val="2"/>
                <w:sz w:val="21"/>
                <w:szCs w:val="21"/>
                <w:lang w:val="en-US" w:eastAsia="zh-CN" w:bidi="ar-SA"/>
              </w:rPr>
              <w:t>(公顷）</w:t>
            </w:r>
          </w:p>
        </w:tc>
        <w:tc>
          <w:tcPr>
            <w:tcW w:w="587"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1"/>
              <w:pageBreakBefore w:val="0"/>
              <w:kinsoku/>
              <w:wordWrap/>
              <w:overflowPunct/>
              <w:topLinePunct w:val="0"/>
              <w:bidi w:val="0"/>
              <w:spacing w:line="480" w:lineRule="exact"/>
              <w:rPr>
                <w:rFonts w:hint="eastAsia" w:ascii="Times New Roman" w:hAnsi="Times New Roman" w:eastAsia="仿宋_GB2312" w:cs="Times New Roman"/>
                <w:b/>
                <w:bCs w:val="0"/>
                <w:color w:val="auto"/>
                <w:kern w:val="2"/>
                <w:sz w:val="21"/>
                <w:szCs w:val="21"/>
                <w:lang w:val="en-US" w:eastAsia="zh-CN" w:bidi="ar-SA"/>
              </w:rPr>
            </w:pPr>
            <w:r>
              <w:rPr>
                <w:rFonts w:hint="eastAsia" w:ascii="Times New Roman" w:hAnsi="Times New Roman" w:eastAsia="仿宋_GB2312" w:cs="Times New Roman"/>
                <w:b/>
                <w:bCs w:val="0"/>
                <w:color w:val="auto"/>
                <w:kern w:val="2"/>
                <w:sz w:val="21"/>
                <w:szCs w:val="21"/>
                <w:lang w:val="en-US" w:eastAsia="zh-CN" w:bidi="ar-SA"/>
              </w:rPr>
              <w:t>单元定位</w:t>
            </w:r>
          </w:p>
        </w:tc>
        <w:tc>
          <w:tcPr>
            <w:tcW w:w="46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ageBreakBefore w:val="0"/>
              <w:kinsoku/>
              <w:wordWrap/>
              <w:overflowPunct/>
              <w:topLinePunct w:val="0"/>
              <w:bidi w:val="0"/>
              <w:spacing w:line="480" w:lineRule="exact"/>
              <w:rPr>
                <w:rFonts w:hint="eastAsia" w:ascii="Times New Roman" w:hAnsi="Times New Roman" w:eastAsia="仿宋_GB2312" w:cs="Times New Roman"/>
                <w:b/>
                <w:bCs w:val="0"/>
                <w:color w:val="auto"/>
                <w:kern w:val="2"/>
                <w:sz w:val="21"/>
                <w:szCs w:val="21"/>
                <w:lang w:val="en-US" w:eastAsia="zh-CN" w:bidi="ar-SA"/>
              </w:rPr>
            </w:pPr>
            <w:r>
              <w:rPr>
                <w:rFonts w:hint="eastAsia" w:ascii="Times New Roman" w:hAnsi="Times New Roman" w:eastAsia="仿宋_GB2312" w:cs="Times New Roman"/>
                <w:b/>
                <w:bCs w:val="0"/>
                <w:color w:val="auto"/>
                <w:kern w:val="2"/>
                <w:sz w:val="21"/>
                <w:szCs w:val="21"/>
                <w:lang w:val="en-US" w:eastAsia="zh-CN" w:bidi="ar-SA"/>
              </w:rPr>
              <w:t>服务人口（万人）</w:t>
            </w:r>
          </w:p>
        </w:tc>
        <w:tc>
          <w:tcPr>
            <w:tcW w:w="143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ageBreakBefore w:val="0"/>
              <w:kinsoku/>
              <w:wordWrap/>
              <w:overflowPunct/>
              <w:topLinePunct w:val="0"/>
              <w:bidi w:val="0"/>
              <w:spacing w:line="480" w:lineRule="exact"/>
              <w:rPr>
                <w:rFonts w:hint="default" w:ascii="Times New Roman" w:hAnsi="Times New Roman" w:eastAsia="仿宋_GB2312" w:cs="Times New Roman"/>
                <w:b/>
                <w:bCs w:val="0"/>
                <w:color w:val="auto"/>
                <w:kern w:val="2"/>
                <w:sz w:val="21"/>
                <w:szCs w:val="21"/>
                <w:lang w:val="en-US" w:eastAsia="zh-CN" w:bidi="ar-SA"/>
              </w:rPr>
            </w:pPr>
            <w:r>
              <w:rPr>
                <w:rFonts w:hint="eastAsia" w:ascii="Times New Roman" w:hAnsi="Times New Roman" w:eastAsia="仿宋_GB2312" w:cs="Times New Roman"/>
                <w:b/>
                <w:bCs w:val="0"/>
                <w:color w:val="auto"/>
                <w:kern w:val="2"/>
                <w:sz w:val="21"/>
                <w:szCs w:val="21"/>
                <w:lang w:val="en-US" w:eastAsia="zh-CN" w:bidi="ar-SA"/>
              </w:rPr>
              <w:t>四线管控</w:t>
            </w:r>
          </w:p>
        </w:tc>
        <w:tc>
          <w:tcPr>
            <w:tcW w:w="119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ageBreakBefore w:val="0"/>
              <w:kinsoku/>
              <w:wordWrap/>
              <w:overflowPunct/>
              <w:topLinePunct w:val="0"/>
              <w:bidi w:val="0"/>
              <w:spacing w:line="480" w:lineRule="exact"/>
              <w:rPr>
                <w:rFonts w:hint="default" w:ascii="Times New Roman" w:hAnsi="Times New Roman" w:eastAsia="仿宋_GB2312" w:cs="Times New Roman"/>
                <w:b/>
                <w:bCs w:val="0"/>
                <w:color w:val="auto"/>
                <w:kern w:val="2"/>
                <w:sz w:val="21"/>
                <w:szCs w:val="21"/>
                <w:lang w:val="en-US" w:eastAsia="zh-CN" w:bidi="ar-SA"/>
              </w:rPr>
            </w:pPr>
            <w:r>
              <w:rPr>
                <w:rFonts w:hint="eastAsia" w:ascii="Times New Roman" w:hAnsi="Times New Roman" w:eastAsia="仿宋_GB2312" w:cs="Times New Roman"/>
                <w:b/>
                <w:bCs w:val="0"/>
                <w:color w:val="auto"/>
                <w:kern w:val="2"/>
                <w:sz w:val="21"/>
                <w:szCs w:val="21"/>
                <w:lang w:val="en-US" w:eastAsia="zh-CN" w:bidi="ar-SA"/>
              </w:rPr>
              <w:t>公服设施和基础设施传导</w:t>
            </w:r>
          </w:p>
        </w:tc>
      </w:tr>
      <w:tr>
        <w:tblPrEx>
          <w:tblCellMar>
            <w:top w:w="0" w:type="dxa"/>
            <w:left w:w="0" w:type="dxa"/>
            <w:bottom w:w="0" w:type="dxa"/>
            <w:right w:w="0" w:type="dxa"/>
          </w:tblCellMar>
        </w:tblPrEx>
        <w:trPr>
          <w:trHeight w:val="1316" w:hRule="atLeast"/>
        </w:trPr>
        <w:tc>
          <w:tcPr>
            <w:tcW w:w="14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1"/>
              <w:pageBreakBefore w:val="0"/>
              <w:kinsoku/>
              <w:wordWrap/>
              <w:overflowPunct/>
              <w:topLinePunct w:val="0"/>
              <w:bidi w:val="0"/>
              <w:spacing w:line="480" w:lineRule="exact"/>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1</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1"/>
              <w:pageBreakBefore w:val="0"/>
              <w:kinsoku/>
              <w:wordWrap/>
              <w:overflowPunct/>
              <w:topLinePunct w:val="0"/>
              <w:bidi w:val="0"/>
              <w:spacing w:line="480" w:lineRule="exact"/>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城镇开发边界内</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1"/>
              <w:pageBreakBefore w:val="0"/>
              <w:kinsoku/>
              <w:wordWrap/>
              <w:overflowPunct/>
              <w:topLinePunct w:val="0"/>
              <w:bidi w:val="0"/>
              <w:spacing w:line="480" w:lineRule="exact"/>
              <w:jc w:val="left"/>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平富乡集镇编制单元</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1"/>
              <w:pageBreakBefore w:val="0"/>
              <w:kinsoku/>
              <w:wordWrap/>
              <w:overflowPunct/>
              <w:topLinePunct w:val="0"/>
              <w:bidi w:val="0"/>
              <w:spacing w:line="480" w:lineRule="exact"/>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26.29（包括城镇开发边界23.56）</w:t>
            </w:r>
          </w:p>
        </w:tc>
        <w:tc>
          <w:tcPr>
            <w:tcW w:w="5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left"/>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以行政办公、综合服务业为主导的功能复合、配套完善的集镇，</w:t>
            </w:r>
          </w:p>
          <w:p>
            <w:pPr>
              <w:pStyle w:val="31"/>
              <w:pageBreakBefore w:val="0"/>
              <w:kinsoku/>
              <w:wordWrap/>
              <w:overflowPunct/>
              <w:topLinePunct w:val="0"/>
              <w:bidi w:val="0"/>
              <w:spacing w:line="480" w:lineRule="exact"/>
              <w:rPr>
                <w:rFonts w:hint="eastAsia" w:ascii="Times New Roman" w:hAnsi="Times New Roman" w:eastAsia="仿宋_GB2312" w:cs="Times New Roman"/>
                <w:color w:val="auto"/>
                <w:kern w:val="2"/>
                <w:sz w:val="21"/>
                <w:szCs w:val="21"/>
                <w:lang w:val="en-US" w:eastAsia="zh-CN" w:bidi="ar-SA"/>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1"/>
              <w:pageBreakBefore w:val="0"/>
              <w:kinsoku/>
              <w:wordWrap/>
              <w:overflowPunct/>
              <w:topLinePunct w:val="0"/>
              <w:bidi w:val="0"/>
              <w:spacing w:line="480" w:lineRule="exact"/>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0.2</w:t>
            </w:r>
          </w:p>
        </w:tc>
        <w:tc>
          <w:tcPr>
            <w:tcW w:w="1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1"/>
              <w:pageBreakBefore w:val="0"/>
              <w:kinsoku/>
              <w:wordWrap/>
              <w:overflowPunct/>
              <w:topLinePunct w:val="0"/>
              <w:bidi w:val="0"/>
              <w:spacing w:line="480" w:lineRule="exact"/>
              <w:jc w:val="left"/>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bCs w:val="0"/>
                <w:color w:val="auto"/>
                <w:kern w:val="2"/>
                <w:sz w:val="21"/>
                <w:szCs w:val="21"/>
                <w:lang w:val="en-US" w:eastAsia="zh-CN" w:bidi="ar-SA"/>
              </w:rPr>
              <w:t>划定绿线0.06公顷，主要为社区公园，是集镇生活环境和品质的重要开敞空间，实施刚性管控。划定黄线0.25公顷，主要为水工设施用地，是集镇重要的基础配套设施和安全保障设施空间，实施刚性管控。</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1"/>
              <w:pageBreakBefore w:val="0"/>
              <w:kinsoku/>
              <w:wordWrap/>
              <w:overflowPunct/>
              <w:topLinePunct w:val="0"/>
              <w:bidi w:val="0"/>
              <w:spacing w:line="480" w:lineRule="exact"/>
              <w:jc w:val="left"/>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保留现状的小学、中学、幼儿园；保留现状卫生院，床位数不少于30床；提升改建敬老院，规划床位数50张</w:t>
            </w:r>
          </w:p>
        </w:tc>
      </w:tr>
      <w:tr>
        <w:tblPrEx>
          <w:tblCellMar>
            <w:top w:w="0" w:type="dxa"/>
            <w:left w:w="0" w:type="dxa"/>
            <w:bottom w:w="0" w:type="dxa"/>
            <w:right w:w="0" w:type="dxa"/>
          </w:tblCellMar>
        </w:tblPrEx>
        <w:trPr>
          <w:trHeight w:val="1803" w:hRule="atLeast"/>
        </w:trPr>
        <w:tc>
          <w:tcPr>
            <w:tcW w:w="14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1"/>
              <w:pageBreakBefore w:val="0"/>
              <w:kinsoku/>
              <w:wordWrap/>
              <w:overflowPunct/>
              <w:topLinePunct w:val="0"/>
              <w:bidi w:val="0"/>
              <w:spacing w:line="480" w:lineRule="exact"/>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2</w:t>
            </w:r>
          </w:p>
        </w:tc>
        <w:tc>
          <w:tcPr>
            <w:tcW w:w="32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1"/>
              <w:pageBreakBefore w:val="0"/>
              <w:kinsoku/>
              <w:wordWrap/>
              <w:overflowPunct/>
              <w:topLinePunct w:val="0"/>
              <w:bidi w:val="0"/>
              <w:spacing w:line="480" w:lineRule="exact"/>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城镇开发边界内</w:t>
            </w:r>
          </w:p>
        </w:tc>
        <w:tc>
          <w:tcPr>
            <w:tcW w:w="394"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1"/>
              <w:pageBreakBefore w:val="0"/>
              <w:kinsoku/>
              <w:wordWrap/>
              <w:overflowPunct/>
              <w:topLinePunct w:val="0"/>
              <w:bidi w:val="0"/>
              <w:spacing w:line="480" w:lineRule="exact"/>
              <w:jc w:val="left"/>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上寨村城镇开发边界</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1"/>
              <w:pageBreakBefore w:val="0"/>
              <w:kinsoku/>
              <w:wordWrap/>
              <w:overflowPunct/>
              <w:topLinePunct w:val="0"/>
              <w:bidi w:val="0"/>
              <w:spacing w:line="480" w:lineRule="exact"/>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14.35</w:t>
            </w:r>
          </w:p>
        </w:tc>
        <w:tc>
          <w:tcPr>
            <w:tcW w:w="58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pStyle w:val="31"/>
              <w:pageBreakBefore w:val="0"/>
              <w:kinsoku/>
              <w:wordWrap/>
              <w:overflowPunct/>
              <w:topLinePunct w:val="0"/>
              <w:bidi w:val="0"/>
              <w:spacing w:line="480" w:lineRule="exact"/>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上寨村重点发展温泉康养和休闲度假的旅游项目用地。</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1"/>
              <w:pageBreakBefore w:val="0"/>
              <w:kinsoku/>
              <w:wordWrap/>
              <w:overflowPunct/>
              <w:topLinePunct w:val="0"/>
              <w:bidi w:val="0"/>
              <w:spacing w:line="480" w:lineRule="exact"/>
              <w:jc w:val="center"/>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w:t>
            </w:r>
          </w:p>
        </w:tc>
        <w:tc>
          <w:tcPr>
            <w:tcW w:w="143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1"/>
              <w:pageBreakBefore w:val="0"/>
              <w:kinsoku/>
              <w:wordWrap/>
              <w:overflowPunct/>
              <w:topLinePunct w:val="0"/>
              <w:bidi w:val="0"/>
              <w:spacing w:line="480" w:lineRule="exact"/>
              <w:jc w:val="center"/>
              <w:rPr>
                <w:rFonts w:hint="default" w:ascii="Times New Roman" w:hAnsi="Times New Roman" w:eastAsia="仿宋_GB2312" w:cs="Times New Roman"/>
                <w:bCs w:val="0"/>
                <w:color w:val="auto"/>
                <w:kern w:val="2"/>
                <w:sz w:val="21"/>
                <w:szCs w:val="21"/>
                <w:lang w:val="en-US" w:eastAsia="zh-CN" w:bidi="ar-SA"/>
              </w:rPr>
            </w:pPr>
            <w:r>
              <w:rPr>
                <w:rFonts w:hint="eastAsia" w:ascii="Times New Roman" w:hAnsi="Times New Roman" w:eastAsia="仿宋_GB2312" w:cs="Times New Roman"/>
                <w:bCs w:val="0"/>
                <w:color w:val="auto"/>
                <w:kern w:val="2"/>
                <w:sz w:val="21"/>
                <w:szCs w:val="21"/>
                <w:lang w:val="en-US" w:eastAsia="zh-CN" w:bidi="ar-SA"/>
              </w:rPr>
              <w:t>-</w:t>
            </w:r>
          </w:p>
        </w:tc>
        <w:tc>
          <w:tcPr>
            <w:tcW w:w="119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pStyle w:val="31"/>
              <w:pageBreakBefore w:val="0"/>
              <w:kinsoku/>
              <w:wordWrap/>
              <w:overflowPunct/>
              <w:topLinePunct w:val="0"/>
              <w:bidi w:val="0"/>
              <w:spacing w:line="480" w:lineRule="exact"/>
              <w:jc w:val="center"/>
              <w:rPr>
                <w:rFonts w:hint="default"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w:t>
            </w:r>
          </w:p>
        </w:tc>
      </w:tr>
    </w:tbl>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0" w:firstLineChars="200"/>
        <w:textAlignment w:val="auto"/>
        <w:rPr>
          <w:rFonts w:hint="eastAsia" w:ascii="Times New Roman" w:hAnsi="Times New Roman" w:eastAsia="仿宋_GB2312" w:cs="Times New Roman"/>
          <w:color w:val="auto"/>
          <w:kern w:val="2"/>
          <w:sz w:val="28"/>
          <w:szCs w:val="28"/>
          <w:lang w:val="en-US" w:eastAsia="zh-CN" w:bidi="ar-SA"/>
        </w:rPr>
      </w:pPr>
    </w:p>
    <w:p>
      <w:pPr>
        <w:pStyle w:val="33"/>
        <w:spacing w:before="156" w:beforeLines="50" w:after="156" w:afterLines="50" w:line="520" w:lineRule="exact"/>
        <w:rPr>
          <w:rFonts w:hint="eastAsia" w:ascii="Times New Roman" w:hAnsi="Times New Roman" w:cs="Times New Roman"/>
          <w:color w:val="auto"/>
          <w:kern w:val="2"/>
          <w:szCs w:val="32"/>
          <w:lang w:val="en-US" w:eastAsia="zh-CN"/>
        </w:rPr>
      </w:pPr>
      <w:bookmarkStart w:id="92" w:name="_Toc25029"/>
      <w:r>
        <w:rPr>
          <w:rFonts w:hint="eastAsia" w:ascii="Times New Roman" w:hAnsi="Times New Roman" w:cs="Times New Roman"/>
          <w:color w:val="auto"/>
          <w:kern w:val="2"/>
          <w:szCs w:val="32"/>
          <w:lang w:val="en-US" w:eastAsia="zh-CN"/>
        </w:rPr>
        <w:t>第三节 村庄规划传导</w:t>
      </w:r>
      <w:bookmarkEnd w:id="92"/>
    </w:p>
    <w:p>
      <w:pPr>
        <w:keepNext w:val="0"/>
        <w:keepLines w:val="0"/>
        <w:pageBreakBefore w:val="0"/>
        <w:widowControl w:val="0"/>
        <w:kinsoku/>
        <w:wordWrap/>
        <w:overflowPunct/>
        <w:topLinePunct w:val="0"/>
        <w:bidi w:val="0"/>
        <w:adjustRightInd/>
        <w:snapToGrid/>
        <w:spacing w:line="480" w:lineRule="exact"/>
        <w:ind w:firstLine="562" w:firstLineChars="200"/>
        <w:jc w:val="left"/>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一、城镇体系</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2"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上寨村：</w:t>
      </w:r>
      <w:r>
        <w:rPr>
          <w:rFonts w:hint="eastAsia" w:ascii="Times New Roman" w:hAnsi="Times New Roman" w:eastAsia="仿宋_GB2312" w:cs="Times New Roman"/>
          <w:color w:val="auto"/>
          <w:kern w:val="2"/>
          <w:sz w:val="28"/>
          <w:szCs w:val="28"/>
          <w:lang w:val="en-US" w:eastAsia="zh-CN" w:bidi="ar-SA"/>
        </w:rPr>
        <w:t>中心村，村庄类型集聚发展型，发展规模2000-3000人，村庄产业发展主要以种植业和旅游业为主，农业种植重点发展脐橙种植、茶叶种植，旅游业重点发展红色旅游、温泉康养。</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2"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平富村：</w:t>
      </w:r>
      <w:r>
        <w:rPr>
          <w:rFonts w:hint="eastAsia" w:ascii="Times New Roman" w:hAnsi="Times New Roman" w:eastAsia="仿宋_GB2312" w:cs="Times New Roman"/>
          <w:color w:val="auto"/>
          <w:kern w:val="2"/>
          <w:sz w:val="28"/>
          <w:szCs w:val="28"/>
          <w:lang w:val="en-US" w:eastAsia="zh-CN" w:bidi="ar-SA"/>
        </w:rPr>
        <w:t>一般村庄，村庄类型城郊融合型，发展规模3000—5000人，村庄产业主要发展农业种植和综合服务。</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2"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庄前村：</w:t>
      </w:r>
      <w:r>
        <w:rPr>
          <w:rFonts w:hint="eastAsia" w:ascii="Times New Roman" w:hAnsi="Times New Roman" w:eastAsia="仿宋_GB2312" w:cs="Times New Roman"/>
          <w:color w:val="auto"/>
          <w:kern w:val="2"/>
          <w:sz w:val="28"/>
          <w:szCs w:val="28"/>
          <w:lang w:val="en-US" w:eastAsia="zh-CN" w:bidi="ar-SA"/>
        </w:rPr>
        <w:t>一般村庄，村庄类型城郊融合类，发展规模2000—3000人，村庄产业主要发展农业种植和综合服务。</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2" w:firstLineChars="200"/>
        <w:textAlignment w:val="auto"/>
        <w:rPr>
          <w:rFonts w:hint="eastAsia" w:ascii="Times New Roman" w:hAnsi="Times New Roman" w:eastAsia="仿宋_GB2312" w:cs="Times New Roman"/>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大潭村：</w:t>
      </w:r>
      <w:r>
        <w:rPr>
          <w:rFonts w:hint="eastAsia" w:ascii="Times New Roman" w:hAnsi="Times New Roman" w:eastAsia="仿宋_GB2312" w:cs="Times New Roman"/>
          <w:color w:val="auto"/>
          <w:kern w:val="2"/>
          <w:sz w:val="28"/>
          <w:szCs w:val="28"/>
          <w:lang w:val="en-US" w:eastAsia="zh-CN" w:bidi="ar-SA"/>
        </w:rPr>
        <w:t>一般村庄，村庄类型整治提升类，发展规模2000人以下，村庄产业主要发展林业和特色种植。</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2" w:firstLineChars="200"/>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庄坑村：</w:t>
      </w:r>
      <w:r>
        <w:rPr>
          <w:rFonts w:hint="eastAsia" w:ascii="Times New Roman" w:hAnsi="Times New Roman" w:eastAsia="仿宋_GB2312" w:cs="Times New Roman"/>
          <w:color w:val="auto"/>
          <w:kern w:val="2"/>
          <w:sz w:val="28"/>
          <w:szCs w:val="28"/>
          <w:lang w:val="en-US" w:eastAsia="zh-CN" w:bidi="ar-SA"/>
        </w:rPr>
        <w:t>一般村庄，村庄类型整治提升类，发展规模2000人以下，村庄产业主要发展茶叶种植和林业。</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2" w:firstLineChars="200"/>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信地村：</w:t>
      </w:r>
      <w:r>
        <w:rPr>
          <w:rFonts w:hint="eastAsia" w:ascii="Times New Roman" w:hAnsi="Times New Roman" w:eastAsia="仿宋_GB2312" w:cs="Times New Roman"/>
          <w:color w:val="auto"/>
          <w:kern w:val="2"/>
          <w:sz w:val="28"/>
          <w:szCs w:val="28"/>
          <w:lang w:val="en-US" w:eastAsia="zh-CN" w:bidi="ar-SA"/>
        </w:rPr>
        <w:t>一般村庄，村庄类型整治提升类，发展规模2000人以下，村庄产业主要发展茶叶种植和乡村旅游。</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2" w:firstLineChars="200"/>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横坑村：</w:t>
      </w:r>
      <w:r>
        <w:rPr>
          <w:rFonts w:hint="eastAsia" w:ascii="Times New Roman" w:hAnsi="Times New Roman" w:eastAsia="仿宋_GB2312" w:cs="Times New Roman"/>
          <w:color w:val="auto"/>
          <w:kern w:val="2"/>
          <w:sz w:val="28"/>
          <w:szCs w:val="28"/>
          <w:lang w:val="en-US" w:eastAsia="zh-CN" w:bidi="ar-SA"/>
        </w:rPr>
        <w:t>一般村庄，村庄类型整治提升类，发展规模2000人以下，村庄产业主要发展脐橙种植和乡村旅游。</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2" w:firstLineChars="200"/>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向前村：</w:t>
      </w:r>
      <w:r>
        <w:rPr>
          <w:rFonts w:hint="eastAsia" w:ascii="Times New Roman" w:hAnsi="Times New Roman" w:eastAsia="仿宋_GB2312" w:cs="Times New Roman"/>
          <w:color w:val="auto"/>
          <w:kern w:val="2"/>
          <w:sz w:val="28"/>
          <w:szCs w:val="28"/>
          <w:lang w:val="en-US" w:eastAsia="zh-CN" w:bidi="ar-SA"/>
        </w:rPr>
        <w:t>一般村庄，村庄类型集聚发展类，发展规模2000——3000人，</w:t>
      </w:r>
      <w:r>
        <w:rPr>
          <w:rFonts w:hint="eastAsia" w:ascii="Times New Roman" w:hAnsi="Times New Roman" w:eastAsia="仿宋_GB2312" w:cs="Times New Roman"/>
          <w:b w:val="0"/>
          <w:bCs w:val="0"/>
          <w:color w:val="auto"/>
          <w:kern w:val="2"/>
          <w:sz w:val="28"/>
          <w:szCs w:val="28"/>
          <w:lang w:val="en-US" w:eastAsia="zh-CN" w:bidi="ar-SA"/>
        </w:rPr>
        <w:t>农业产业上重点发展脐橙种植，第三产业上依托燕子岩景区大力发展旅游配套产业</w:t>
      </w:r>
      <w:r>
        <w:rPr>
          <w:rFonts w:hint="eastAsia" w:ascii="Times New Roman" w:hAnsi="Times New Roman" w:eastAsia="仿宋_GB2312" w:cs="Times New Roman"/>
          <w:color w:val="auto"/>
          <w:kern w:val="2"/>
          <w:sz w:val="28"/>
          <w:szCs w:val="28"/>
          <w:lang w:val="en-US" w:eastAsia="zh-CN" w:bidi="ar-SA"/>
        </w:rPr>
        <w:t>。</w:t>
      </w:r>
    </w:p>
    <w:p>
      <w:pPr>
        <w:keepNext w:val="0"/>
        <w:keepLines w:val="0"/>
        <w:pageBreakBefore w:val="0"/>
        <w:widowControl w:val="0"/>
        <w:numPr>
          <w:ilvl w:val="0"/>
          <w:numId w:val="18"/>
        </w:numPr>
        <w:kinsoku/>
        <w:wordWrap/>
        <w:overflowPunct/>
        <w:topLinePunct w:val="0"/>
        <w:bidi w:val="0"/>
        <w:adjustRightInd/>
        <w:snapToGrid/>
        <w:spacing w:line="480" w:lineRule="exact"/>
        <w:ind w:left="0" w:leftChars="0" w:firstLine="562" w:firstLineChars="200"/>
        <w:jc w:val="left"/>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约束性指标分解</w:t>
      </w:r>
    </w:p>
    <w:p>
      <w:pPr>
        <w:pStyle w:val="11"/>
        <w:numPr>
          <w:ilvl w:val="0"/>
          <w:numId w:val="0"/>
        </w:numPr>
        <w:ind w:leftChars="200"/>
        <w:rPr>
          <w:rFonts w:hint="eastAsia" w:ascii="Times New Roman" w:hAnsi="Times New Roman" w:eastAsia="仿宋_GB2312" w:cs="微软雅黑"/>
          <w:b/>
          <w:bCs w:val="0"/>
          <w:color w:val="auto"/>
          <w:kern w:val="0"/>
          <w:sz w:val="21"/>
          <w:szCs w:val="21"/>
          <w:lang w:val="en-US" w:eastAsia="zh-CN" w:bidi="zh-CN"/>
        </w:rPr>
      </w:pPr>
      <w:r>
        <w:rPr>
          <w:rFonts w:hint="eastAsia"/>
          <w:lang w:val="en-US" w:eastAsia="zh-CN"/>
        </w:rPr>
        <w:t xml:space="preserve">                 </w:t>
      </w:r>
      <w:r>
        <w:rPr>
          <w:rFonts w:hint="eastAsia" w:ascii="Times New Roman" w:hAnsi="Times New Roman" w:eastAsia="仿宋_GB2312" w:cs="微软雅黑"/>
          <w:b/>
          <w:bCs w:val="0"/>
          <w:color w:val="auto"/>
          <w:kern w:val="0"/>
          <w:sz w:val="21"/>
          <w:szCs w:val="21"/>
          <w:lang w:val="en-US" w:eastAsia="zh-CN" w:bidi="zh-CN"/>
        </w:rPr>
        <w:t xml:space="preserve">      表14-2 各村约束性指标分解表</w:t>
      </w:r>
    </w:p>
    <w:tbl>
      <w:tblPr>
        <w:tblStyle w:val="19"/>
        <w:tblW w:w="839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846"/>
        <w:gridCol w:w="705"/>
        <w:gridCol w:w="844"/>
        <w:gridCol w:w="784"/>
        <w:gridCol w:w="814"/>
        <w:gridCol w:w="686"/>
        <w:gridCol w:w="765"/>
        <w:gridCol w:w="764"/>
        <w:gridCol w:w="775"/>
        <w:gridCol w:w="608"/>
        <w:gridCol w:w="8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0" w:hRule="atLeast"/>
          <w:jc w:val="center"/>
        </w:trPr>
        <w:tc>
          <w:tcPr>
            <w:tcW w:w="846"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left"/>
              <w:textAlignment w:val="bottom"/>
              <w:rPr>
                <w:rFonts w:ascii="仿宋_GB2312" w:hAnsi="Arial" w:eastAsia="仿宋_GB2312" w:cs="仿宋_GB2312"/>
                <w:b/>
                <w:bCs/>
                <w:i w:val="0"/>
                <w:iCs w:val="0"/>
                <w:color w:val="000000"/>
                <w:sz w:val="21"/>
                <w:szCs w:val="21"/>
                <w:u w:val="none"/>
              </w:rPr>
            </w:pPr>
            <w:r>
              <w:rPr>
                <w:rFonts w:hint="eastAsia" w:ascii="仿宋_GB2312" w:hAnsi="Arial" w:eastAsia="仿宋_GB2312" w:cs="仿宋_GB2312"/>
                <w:b/>
                <w:bCs/>
                <w:i w:val="0"/>
                <w:iCs w:val="0"/>
                <w:color w:val="000000"/>
                <w:kern w:val="0"/>
                <w:sz w:val="21"/>
                <w:szCs w:val="21"/>
                <w:u w:val="none"/>
                <w:lang w:val="en-US" w:eastAsia="zh-CN" w:bidi="ar"/>
              </w:rPr>
              <w:t>行政区名称</w:t>
            </w:r>
          </w:p>
        </w:tc>
        <w:tc>
          <w:tcPr>
            <w:tcW w:w="1549"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left="0" w:leftChars="0" w:firstLine="0" w:firstLineChars="0"/>
              <w:jc w:val="both"/>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永久基本农田</w:t>
            </w:r>
          </w:p>
        </w:tc>
        <w:tc>
          <w:tcPr>
            <w:tcW w:w="1598"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left="0" w:leftChars="0" w:firstLine="0" w:firstLineChars="0"/>
              <w:jc w:val="both"/>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耕地保有量</w:t>
            </w:r>
          </w:p>
        </w:tc>
        <w:tc>
          <w:tcPr>
            <w:tcW w:w="1451"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left="0" w:leftChars="0" w:firstLine="0" w:firstLineChars="0"/>
              <w:jc w:val="both"/>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村庄建设边界</w:t>
            </w:r>
          </w:p>
        </w:tc>
        <w:tc>
          <w:tcPr>
            <w:tcW w:w="1539"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left="0" w:leftChars="0" w:firstLine="0" w:firstLineChars="0"/>
              <w:jc w:val="both"/>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生态红线</w:t>
            </w:r>
          </w:p>
        </w:tc>
        <w:tc>
          <w:tcPr>
            <w:tcW w:w="1412" w:type="dxa"/>
            <w:gridSpan w:val="2"/>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left="0" w:leftChars="0" w:firstLine="0" w:firstLineChars="0"/>
              <w:jc w:val="both"/>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城镇开发边界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407" w:hRule="atLeast"/>
          <w:jc w:val="center"/>
        </w:trPr>
        <w:tc>
          <w:tcPr>
            <w:tcW w:w="846"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pPr>
              <w:jc w:val="center"/>
              <w:rPr>
                <w:rFonts w:hint="eastAsia" w:ascii="仿宋_GB2312" w:hAnsi="Arial" w:eastAsia="仿宋_GB2312" w:cs="仿宋_GB2312"/>
                <w:b/>
                <w:bCs/>
                <w:i w:val="0"/>
                <w:iCs w:val="0"/>
                <w:color w:val="000000"/>
                <w:sz w:val="21"/>
                <w:szCs w:val="21"/>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left"/>
              <w:textAlignment w:val="bottom"/>
              <w:rPr>
                <w:rFonts w:hint="eastAsia" w:ascii="仿宋_GB2312" w:hAnsi="Arial" w:eastAsia="仿宋_GB2312" w:cs="仿宋_GB2312"/>
                <w:b w:val="0"/>
                <w:bCs w:val="0"/>
                <w:i w:val="0"/>
                <w:iCs w:val="0"/>
                <w:color w:val="000000"/>
                <w:sz w:val="21"/>
                <w:szCs w:val="21"/>
                <w:u w:val="none"/>
              </w:rPr>
            </w:pPr>
            <w:r>
              <w:rPr>
                <w:rFonts w:hint="eastAsia" w:ascii="仿宋_GB2312" w:hAnsi="Arial" w:eastAsia="仿宋_GB2312" w:cs="仿宋_GB2312"/>
                <w:b w:val="0"/>
                <w:bCs w:val="0"/>
                <w:i w:val="0"/>
                <w:iCs w:val="0"/>
                <w:color w:val="000000"/>
                <w:kern w:val="0"/>
                <w:sz w:val="21"/>
                <w:szCs w:val="21"/>
                <w:u w:val="none"/>
                <w:lang w:val="en-US" w:eastAsia="zh-CN" w:bidi="ar"/>
              </w:rPr>
              <w:t>面积（公顷）</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left"/>
              <w:textAlignment w:val="bottom"/>
              <w:rPr>
                <w:rFonts w:hint="eastAsia" w:ascii="仿宋_GB2312" w:hAnsi="Arial" w:eastAsia="仿宋_GB2312" w:cs="仿宋_GB2312"/>
                <w:b w:val="0"/>
                <w:bCs w:val="0"/>
                <w:i w:val="0"/>
                <w:iCs w:val="0"/>
                <w:color w:val="000000"/>
                <w:sz w:val="21"/>
                <w:szCs w:val="21"/>
                <w:u w:val="none"/>
              </w:rPr>
            </w:pPr>
            <w:r>
              <w:rPr>
                <w:rFonts w:hint="eastAsia" w:ascii="仿宋_GB2312" w:hAnsi="Arial" w:eastAsia="仿宋_GB2312" w:cs="仿宋_GB2312"/>
                <w:b w:val="0"/>
                <w:bCs w:val="0"/>
                <w:i w:val="0"/>
                <w:iCs w:val="0"/>
                <w:color w:val="000000"/>
                <w:kern w:val="0"/>
                <w:sz w:val="21"/>
                <w:szCs w:val="21"/>
                <w:u w:val="none"/>
                <w:lang w:val="en-US" w:eastAsia="zh-CN" w:bidi="ar"/>
              </w:rPr>
              <w:t>占比</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left"/>
              <w:textAlignment w:val="bottom"/>
              <w:rPr>
                <w:rFonts w:hint="eastAsia" w:ascii="仿宋_GB2312" w:hAnsi="Arial" w:eastAsia="仿宋_GB2312" w:cs="仿宋_GB2312"/>
                <w:b w:val="0"/>
                <w:bCs w:val="0"/>
                <w:i w:val="0"/>
                <w:iCs w:val="0"/>
                <w:color w:val="000000"/>
                <w:sz w:val="21"/>
                <w:szCs w:val="21"/>
                <w:u w:val="none"/>
              </w:rPr>
            </w:pPr>
            <w:r>
              <w:rPr>
                <w:rFonts w:hint="eastAsia" w:ascii="仿宋_GB2312" w:hAnsi="Arial" w:eastAsia="仿宋_GB2312" w:cs="仿宋_GB2312"/>
                <w:b w:val="0"/>
                <w:bCs w:val="0"/>
                <w:i w:val="0"/>
                <w:iCs w:val="0"/>
                <w:color w:val="000000"/>
                <w:kern w:val="0"/>
                <w:sz w:val="21"/>
                <w:szCs w:val="21"/>
                <w:u w:val="none"/>
                <w:lang w:val="en-US" w:eastAsia="zh-CN" w:bidi="ar"/>
              </w:rPr>
              <w:t>面积（公顷）</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left"/>
              <w:textAlignment w:val="bottom"/>
              <w:rPr>
                <w:rFonts w:hint="eastAsia" w:ascii="仿宋_GB2312" w:hAnsi="Arial" w:eastAsia="仿宋_GB2312" w:cs="仿宋_GB2312"/>
                <w:b w:val="0"/>
                <w:bCs w:val="0"/>
                <w:i w:val="0"/>
                <w:iCs w:val="0"/>
                <w:color w:val="000000"/>
                <w:sz w:val="21"/>
                <w:szCs w:val="21"/>
                <w:u w:val="none"/>
              </w:rPr>
            </w:pPr>
            <w:r>
              <w:rPr>
                <w:rFonts w:hint="eastAsia" w:ascii="仿宋_GB2312" w:hAnsi="Arial" w:eastAsia="仿宋_GB2312" w:cs="仿宋_GB2312"/>
                <w:b w:val="0"/>
                <w:bCs w:val="0"/>
                <w:i w:val="0"/>
                <w:iCs w:val="0"/>
                <w:color w:val="000000"/>
                <w:kern w:val="0"/>
                <w:sz w:val="21"/>
                <w:szCs w:val="21"/>
                <w:u w:val="none"/>
                <w:lang w:val="en-US" w:eastAsia="zh-CN" w:bidi="ar"/>
              </w:rPr>
              <w:t>占比</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left"/>
              <w:textAlignment w:val="bottom"/>
              <w:rPr>
                <w:rFonts w:hint="eastAsia" w:ascii="仿宋_GB2312" w:hAnsi="Arial" w:eastAsia="仿宋_GB2312" w:cs="仿宋_GB2312"/>
                <w:b w:val="0"/>
                <w:bCs w:val="0"/>
                <w:i w:val="0"/>
                <w:iCs w:val="0"/>
                <w:color w:val="000000"/>
                <w:sz w:val="21"/>
                <w:szCs w:val="21"/>
                <w:u w:val="none"/>
              </w:rPr>
            </w:pPr>
            <w:r>
              <w:rPr>
                <w:rFonts w:hint="eastAsia" w:ascii="仿宋_GB2312" w:hAnsi="Arial" w:eastAsia="仿宋_GB2312" w:cs="仿宋_GB2312"/>
                <w:b w:val="0"/>
                <w:bCs w:val="0"/>
                <w:i w:val="0"/>
                <w:iCs w:val="0"/>
                <w:color w:val="000000"/>
                <w:kern w:val="0"/>
                <w:sz w:val="21"/>
                <w:szCs w:val="21"/>
                <w:u w:val="none"/>
                <w:lang w:val="en-US" w:eastAsia="zh-CN" w:bidi="ar"/>
              </w:rPr>
              <w:t>面积（公顷）</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left"/>
              <w:textAlignment w:val="bottom"/>
              <w:rPr>
                <w:rFonts w:hint="eastAsia" w:ascii="仿宋_GB2312" w:hAnsi="Arial" w:eastAsia="仿宋_GB2312" w:cs="仿宋_GB2312"/>
                <w:b w:val="0"/>
                <w:bCs w:val="0"/>
                <w:i w:val="0"/>
                <w:iCs w:val="0"/>
                <w:color w:val="000000"/>
                <w:sz w:val="21"/>
                <w:szCs w:val="21"/>
                <w:u w:val="none"/>
              </w:rPr>
            </w:pPr>
            <w:r>
              <w:rPr>
                <w:rFonts w:hint="eastAsia" w:ascii="仿宋_GB2312" w:hAnsi="Arial" w:eastAsia="仿宋_GB2312" w:cs="仿宋_GB2312"/>
                <w:b w:val="0"/>
                <w:bCs w:val="0"/>
                <w:i w:val="0"/>
                <w:iCs w:val="0"/>
                <w:color w:val="000000"/>
                <w:kern w:val="0"/>
                <w:sz w:val="21"/>
                <w:szCs w:val="21"/>
                <w:u w:val="none"/>
                <w:lang w:val="en-US" w:eastAsia="zh-CN" w:bidi="ar"/>
              </w:rPr>
              <w:t>占比</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left"/>
              <w:textAlignment w:val="bottom"/>
              <w:rPr>
                <w:rFonts w:hint="eastAsia" w:ascii="仿宋_GB2312" w:hAnsi="Arial" w:eastAsia="仿宋_GB2312" w:cs="仿宋_GB2312"/>
                <w:b w:val="0"/>
                <w:bCs w:val="0"/>
                <w:i w:val="0"/>
                <w:iCs w:val="0"/>
                <w:color w:val="000000"/>
                <w:sz w:val="21"/>
                <w:szCs w:val="21"/>
                <w:u w:val="none"/>
              </w:rPr>
            </w:pPr>
            <w:r>
              <w:rPr>
                <w:rFonts w:hint="eastAsia" w:ascii="仿宋_GB2312" w:hAnsi="Arial" w:eastAsia="仿宋_GB2312" w:cs="仿宋_GB2312"/>
                <w:b w:val="0"/>
                <w:bCs w:val="0"/>
                <w:i w:val="0"/>
                <w:iCs w:val="0"/>
                <w:color w:val="000000"/>
                <w:kern w:val="0"/>
                <w:sz w:val="21"/>
                <w:szCs w:val="21"/>
                <w:u w:val="none"/>
                <w:lang w:val="en-US" w:eastAsia="zh-CN" w:bidi="ar"/>
              </w:rPr>
              <w:t>面积（公顷）</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left"/>
              <w:textAlignment w:val="bottom"/>
              <w:rPr>
                <w:rFonts w:hint="eastAsia" w:ascii="仿宋_GB2312" w:hAnsi="Arial" w:eastAsia="仿宋_GB2312" w:cs="仿宋_GB2312"/>
                <w:b w:val="0"/>
                <w:bCs w:val="0"/>
                <w:i w:val="0"/>
                <w:iCs w:val="0"/>
                <w:color w:val="000000"/>
                <w:sz w:val="21"/>
                <w:szCs w:val="21"/>
                <w:u w:val="none"/>
              </w:rPr>
            </w:pPr>
            <w:r>
              <w:rPr>
                <w:rFonts w:hint="eastAsia" w:ascii="仿宋_GB2312" w:hAnsi="Arial" w:eastAsia="仿宋_GB2312" w:cs="仿宋_GB2312"/>
                <w:b w:val="0"/>
                <w:bCs w:val="0"/>
                <w:i w:val="0"/>
                <w:iCs w:val="0"/>
                <w:color w:val="000000"/>
                <w:kern w:val="0"/>
                <w:sz w:val="21"/>
                <w:szCs w:val="21"/>
                <w:u w:val="none"/>
                <w:lang w:val="en-US" w:eastAsia="zh-CN" w:bidi="ar"/>
              </w:rPr>
              <w:t>占比</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left"/>
              <w:textAlignment w:val="bottom"/>
              <w:rPr>
                <w:rFonts w:hint="eastAsia" w:ascii="仿宋_GB2312" w:hAnsi="Arial" w:eastAsia="仿宋_GB2312" w:cs="仿宋_GB2312"/>
                <w:b w:val="0"/>
                <w:bCs w:val="0"/>
                <w:i w:val="0"/>
                <w:iCs w:val="0"/>
                <w:color w:val="000000"/>
                <w:sz w:val="21"/>
                <w:szCs w:val="21"/>
                <w:u w:val="none"/>
              </w:rPr>
            </w:pPr>
            <w:r>
              <w:rPr>
                <w:rFonts w:hint="eastAsia" w:ascii="仿宋_GB2312" w:hAnsi="Arial" w:eastAsia="仿宋_GB2312" w:cs="仿宋_GB2312"/>
                <w:b w:val="0"/>
                <w:bCs w:val="0"/>
                <w:i w:val="0"/>
                <w:iCs w:val="0"/>
                <w:color w:val="000000"/>
                <w:kern w:val="0"/>
                <w:sz w:val="21"/>
                <w:szCs w:val="21"/>
                <w:u w:val="none"/>
                <w:lang w:val="en-US" w:eastAsia="zh-CN" w:bidi="ar"/>
              </w:rPr>
              <w:t>面积（公顷）</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left"/>
              <w:textAlignment w:val="bottom"/>
              <w:rPr>
                <w:rFonts w:hint="eastAsia" w:ascii="仿宋_GB2312" w:hAnsi="Arial" w:eastAsia="仿宋_GB2312" w:cs="仿宋_GB2312"/>
                <w:b w:val="0"/>
                <w:bCs w:val="0"/>
                <w:i w:val="0"/>
                <w:iCs w:val="0"/>
                <w:color w:val="000000"/>
                <w:sz w:val="21"/>
                <w:szCs w:val="21"/>
                <w:u w:val="none"/>
              </w:rPr>
            </w:pPr>
            <w:r>
              <w:rPr>
                <w:rFonts w:hint="eastAsia" w:ascii="仿宋_GB2312" w:hAnsi="Arial" w:eastAsia="仿宋_GB2312" w:cs="仿宋_GB2312"/>
                <w:b w:val="0"/>
                <w:bCs w:val="0"/>
                <w:i w:val="0"/>
                <w:iCs w:val="0"/>
                <w:color w:val="000000"/>
                <w:kern w:val="0"/>
                <w:sz w:val="21"/>
                <w:szCs w:val="21"/>
                <w:u w:val="none"/>
                <w:lang w:val="en-US" w:eastAsia="zh-CN" w:bidi="ar"/>
              </w:rPr>
              <w:t>占比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39" w:hRule="atLeast"/>
          <w:jc w:val="center"/>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left="0" w:leftChars="0" w:firstLine="0" w:firstLineChars="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大潭村</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47.28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13.53%</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48.32</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13.03%</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16.85 </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12.31%</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1.29</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0.05%</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kern w:val="2"/>
                <w:sz w:val="21"/>
                <w:szCs w:val="21"/>
                <w:lang w:val="en-US" w:eastAsia="zh-CN" w:bidi="ar-SA"/>
              </w:rPr>
              <w:t>0.00</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3" w:hRule="atLeast"/>
          <w:jc w:val="center"/>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left="0" w:leftChars="0" w:firstLine="0" w:firstLineChars="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横坑村</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29.82</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8.54%</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30.81</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8.31%</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11.09 </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8.10%</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153.54</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5.44%</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kern w:val="2"/>
                <w:sz w:val="21"/>
                <w:szCs w:val="21"/>
                <w:lang w:val="en-US" w:eastAsia="zh-CN" w:bidi="ar-SA"/>
              </w:rPr>
              <w:t>0.00</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3" w:hRule="atLeast"/>
          <w:jc w:val="center"/>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left="0" w:leftChars="0" w:firstLine="0" w:firstLineChars="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平富村</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77.47</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22.18%</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82.77</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22.33%</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23.40 </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17.09%</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116.17</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4.12%</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kern w:val="2"/>
                <w:sz w:val="21"/>
                <w:szCs w:val="21"/>
                <w:lang w:val="en-US" w:eastAsia="zh-CN" w:bidi="ar-SA"/>
              </w:rPr>
              <w:t>14.42</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38.04%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3" w:hRule="atLeast"/>
          <w:jc w:val="center"/>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left="0" w:leftChars="0" w:firstLine="0" w:firstLineChars="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上寨村</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34.3</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9.82%</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42.52</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11.47%</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19.08 </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13.93%</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1786.59</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63.35%</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kern w:val="2"/>
                <w:sz w:val="21"/>
                <w:szCs w:val="21"/>
                <w:lang w:val="en-US" w:eastAsia="zh-CN" w:bidi="ar-SA"/>
              </w:rPr>
              <w:t>14.35</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37.85%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3" w:hRule="atLeast"/>
          <w:jc w:val="center"/>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left="0" w:leftChars="0" w:firstLine="0" w:firstLineChars="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向前村</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39.08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11.19%</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41.52</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11.20%</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31.36 </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22.90%</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39.19</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1.39%</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kern w:val="2"/>
                <w:sz w:val="21"/>
                <w:szCs w:val="21"/>
                <w:lang w:val="en-US" w:eastAsia="zh-CN" w:bidi="ar-SA"/>
              </w:rPr>
              <w:t>0.00</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3" w:hRule="atLeast"/>
          <w:jc w:val="center"/>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left="0" w:leftChars="0" w:firstLine="0" w:firstLineChars="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信地村</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46.09</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13.19%</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47.32</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12.77%</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11.08 </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8.09%</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722.64</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25.62%</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kern w:val="2"/>
                <w:sz w:val="21"/>
                <w:szCs w:val="21"/>
                <w:lang w:val="en-US" w:eastAsia="zh-CN" w:bidi="ar-SA"/>
              </w:rPr>
              <w:t>0.00</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3" w:hRule="atLeast"/>
          <w:jc w:val="center"/>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left="0" w:leftChars="0" w:firstLine="0" w:firstLineChars="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庄坑村</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27.8</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7.96%</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28.62</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7.72%</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9.46 </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6.91%</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0.74</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0.03%</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left="0" w:leftChars="0" w:firstLine="0" w:firstLineChars="0"/>
              <w:jc w:val="center"/>
              <w:textAlignment w:val="bottom"/>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kern w:val="2"/>
                <w:sz w:val="21"/>
                <w:szCs w:val="21"/>
                <w:lang w:val="en-US" w:eastAsia="zh-CN" w:bidi="ar-SA"/>
              </w:rPr>
              <w:t>0.00</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3" w:hRule="atLeast"/>
          <w:jc w:val="center"/>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left="0" w:leftChars="0" w:firstLine="0" w:firstLineChars="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庄前村</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47.51</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13.60%</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48.82</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13.17%</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14.61 </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10.67%</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0.00</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0.00%</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left="0" w:leftChars="0" w:firstLine="0" w:firstLineChars="0"/>
              <w:jc w:val="center"/>
              <w:textAlignment w:val="bottom"/>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kern w:val="2"/>
                <w:sz w:val="21"/>
                <w:szCs w:val="21"/>
                <w:lang w:val="en-US" w:eastAsia="zh-CN" w:bidi="ar-SA"/>
              </w:rPr>
              <w:t>9.14</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24.10%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8" w:hRule="atLeast"/>
          <w:jc w:val="center"/>
        </w:trPr>
        <w:tc>
          <w:tcPr>
            <w:tcW w:w="846"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left="0" w:leftChars="0" w:firstLine="0" w:firstLineChars="0"/>
              <w:jc w:val="center"/>
              <w:textAlignment w:val="bottom"/>
              <w:rPr>
                <w:rFonts w:hint="eastAsia" w:ascii="仿宋_GB2312" w:hAnsi="Arial" w:eastAsia="仿宋_GB2312" w:cs="仿宋_GB2312"/>
                <w:i w:val="0"/>
                <w:iCs w:val="0"/>
                <w:color w:val="000000"/>
                <w:sz w:val="21"/>
                <w:szCs w:val="21"/>
                <w:u w:val="none"/>
              </w:rPr>
            </w:pPr>
            <w:r>
              <w:rPr>
                <w:rFonts w:hint="eastAsia" w:ascii="仿宋_GB2312" w:hAnsi="Arial" w:eastAsia="仿宋_GB2312" w:cs="仿宋_GB2312"/>
                <w:i w:val="0"/>
                <w:iCs w:val="0"/>
                <w:color w:val="000000"/>
                <w:kern w:val="0"/>
                <w:sz w:val="21"/>
                <w:szCs w:val="21"/>
                <w:u w:val="none"/>
                <w:lang w:val="en-US" w:eastAsia="zh-CN" w:bidi="ar"/>
              </w:rPr>
              <w:t>总计</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349.35</w:t>
            </w:r>
          </w:p>
        </w:tc>
        <w:tc>
          <w:tcPr>
            <w:tcW w:w="84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100.00%</w:t>
            </w:r>
          </w:p>
        </w:tc>
        <w:tc>
          <w:tcPr>
            <w:tcW w:w="78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370.7</w:t>
            </w:r>
          </w:p>
        </w:tc>
        <w:tc>
          <w:tcPr>
            <w:tcW w:w="81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100.00%</w:t>
            </w:r>
          </w:p>
        </w:tc>
        <w:tc>
          <w:tcPr>
            <w:tcW w:w="686"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 xml:space="preserve">136.95 </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100.00%</w:t>
            </w:r>
          </w:p>
        </w:tc>
        <w:tc>
          <w:tcPr>
            <w:tcW w:w="76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2820.15</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100.00%</w:t>
            </w:r>
          </w:p>
        </w:tc>
        <w:tc>
          <w:tcPr>
            <w:tcW w:w="608"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left="0" w:leftChars="0" w:firstLine="0" w:firstLineChars="0"/>
              <w:jc w:val="center"/>
              <w:textAlignment w:val="bottom"/>
              <w:rPr>
                <w:rFonts w:hint="default" w:ascii="Times New Roman" w:hAnsi="Times New Roman" w:eastAsia="仿宋_GB2312" w:cs="Times New Roman"/>
                <w:color w:val="auto"/>
                <w:kern w:val="2"/>
                <w:sz w:val="21"/>
                <w:szCs w:val="21"/>
                <w:lang w:val="en-US" w:eastAsia="zh-CN" w:bidi="ar-SA"/>
              </w:rPr>
            </w:pPr>
            <w:r>
              <w:rPr>
                <w:rFonts w:hint="default" w:ascii="Times New Roman" w:hAnsi="Times New Roman" w:eastAsia="仿宋_GB2312" w:cs="Times New Roman"/>
                <w:color w:val="auto"/>
                <w:kern w:val="2"/>
                <w:sz w:val="21"/>
                <w:szCs w:val="21"/>
                <w:lang w:val="en-US" w:eastAsia="zh-CN" w:bidi="ar-SA"/>
              </w:rPr>
              <w:t>37.9</w:t>
            </w:r>
            <w:r>
              <w:rPr>
                <w:rFonts w:hint="eastAsia" w:ascii="Times New Roman" w:hAnsi="Times New Roman" w:eastAsia="仿宋_GB2312" w:cs="Times New Roman"/>
                <w:color w:val="auto"/>
                <w:kern w:val="2"/>
                <w:sz w:val="21"/>
                <w:szCs w:val="21"/>
                <w:lang w:val="en-US" w:eastAsia="zh-CN" w:bidi="ar-SA"/>
              </w:rPr>
              <w:t>1</w:t>
            </w:r>
          </w:p>
        </w:tc>
        <w:tc>
          <w:tcPr>
            <w:tcW w:w="80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ind w:left="0" w:leftChars="0" w:firstLine="0" w:firstLineChars="0"/>
              <w:jc w:val="center"/>
              <w:textAlignment w:val="bottom"/>
              <w:rPr>
                <w:rFonts w:hint="eastAsia" w:ascii="Times New Roman" w:hAnsi="Times New Roman" w:eastAsia="仿宋_GB2312" w:cs="Times New Roman"/>
                <w:color w:val="auto"/>
                <w:kern w:val="2"/>
                <w:sz w:val="21"/>
                <w:szCs w:val="21"/>
                <w:lang w:val="en-US" w:eastAsia="zh-CN" w:bidi="ar-SA"/>
              </w:rPr>
            </w:pPr>
            <w:r>
              <w:rPr>
                <w:rFonts w:hint="eastAsia" w:ascii="Times New Roman" w:hAnsi="Times New Roman" w:eastAsia="仿宋_GB2312" w:cs="Times New Roman"/>
                <w:color w:val="auto"/>
                <w:kern w:val="2"/>
                <w:sz w:val="21"/>
                <w:szCs w:val="21"/>
                <w:lang w:val="en-US" w:eastAsia="zh-CN" w:bidi="ar-SA"/>
              </w:rPr>
              <w:t>100.00%</w:t>
            </w:r>
          </w:p>
        </w:tc>
      </w:tr>
    </w:tbl>
    <w:p>
      <w:pPr>
        <w:pStyle w:val="33"/>
        <w:spacing w:before="156" w:beforeLines="50" w:after="156" w:afterLines="50" w:line="520" w:lineRule="exact"/>
        <w:rPr>
          <w:rFonts w:hint="eastAsia" w:ascii="Times New Roman" w:hAnsi="Times New Roman" w:cs="Times New Roman"/>
          <w:color w:val="auto"/>
          <w:kern w:val="2"/>
          <w:szCs w:val="32"/>
          <w:lang w:val="en-US" w:eastAsia="zh-CN"/>
        </w:rPr>
      </w:pPr>
      <w:bookmarkStart w:id="93" w:name="_Toc21481"/>
      <w:r>
        <w:rPr>
          <w:rFonts w:hint="eastAsia" w:ascii="Times New Roman" w:hAnsi="Times New Roman" w:cs="Times New Roman"/>
          <w:color w:val="auto"/>
          <w:kern w:val="2"/>
          <w:szCs w:val="32"/>
          <w:lang w:val="en-US" w:eastAsia="zh-CN"/>
        </w:rPr>
        <w:t>第四节 乡域重大项目及近期行动计划</w:t>
      </w:r>
      <w:bookmarkEnd w:id="93"/>
    </w:p>
    <w:p>
      <w:pPr>
        <w:snapToGrid w:val="0"/>
        <w:spacing w:line="480" w:lineRule="exact"/>
        <w:ind w:firstLine="560"/>
        <w:rPr>
          <w:rFonts w:ascii="Times New Roman" w:hAnsi="Times New Roman" w:eastAsia="仿宋_GB2312"/>
          <w:bCs/>
          <w:color w:val="auto"/>
          <w:sz w:val="28"/>
          <w:szCs w:val="28"/>
        </w:rPr>
      </w:pPr>
      <w:r>
        <w:rPr>
          <w:rFonts w:hint="eastAsia" w:ascii="Times New Roman" w:hAnsi="Times New Roman" w:eastAsia="仿宋_GB2312"/>
          <w:bCs/>
          <w:color w:val="auto"/>
          <w:sz w:val="28"/>
          <w:szCs w:val="28"/>
        </w:rPr>
        <w:t xml:space="preserve"> 近期重点落实</w:t>
      </w:r>
      <w:r>
        <w:rPr>
          <w:rFonts w:hint="eastAsia" w:ascii="Times New Roman" w:hAnsi="Times New Roman" w:eastAsia="仿宋_GB2312"/>
          <w:bCs/>
          <w:color w:val="auto"/>
          <w:sz w:val="28"/>
          <w:szCs w:val="28"/>
          <w:lang w:eastAsia="zh-CN"/>
        </w:rPr>
        <w:t>上犹县</w:t>
      </w:r>
      <w:r>
        <w:rPr>
          <w:rFonts w:hint="eastAsia" w:ascii="Times New Roman" w:hAnsi="Times New Roman" w:eastAsia="仿宋_GB2312"/>
          <w:bCs/>
          <w:color w:val="auto"/>
          <w:sz w:val="28"/>
          <w:szCs w:val="28"/>
          <w:lang w:val="en-US" w:eastAsia="zh-CN"/>
        </w:rPr>
        <w:t>平富乡</w:t>
      </w:r>
      <w:r>
        <w:rPr>
          <w:rFonts w:hint="eastAsia" w:ascii="Times New Roman" w:hAnsi="Times New Roman" w:eastAsia="仿宋_GB2312"/>
          <w:bCs/>
          <w:color w:val="auto"/>
          <w:sz w:val="28"/>
          <w:szCs w:val="28"/>
        </w:rPr>
        <w:t>“十四五”规划明确的项目建设安排</w:t>
      </w:r>
      <w:r>
        <w:rPr>
          <w:rFonts w:hint="eastAsia" w:ascii="Times New Roman" w:hAnsi="Times New Roman" w:eastAsia="仿宋_GB2312"/>
          <w:bCs/>
          <w:color w:val="auto"/>
          <w:sz w:val="28"/>
          <w:szCs w:val="28"/>
          <w:lang w:val="en-US" w:eastAsia="zh-CN"/>
        </w:rPr>
        <w:t>及乡镇发展重点项目</w:t>
      </w:r>
      <w:r>
        <w:rPr>
          <w:rFonts w:hint="eastAsia" w:ascii="Times New Roman" w:hAnsi="Times New Roman" w:eastAsia="仿宋_GB2312"/>
          <w:bCs/>
          <w:color w:val="auto"/>
          <w:sz w:val="28"/>
          <w:szCs w:val="28"/>
        </w:rPr>
        <w:t>，以解决问题和实施成效为导向，聚焦关键项目，重点实施</w:t>
      </w:r>
      <w:r>
        <w:rPr>
          <w:rFonts w:hint="eastAsia" w:ascii="Times New Roman" w:hAnsi="Times New Roman" w:eastAsia="仿宋_GB2312" w:cs="Times New Roman"/>
          <w:color w:val="auto"/>
          <w:kern w:val="2"/>
          <w:sz w:val="28"/>
          <w:szCs w:val="28"/>
          <w:highlight w:val="none"/>
          <w:lang w:val="en-US" w:eastAsia="zh-CN" w:bidi="ar-SA"/>
        </w:rPr>
        <w:t>交通、水利、民生、产业、能源</w:t>
      </w:r>
      <w:r>
        <w:rPr>
          <w:rFonts w:hint="eastAsia" w:ascii="Times New Roman" w:hAnsi="Times New Roman" w:eastAsia="仿宋_GB2312"/>
          <w:bCs/>
          <w:color w:val="auto"/>
          <w:sz w:val="28"/>
          <w:szCs w:val="28"/>
        </w:rPr>
        <w:t>等近期行动计划和重点任务。</w:t>
      </w:r>
    </w:p>
    <w:p>
      <w:pPr>
        <w:keepNext w:val="0"/>
        <w:keepLines w:val="0"/>
        <w:pageBreakBefore w:val="0"/>
        <w:widowControl w:val="0"/>
        <w:kinsoku/>
        <w:wordWrap/>
        <w:overflowPunct/>
        <w:topLinePunct w:val="0"/>
        <w:bidi w:val="0"/>
        <w:adjustRightInd/>
        <w:snapToGrid/>
        <w:spacing w:line="480" w:lineRule="exact"/>
        <w:ind w:firstLine="562" w:firstLineChars="200"/>
        <w:jc w:val="left"/>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一、重点交通建设项目</w:t>
      </w:r>
    </w:p>
    <w:p>
      <w:pPr>
        <w:snapToGrid w:val="0"/>
        <w:spacing w:line="480" w:lineRule="exact"/>
        <w:ind w:firstLine="560"/>
        <w:rPr>
          <w:rFonts w:hint="eastAsia" w:ascii="Times New Roman" w:hAnsi="Times New Roman" w:eastAsia="仿宋_GB2312"/>
          <w:bCs/>
          <w:color w:val="auto"/>
          <w:sz w:val="28"/>
          <w:szCs w:val="28"/>
        </w:rPr>
      </w:pPr>
      <w:r>
        <w:rPr>
          <w:rFonts w:hint="eastAsia" w:ascii="Times New Roman" w:hAnsi="Times New Roman" w:eastAsia="仿宋_GB2312"/>
          <w:bCs/>
          <w:color w:val="auto"/>
          <w:sz w:val="28"/>
          <w:szCs w:val="28"/>
          <w:lang w:val="en-US" w:eastAsia="zh-CN"/>
        </w:rPr>
        <w:t>平富乡</w:t>
      </w:r>
      <w:r>
        <w:rPr>
          <w:rFonts w:hint="eastAsia" w:ascii="Times New Roman" w:hAnsi="Times New Roman" w:eastAsia="仿宋_GB2312"/>
          <w:bCs/>
          <w:color w:val="auto"/>
          <w:sz w:val="28"/>
          <w:szCs w:val="28"/>
        </w:rPr>
        <w:t>近期重大交通项目包括</w:t>
      </w:r>
      <w:r>
        <w:rPr>
          <w:rFonts w:hint="eastAsia" w:ascii="Times New Roman" w:hAnsi="Times New Roman" w:eastAsia="仿宋_GB2312"/>
          <w:bCs/>
          <w:color w:val="auto"/>
          <w:sz w:val="28"/>
          <w:szCs w:val="28"/>
          <w:lang w:val="en-US" w:eastAsia="zh-CN"/>
        </w:rPr>
        <w:t>上犹县平富乡G220国道道路扩宽工程</w:t>
      </w:r>
      <w:r>
        <w:rPr>
          <w:rFonts w:hint="eastAsia" w:ascii="Times New Roman" w:hAnsi="Times New Roman" w:eastAsia="仿宋_GB2312"/>
          <w:bCs/>
          <w:color w:val="auto"/>
          <w:sz w:val="28"/>
          <w:szCs w:val="28"/>
          <w:lang w:eastAsia="zh-CN"/>
        </w:rPr>
        <w:t>、</w:t>
      </w:r>
      <w:r>
        <w:rPr>
          <w:rFonts w:hint="eastAsia" w:ascii="Times New Roman" w:hAnsi="Times New Roman" w:eastAsia="仿宋_GB2312"/>
          <w:bCs/>
          <w:color w:val="auto"/>
          <w:sz w:val="28"/>
          <w:szCs w:val="28"/>
          <w:lang w:val="en-US" w:eastAsia="zh-CN"/>
        </w:rPr>
        <w:t>营前镇合河村道路扩宽工程</w:t>
      </w:r>
      <w:r>
        <w:rPr>
          <w:rFonts w:hint="eastAsia" w:ascii="Times New Roman" w:hAnsi="Times New Roman" w:eastAsia="仿宋_GB2312"/>
          <w:bCs/>
          <w:color w:val="auto"/>
          <w:sz w:val="28"/>
          <w:szCs w:val="28"/>
          <w:lang w:eastAsia="zh-CN"/>
        </w:rPr>
        <w:t>、</w:t>
      </w:r>
      <w:r>
        <w:rPr>
          <w:rFonts w:hint="eastAsia" w:ascii="Times New Roman" w:hAnsi="Times New Roman" w:eastAsia="仿宋_GB2312"/>
          <w:bCs/>
          <w:color w:val="auto"/>
          <w:sz w:val="28"/>
          <w:szCs w:val="28"/>
          <w:lang w:val="en-US" w:eastAsia="zh-CN"/>
        </w:rPr>
        <w:t>上犹县平富乡上寨至横坑公路拓宽工程</w:t>
      </w:r>
      <w:r>
        <w:rPr>
          <w:rFonts w:hint="eastAsia" w:ascii="Times New Roman" w:hAnsi="Times New Roman" w:eastAsia="仿宋_GB2312"/>
          <w:bCs/>
          <w:color w:val="auto"/>
          <w:sz w:val="28"/>
          <w:szCs w:val="28"/>
          <w:lang w:eastAsia="zh-CN"/>
        </w:rPr>
        <w:t>、</w:t>
      </w:r>
      <w:r>
        <w:rPr>
          <w:rFonts w:hint="eastAsia" w:ascii="Times New Roman" w:hAnsi="Times New Roman" w:eastAsia="仿宋_GB2312"/>
          <w:bCs/>
          <w:color w:val="auto"/>
          <w:sz w:val="28"/>
          <w:szCs w:val="28"/>
          <w:lang w:val="en-US" w:eastAsia="zh-CN"/>
        </w:rPr>
        <w:t>上犹县平富乡庄前村部至G220国道道路扩宽工程</w:t>
      </w:r>
      <w:r>
        <w:rPr>
          <w:rFonts w:hint="eastAsia" w:ascii="Times New Roman" w:hAnsi="Times New Roman" w:eastAsia="仿宋_GB2312"/>
          <w:bCs/>
          <w:color w:val="auto"/>
          <w:sz w:val="28"/>
          <w:szCs w:val="28"/>
          <w:lang w:eastAsia="zh-CN"/>
        </w:rPr>
        <w:t>、</w:t>
      </w:r>
      <w:r>
        <w:rPr>
          <w:rFonts w:hint="eastAsia" w:ascii="Times New Roman" w:hAnsi="Times New Roman" w:eastAsia="仿宋_GB2312"/>
          <w:bCs/>
          <w:color w:val="auto"/>
          <w:sz w:val="28"/>
          <w:szCs w:val="28"/>
          <w:lang w:val="en-US" w:eastAsia="zh-CN"/>
        </w:rPr>
        <w:t>X873平富至杰坝公路改建工程</w:t>
      </w:r>
      <w:r>
        <w:rPr>
          <w:rFonts w:hint="eastAsia" w:ascii="Times New Roman" w:hAnsi="Times New Roman" w:eastAsia="仿宋_GB2312"/>
          <w:bCs/>
          <w:color w:val="auto"/>
          <w:sz w:val="28"/>
          <w:szCs w:val="28"/>
          <w:lang w:eastAsia="zh-CN"/>
        </w:rPr>
        <w:t> 、</w:t>
      </w:r>
      <w:r>
        <w:rPr>
          <w:rFonts w:hint="eastAsia" w:ascii="Times New Roman" w:hAnsi="Times New Roman" w:eastAsia="仿宋_GB2312"/>
          <w:bCs/>
          <w:color w:val="auto"/>
          <w:sz w:val="28"/>
          <w:szCs w:val="28"/>
          <w:lang w:val="en-US" w:eastAsia="zh-CN"/>
        </w:rPr>
        <w:t>虎头道路硬化工程</w:t>
      </w:r>
      <w:r>
        <w:rPr>
          <w:rFonts w:hint="eastAsia" w:ascii="Times New Roman" w:hAnsi="Times New Roman" w:eastAsia="仿宋_GB2312"/>
          <w:bCs/>
          <w:color w:val="auto"/>
          <w:sz w:val="28"/>
          <w:szCs w:val="28"/>
          <w:lang w:eastAsia="zh-CN"/>
        </w:rPr>
        <w:t>、</w:t>
      </w:r>
      <w:r>
        <w:rPr>
          <w:rFonts w:hint="eastAsia" w:ascii="Times New Roman" w:hAnsi="Times New Roman" w:eastAsia="仿宋_GB2312"/>
          <w:bCs/>
          <w:color w:val="auto"/>
          <w:sz w:val="28"/>
          <w:szCs w:val="28"/>
          <w:lang w:val="en-US" w:eastAsia="zh-CN"/>
        </w:rPr>
        <w:t>上犹县农村道路升级改造工程</w:t>
      </w:r>
      <w:r>
        <w:rPr>
          <w:rFonts w:hint="eastAsia" w:ascii="Times New Roman" w:hAnsi="Times New Roman" w:eastAsia="仿宋_GB2312"/>
          <w:bCs/>
          <w:color w:val="auto"/>
          <w:sz w:val="28"/>
          <w:szCs w:val="28"/>
        </w:rPr>
        <w:t>等项目。</w:t>
      </w:r>
    </w:p>
    <w:p>
      <w:pPr>
        <w:keepNext w:val="0"/>
        <w:keepLines w:val="0"/>
        <w:pageBreakBefore w:val="0"/>
        <w:widowControl w:val="0"/>
        <w:kinsoku/>
        <w:wordWrap/>
        <w:overflowPunct/>
        <w:topLinePunct w:val="0"/>
        <w:bidi w:val="0"/>
        <w:adjustRightInd/>
        <w:snapToGrid/>
        <w:spacing w:line="480" w:lineRule="exact"/>
        <w:ind w:firstLine="562" w:firstLineChars="200"/>
        <w:jc w:val="left"/>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二、重点水利建设项目</w:t>
      </w:r>
    </w:p>
    <w:p>
      <w:pPr>
        <w:snapToGrid w:val="0"/>
        <w:spacing w:line="480" w:lineRule="exact"/>
        <w:ind w:firstLine="560"/>
        <w:rPr>
          <w:rFonts w:hint="eastAsia" w:ascii="Times New Roman" w:hAnsi="Times New Roman" w:eastAsia="仿宋_GB2312"/>
          <w:bCs/>
          <w:color w:val="auto"/>
          <w:sz w:val="28"/>
          <w:szCs w:val="28"/>
          <w:lang w:val="en-US" w:eastAsia="zh-CN"/>
        </w:rPr>
      </w:pPr>
      <w:r>
        <w:rPr>
          <w:rFonts w:hint="eastAsia" w:ascii="Times New Roman" w:hAnsi="Times New Roman" w:eastAsia="仿宋_GB2312"/>
          <w:bCs/>
          <w:color w:val="auto"/>
          <w:sz w:val="28"/>
          <w:szCs w:val="28"/>
          <w:lang w:val="en-US" w:eastAsia="zh-CN"/>
        </w:rPr>
        <w:t>平富乡近期重大水利项目包括江西省平富中型灌区项目、上犹县燕子岩水系资源生态价值实现工程等项目。</w:t>
      </w:r>
    </w:p>
    <w:p>
      <w:pPr>
        <w:keepNext w:val="0"/>
        <w:keepLines w:val="0"/>
        <w:pageBreakBefore w:val="0"/>
        <w:widowControl w:val="0"/>
        <w:kinsoku/>
        <w:wordWrap/>
        <w:overflowPunct/>
        <w:topLinePunct w:val="0"/>
        <w:bidi w:val="0"/>
        <w:adjustRightInd/>
        <w:snapToGrid/>
        <w:spacing w:line="480" w:lineRule="exact"/>
        <w:ind w:firstLine="562" w:firstLineChars="200"/>
        <w:jc w:val="left"/>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三、重点民生建设项目</w:t>
      </w:r>
    </w:p>
    <w:p>
      <w:pPr>
        <w:snapToGrid w:val="0"/>
        <w:spacing w:line="480" w:lineRule="exact"/>
        <w:ind w:firstLine="560"/>
        <w:rPr>
          <w:rFonts w:hint="eastAsia" w:ascii="Times New Roman" w:hAnsi="Times New Roman" w:eastAsia="仿宋_GB2312"/>
          <w:bCs/>
          <w:color w:val="auto"/>
          <w:sz w:val="28"/>
          <w:szCs w:val="28"/>
        </w:rPr>
      </w:pPr>
      <w:r>
        <w:rPr>
          <w:rFonts w:hint="eastAsia" w:ascii="Times New Roman" w:hAnsi="Times New Roman" w:eastAsia="仿宋_GB2312"/>
          <w:bCs/>
          <w:color w:val="auto"/>
          <w:sz w:val="28"/>
          <w:szCs w:val="28"/>
          <w:lang w:val="en-US" w:eastAsia="zh-CN"/>
        </w:rPr>
        <w:t>平富乡</w:t>
      </w:r>
      <w:r>
        <w:rPr>
          <w:rFonts w:hint="eastAsia" w:ascii="Times New Roman" w:hAnsi="Times New Roman" w:eastAsia="仿宋_GB2312"/>
          <w:bCs/>
          <w:color w:val="auto"/>
          <w:sz w:val="28"/>
          <w:szCs w:val="28"/>
        </w:rPr>
        <w:t>近期重</w:t>
      </w:r>
      <w:r>
        <w:rPr>
          <w:rFonts w:hint="eastAsia" w:ascii="Times New Roman" w:hAnsi="Times New Roman" w:eastAsia="仿宋_GB2312"/>
          <w:bCs/>
          <w:color w:val="auto"/>
          <w:sz w:val="28"/>
          <w:szCs w:val="28"/>
          <w:lang w:val="en-US" w:eastAsia="zh-CN"/>
        </w:rPr>
        <w:t>要民生</w:t>
      </w:r>
      <w:r>
        <w:rPr>
          <w:rFonts w:hint="eastAsia" w:ascii="Times New Roman" w:hAnsi="Times New Roman" w:eastAsia="仿宋_GB2312"/>
          <w:bCs/>
          <w:color w:val="auto"/>
          <w:sz w:val="28"/>
          <w:szCs w:val="28"/>
        </w:rPr>
        <w:t>项目包括</w:t>
      </w:r>
      <w:r>
        <w:rPr>
          <w:rFonts w:hint="eastAsia" w:ascii="Times New Roman" w:hAnsi="Times New Roman" w:eastAsia="仿宋_GB2312"/>
          <w:bCs/>
          <w:color w:val="auto"/>
          <w:sz w:val="28"/>
          <w:szCs w:val="28"/>
          <w:lang w:eastAsia="zh-CN"/>
        </w:rPr>
        <w:t>平富乡</w:t>
      </w:r>
      <w:r>
        <w:rPr>
          <w:rFonts w:hint="eastAsia" w:ascii="Times New Roman" w:hAnsi="Times New Roman" w:eastAsia="仿宋_GB2312"/>
          <w:bCs/>
          <w:color w:val="auto"/>
          <w:sz w:val="28"/>
          <w:szCs w:val="28"/>
          <w:lang w:val="en-US" w:eastAsia="zh-CN"/>
        </w:rPr>
        <w:t>集镇</w:t>
      </w:r>
      <w:r>
        <w:rPr>
          <w:rFonts w:hint="eastAsia" w:ascii="Times New Roman" w:hAnsi="Times New Roman" w:eastAsia="仿宋_GB2312"/>
          <w:bCs/>
          <w:color w:val="auto"/>
          <w:sz w:val="28"/>
          <w:szCs w:val="28"/>
        </w:rPr>
        <w:t>建设项目</w:t>
      </w:r>
      <w:r>
        <w:rPr>
          <w:rFonts w:hint="eastAsia" w:ascii="Times New Roman" w:hAnsi="Times New Roman" w:eastAsia="仿宋_GB2312"/>
          <w:bCs/>
          <w:color w:val="auto"/>
          <w:sz w:val="28"/>
          <w:szCs w:val="28"/>
          <w:lang w:eastAsia="zh-CN"/>
        </w:rPr>
        <w:t>、</w:t>
      </w:r>
      <w:r>
        <w:rPr>
          <w:rFonts w:hint="eastAsia" w:ascii="Times New Roman" w:hAnsi="Times New Roman" w:eastAsia="仿宋_GB2312"/>
          <w:bCs/>
          <w:color w:val="auto"/>
          <w:sz w:val="28"/>
          <w:szCs w:val="28"/>
          <w:lang w:val="en-US" w:eastAsia="zh-CN"/>
        </w:rPr>
        <w:t>平富乡基础设施建设项目</w:t>
      </w:r>
      <w:r>
        <w:rPr>
          <w:rFonts w:hint="eastAsia" w:ascii="Times New Roman" w:hAnsi="Times New Roman" w:eastAsia="仿宋_GB2312"/>
          <w:bCs/>
          <w:color w:val="auto"/>
          <w:sz w:val="28"/>
          <w:szCs w:val="28"/>
        </w:rPr>
        <w:t>等项目。</w:t>
      </w:r>
    </w:p>
    <w:p>
      <w:pPr>
        <w:keepNext w:val="0"/>
        <w:keepLines w:val="0"/>
        <w:pageBreakBefore w:val="0"/>
        <w:widowControl w:val="0"/>
        <w:kinsoku/>
        <w:wordWrap/>
        <w:overflowPunct/>
        <w:topLinePunct w:val="0"/>
        <w:bidi w:val="0"/>
        <w:adjustRightInd/>
        <w:snapToGrid/>
        <w:spacing w:line="480" w:lineRule="exact"/>
        <w:ind w:firstLine="562" w:firstLineChars="200"/>
        <w:jc w:val="left"/>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四、重点产业建设项目</w:t>
      </w:r>
    </w:p>
    <w:p>
      <w:pPr>
        <w:snapToGrid w:val="0"/>
        <w:spacing w:line="480" w:lineRule="exact"/>
        <w:ind w:firstLine="560"/>
        <w:rPr>
          <w:rFonts w:hint="eastAsia" w:ascii="Times New Roman" w:hAnsi="Times New Roman" w:eastAsia="仿宋_GB2312"/>
          <w:bCs/>
          <w:color w:val="auto"/>
          <w:sz w:val="28"/>
          <w:szCs w:val="28"/>
          <w:lang w:val="en-US" w:eastAsia="zh-CN"/>
        </w:rPr>
      </w:pPr>
      <w:r>
        <w:rPr>
          <w:rFonts w:hint="eastAsia" w:ascii="Times New Roman" w:hAnsi="Times New Roman" w:eastAsia="仿宋_GB2312"/>
          <w:bCs/>
          <w:color w:val="auto"/>
          <w:sz w:val="28"/>
          <w:szCs w:val="28"/>
          <w:lang w:val="en-US" w:eastAsia="zh-CN"/>
        </w:rPr>
        <w:t>平富乡近期重点产业项目包括燕子岩风景区、暖塘温泉康养项目、向前村乡村振兴项目 、平富村乡村振兴项目、燕子岩风景区停车场、燕子岩风景区民宿、燕子岩风景区水厂等项目。</w:t>
      </w:r>
    </w:p>
    <w:p>
      <w:pPr>
        <w:keepNext w:val="0"/>
        <w:keepLines w:val="0"/>
        <w:pageBreakBefore w:val="0"/>
        <w:widowControl w:val="0"/>
        <w:kinsoku/>
        <w:wordWrap/>
        <w:overflowPunct/>
        <w:topLinePunct w:val="0"/>
        <w:bidi w:val="0"/>
        <w:adjustRightInd/>
        <w:snapToGrid/>
        <w:spacing w:line="480" w:lineRule="exact"/>
        <w:ind w:firstLine="562" w:firstLineChars="200"/>
        <w:jc w:val="left"/>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五、能源类建设项目</w:t>
      </w:r>
    </w:p>
    <w:p>
      <w:pPr>
        <w:snapToGrid w:val="0"/>
        <w:spacing w:line="480" w:lineRule="exact"/>
        <w:ind w:firstLine="560"/>
        <w:rPr>
          <w:rFonts w:hint="eastAsia" w:ascii="Times New Roman" w:hAnsi="Times New Roman" w:eastAsia="仿宋_GB2312"/>
          <w:bCs/>
          <w:color w:val="auto"/>
          <w:sz w:val="28"/>
          <w:szCs w:val="28"/>
          <w:lang w:val="en-US" w:eastAsia="zh-CN"/>
        </w:rPr>
      </w:pPr>
      <w:r>
        <w:rPr>
          <w:rFonts w:hint="eastAsia" w:ascii="Times New Roman" w:hAnsi="Times New Roman" w:eastAsia="仿宋_GB2312"/>
          <w:bCs/>
          <w:color w:val="auto"/>
          <w:sz w:val="28"/>
          <w:szCs w:val="28"/>
          <w:lang w:val="en-US" w:eastAsia="zh-CN"/>
        </w:rPr>
        <w:t>平富乡近期重点能源项目包括平富乡管道天然气项目。</w:t>
      </w:r>
    </w:p>
    <w:p>
      <w:pPr>
        <w:pStyle w:val="11"/>
        <w:numPr>
          <w:ilvl w:val="0"/>
          <w:numId w:val="0"/>
        </w:numPr>
        <w:ind w:leftChars="200"/>
        <w:jc w:val="center"/>
        <w:rPr>
          <w:rFonts w:hint="eastAsia"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表</w:t>
      </w:r>
      <w:bookmarkStart w:id="94" w:name="_Toc30604"/>
      <w:r>
        <w:rPr>
          <w:rFonts w:hint="eastAsia" w:ascii="Times New Roman" w:hAnsi="Times New Roman" w:eastAsia="仿宋_GB2312" w:cs="微软雅黑"/>
          <w:b/>
          <w:bCs w:val="0"/>
          <w:color w:val="auto"/>
          <w:kern w:val="0"/>
          <w:sz w:val="21"/>
          <w:szCs w:val="21"/>
          <w:lang w:val="en-US" w:eastAsia="zh-CN" w:bidi="zh-CN"/>
        </w:rPr>
        <w:t>14-3乡镇重点建设项目安排表</w:t>
      </w:r>
      <w:bookmarkEnd w:id="94"/>
    </w:p>
    <w:tbl>
      <w:tblPr>
        <w:tblStyle w:val="19"/>
        <w:tblW w:w="83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26"/>
        <w:gridCol w:w="645"/>
        <w:gridCol w:w="1854"/>
        <w:gridCol w:w="732"/>
        <w:gridCol w:w="829"/>
        <w:gridCol w:w="1147"/>
        <w:gridCol w:w="620"/>
        <w:gridCol w:w="741"/>
        <w:gridCol w:w="140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6" w:hRule="atLeast"/>
        </w:trPr>
        <w:tc>
          <w:tcPr>
            <w:tcW w:w="426" w:type="dxa"/>
            <w:tcBorders>
              <w:top w:val="single" w:color="000000" w:sz="4" w:space="0"/>
              <w:left w:val="single" w:color="000000" w:sz="4" w:space="0"/>
              <w:bottom w:val="single" w:color="000000" w:sz="4" w:space="0"/>
              <w:right w:val="single" w:color="000000" w:sz="4" w:space="0"/>
            </w:tcBorders>
            <w:shd w:val="clear" w:color="auto" w:fill="FFFFFF"/>
            <w:noWrap/>
            <w:vAlign w:val="top"/>
          </w:tcPr>
          <w:p>
            <w:pPr>
              <w:pStyle w:val="31"/>
              <w:pageBreakBefore w:val="0"/>
              <w:kinsoku/>
              <w:wordWrap/>
              <w:overflowPunct/>
              <w:topLinePunct w:val="0"/>
              <w:bidi w:val="0"/>
              <w:spacing w:line="480" w:lineRule="exact"/>
              <w:rPr>
                <w:rFonts w:hint="eastAsia" w:ascii="仿宋_GB2312" w:hAnsi="仿宋_GB2312" w:eastAsia="仿宋_GB2312" w:cs="仿宋_GB2312"/>
                <w:b/>
                <w:bCs w:val="0"/>
                <w:color w:val="auto"/>
                <w:kern w:val="2"/>
                <w:sz w:val="21"/>
                <w:szCs w:val="21"/>
                <w:lang w:val="en-US" w:eastAsia="zh-CN" w:bidi="ar-SA"/>
              </w:rPr>
            </w:pPr>
            <w:r>
              <w:rPr>
                <w:rFonts w:hint="eastAsia" w:ascii="仿宋_GB2312" w:hAnsi="仿宋_GB2312" w:eastAsia="仿宋_GB2312" w:cs="仿宋_GB2312"/>
                <w:b/>
                <w:bCs w:val="0"/>
                <w:color w:val="auto"/>
                <w:kern w:val="2"/>
                <w:sz w:val="21"/>
                <w:szCs w:val="21"/>
                <w:lang w:val="en-US" w:eastAsia="zh-CN" w:bidi="ar-SA"/>
              </w:rPr>
              <w:t>序号</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bCs w:val="0"/>
                <w:color w:val="auto"/>
                <w:kern w:val="2"/>
                <w:sz w:val="21"/>
                <w:szCs w:val="21"/>
                <w:lang w:val="en-US" w:eastAsia="zh-CN" w:bidi="ar-SA"/>
              </w:rPr>
            </w:pPr>
            <w:r>
              <w:rPr>
                <w:rFonts w:hint="eastAsia" w:ascii="仿宋_GB2312" w:hAnsi="仿宋_GB2312" w:eastAsia="仿宋_GB2312" w:cs="仿宋_GB2312"/>
                <w:b/>
                <w:bCs w:val="0"/>
                <w:color w:val="auto"/>
                <w:kern w:val="2"/>
                <w:sz w:val="21"/>
                <w:szCs w:val="21"/>
                <w:lang w:val="en-US" w:eastAsia="zh-CN" w:bidi="ar-SA"/>
              </w:rPr>
              <w:t>项目类型</w:t>
            </w:r>
          </w:p>
        </w:tc>
        <w:tc>
          <w:tcPr>
            <w:tcW w:w="1854"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bCs w:val="0"/>
                <w:color w:val="auto"/>
                <w:kern w:val="2"/>
                <w:sz w:val="21"/>
                <w:szCs w:val="21"/>
                <w:lang w:val="en-US" w:eastAsia="zh-CN" w:bidi="ar-SA"/>
              </w:rPr>
            </w:pPr>
            <w:r>
              <w:rPr>
                <w:rFonts w:hint="eastAsia" w:ascii="仿宋_GB2312" w:hAnsi="仿宋_GB2312" w:eastAsia="仿宋_GB2312" w:cs="仿宋_GB2312"/>
                <w:b/>
                <w:bCs w:val="0"/>
                <w:color w:val="auto"/>
                <w:kern w:val="2"/>
                <w:sz w:val="21"/>
                <w:szCs w:val="21"/>
                <w:lang w:val="en-US" w:eastAsia="zh-CN" w:bidi="ar-SA"/>
              </w:rPr>
              <w:t>项目名称</w:t>
            </w:r>
          </w:p>
        </w:tc>
        <w:tc>
          <w:tcPr>
            <w:tcW w:w="732"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bCs w:val="0"/>
                <w:color w:val="auto"/>
                <w:kern w:val="2"/>
                <w:sz w:val="21"/>
                <w:szCs w:val="21"/>
                <w:lang w:val="en-US" w:eastAsia="zh-CN" w:bidi="ar-SA"/>
              </w:rPr>
            </w:pPr>
            <w:r>
              <w:rPr>
                <w:rFonts w:hint="eastAsia" w:ascii="仿宋_GB2312" w:hAnsi="仿宋_GB2312" w:eastAsia="仿宋_GB2312" w:cs="仿宋_GB2312"/>
                <w:b/>
                <w:bCs w:val="0"/>
                <w:color w:val="auto"/>
                <w:kern w:val="2"/>
                <w:sz w:val="21"/>
                <w:szCs w:val="21"/>
                <w:lang w:val="en-US" w:eastAsia="zh-CN" w:bidi="ar-SA"/>
              </w:rPr>
              <w:t>项目级别</w:t>
            </w:r>
          </w:p>
        </w:tc>
        <w:tc>
          <w:tcPr>
            <w:tcW w:w="829"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bCs w:val="0"/>
                <w:color w:val="auto"/>
                <w:kern w:val="2"/>
                <w:sz w:val="21"/>
                <w:szCs w:val="21"/>
                <w:lang w:val="en-US" w:eastAsia="zh-CN" w:bidi="ar-SA"/>
              </w:rPr>
            </w:pPr>
            <w:r>
              <w:rPr>
                <w:rFonts w:hint="eastAsia" w:ascii="仿宋_GB2312" w:hAnsi="仿宋_GB2312" w:eastAsia="仿宋_GB2312" w:cs="仿宋_GB2312"/>
                <w:b/>
                <w:bCs w:val="0"/>
                <w:color w:val="auto"/>
                <w:kern w:val="2"/>
                <w:sz w:val="21"/>
                <w:szCs w:val="21"/>
                <w:lang w:val="en-US" w:eastAsia="zh-CN" w:bidi="ar-SA"/>
              </w:rPr>
              <w:t>建设性质</w:t>
            </w:r>
          </w:p>
        </w:tc>
        <w:tc>
          <w:tcPr>
            <w:tcW w:w="1147"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bCs w:val="0"/>
                <w:color w:val="auto"/>
                <w:kern w:val="2"/>
                <w:sz w:val="21"/>
                <w:szCs w:val="21"/>
                <w:lang w:val="en-US" w:eastAsia="zh-CN" w:bidi="ar-SA"/>
              </w:rPr>
            </w:pPr>
            <w:r>
              <w:rPr>
                <w:rFonts w:hint="eastAsia" w:ascii="仿宋_GB2312" w:hAnsi="仿宋_GB2312" w:eastAsia="仿宋_GB2312" w:cs="仿宋_GB2312"/>
                <w:b/>
                <w:bCs w:val="0"/>
                <w:color w:val="auto"/>
                <w:kern w:val="2"/>
                <w:sz w:val="21"/>
                <w:szCs w:val="21"/>
                <w:lang w:val="en-US" w:eastAsia="zh-CN" w:bidi="ar-SA"/>
              </w:rPr>
              <w:t>建设年限</w:t>
            </w:r>
          </w:p>
        </w:tc>
        <w:tc>
          <w:tcPr>
            <w:tcW w:w="620"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bCs w:val="0"/>
                <w:color w:val="auto"/>
                <w:kern w:val="2"/>
                <w:sz w:val="21"/>
                <w:szCs w:val="21"/>
                <w:lang w:val="en-US" w:eastAsia="zh-CN" w:bidi="ar-SA"/>
              </w:rPr>
            </w:pPr>
            <w:r>
              <w:rPr>
                <w:rFonts w:hint="eastAsia" w:ascii="仿宋_GB2312" w:hAnsi="仿宋_GB2312" w:eastAsia="仿宋_GB2312" w:cs="仿宋_GB2312"/>
                <w:b/>
                <w:bCs w:val="0"/>
                <w:color w:val="auto"/>
                <w:kern w:val="2"/>
                <w:sz w:val="21"/>
                <w:szCs w:val="21"/>
                <w:lang w:val="en-US" w:eastAsia="zh-CN" w:bidi="ar-SA"/>
              </w:rPr>
              <w:t>用地规模</w:t>
            </w:r>
          </w:p>
        </w:tc>
        <w:tc>
          <w:tcPr>
            <w:tcW w:w="741"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bCs w:val="0"/>
                <w:color w:val="auto"/>
                <w:kern w:val="2"/>
                <w:sz w:val="21"/>
                <w:szCs w:val="21"/>
                <w:lang w:val="en-US" w:eastAsia="zh-CN" w:bidi="ar-SA"/>
              </w:rPr>
            </w:pPr>
            <w:r>
              <w:rPr>
                <w:rFonts w:hint="eastAsia" w:ascii="仿宋_GB2312" w:hAnsi="仿宋_GB2312" w:eastAsia="仿宋_GB2312" w:cs="仿宋_GB2312"/>
                <w:b/>
                <w:bCs w:val="0"/>
                <w:color w:val="auto"/>
                <w:kern w:val="2"/>
                <w:sz w:val="21"/>
                <w:szCs w:val="21"/>
                <w:lang w:val="en-US" w:eastAsia="zh-CN" w:bidi="ar-SA"/>
              </w:rPr>
              <w:t>新增建设用地</w:t>
            </w:r>
          </w:p>
        </w:tc>
        <w:tc>
          <w:tcPr>
            <w:tcW w:w="1402"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bCs w:val="0"/>
                <w:color w:val="auto"/>
                <w:kern w:val="2"/>
                <w:sz w:val="21"/>
                <w:szCs w:val="21"/>
                <w:lang w:val="en-US" w:eastAsia="zh-CN" w:bidi="ar-SA"/>
              </w:rPr>
            </w:pPr>
            <w:r>
              <w:rPr>
                <w:rFonts w:hint="eastAsia" w:ascii="仿宋_GB2312" w:hAnsi="仿宋_GB2312" w:eastAsia="仿宋_GB2312" w:cs="仿宋_GB2312"/>
                <w:b/>
                <w:bCs w:val="0"/>
                <w:color w:val="auto"/>
                <w:kern w:val="2"/>
                <w:sz w:val="21"/>
                <w:szCs w:val="21"/>
                <w:lang w:val="en-US" w:eastAsia="zh-CN" w:bidi="ar-SA"/>
              </w:rPr>
              <w:t>所在地区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6" w:hRule="atLeast"/>
        </w:trPr>
        <w:tc>
          <w:tcPr>
            <w:tcW w:w="426"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1</w:t>
            </w: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交通</w:t>
            </w:r>
          </w:p>
        </w:tc>
        <w:tc>
          <w:tcPr>
            <w:tcW w:w="1854"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上犹县平富乡G220国道道路扩宽工程</w:t>
            </w:r>
          </w:p>
        </w:tc>
        <w:tc>
          <w:tcPr>
            <w:tcW w:w="732"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省级</w:t>
            </w:r>
          </w:p>
        </w:tc>
        <w:tc>
          <w:tcPr>
            <w:tcW w:w="829"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新/改建</w:t>
            </w:r>
          </w:p>
        </w:tc>
        <w:tc>
          <w:tcPr>
            <w:tcW w:w="1147"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2023-2035</w:t>
            </w:r>
          </w:p>
        </w:tc>
        <w:tc>
          <w:tcPr>
            <w:tcW w:w="620"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89.14</w:t>
            </w:r>
          </w:p>
        </w:tc>
        <w:tc>
          <w:tcPr>
            <w:tcW w:w="741"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49.69</w:t>
            </w:r>
          </w:p>
        </w:tc>
        <w:tc>
          <w:tcPr>
            <w:tcW w:w="1402"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平富乡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1" w:hRule="atLeast"/>
        </w:trPr>
        <w:tc>
          <w:tcPr>
            <w:tcW w:w="426"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w:t>
            </w: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p>
        </w:tc>
        <w:tc>
          <w:tcPr>
            <w:tcW w:w="1854"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营前镇合河村道路扩宽工程</w:t>
            </w:r>
          </w:p>
        </w:tc>
        <w:tc>
          <w:tcPr>
            <w:tcW w:w="732"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县级</w:t>
            </w:r>
          </w:p>
        </w:tc>
        <w:tc>
          <w:tcPr>
            <w:tcW w:w="829"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新/改建</w:t>
            </w:r>
          </w:p>
        </w:tc>
        <w:tc>
          <w:tcPr>
            <w:tcW w:w="1147"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2023-2035</w:t>
            </w:r>
          </w:p>
        </w:tc>
        <w:tc>
          <w:tcPr>
            <w:tcW w:w="620"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0.39</w:t>
            </w:r>
          </w:p>
        </w:tc>
        <w:tc>
          <w:tcPr>
            <w:tcW w:w="741"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0.33</w:t>
            </w:r>
          </w:p>
        </w:tc>
        <w:tc>
          <w:tcPr>
            <w:tcW w:w="1402"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平富乡（庄前村）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6" w:hRule="atLeast"/>
        </w:trPr>
        <w:tc>
          <w:tcPr>
            <w:tcW w:w="426"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3</w:t>
            </w: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p>
        </w:tc>
        <w:tc>
          <w:tcPr>
            <w:tcW w:w="1854"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上犹县平富乡上寨至横坑公路拓宽工程</w:t>
            </w:r>
          </w:p>
        </w:tc>
        <w:tc>
          <w:tcPr>
            <w:tcW w:w="732"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县级</w:t>
            </w:r>
          </w:p>
        </w:tc>
        <w:tc>
          <w:tcPr>
            <w:tcW w:w="829"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新/改建</w:t>
            </w:r>
          </w:p>
        </w:tc>
        <w:tc>
          <w:tcPr>
            <w:tcW w:w="1147"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2023-2035</w:t>
            </w:r>
          </w:p>
        </w:tc>
        <w:tc>
          <w:tcPr>
            <w:tcW w:w="620"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1.12</w:t>
            </w:r>
          </w:p>
        </w:tc>
        <w:tc>
          <w:tcPr>
            <w:tcW w:w="741"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0.87</w:t>
            </w:r>
          </w:p>
        </w:tc>
        <w:tc>
          <w:tcPr>
            <w:tcW w:w="1402"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平富乡（上寨、横坑村）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6" w:hRule="atLeast"/>
        </w:trPr>
        <w:tc>
          <w:tcPr>
            <w:tcW w:w="426"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4</w:t>
            </w: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p>
        </w:tc>
        <w:tc>
          <w:tcPr>
            <w:tcW w:w="1854"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上犹县平富乡庄前村部至G220国道道路扩宽工程</w:t>
            </w:r>
          </w:p>
        </w:tc>
        <w:tc>
          <w:tcPr>
            <w:tcW w:w="732"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县级</w:t>
            </w:r>
          </w:p>
        </w:tc>
        <w:tc>
          <w:tcPr>
            <w:tcW w:w="829"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新/改建</w:t>
            </w:r>
          </w:p>
        </w:tc>
        <w:tc>
          <w:tcPr>
            <w:tcW w:w="1147"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2023-2025</w:t>
            </w:r>
          </w:p>
        </w:tc>
        <w:tc>
          <w:tcPr>
            <w:tcW w:w="620"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1.76</w:t>
            </w:r>
          </w:p>
        </w:tc>
        <w:tc>
          <w:tcPr>
            <w:tcW w:w="741"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0.22</w:t>
            </w:r>
          </w:p>
        </w:tc>
        <w:tc>
          <w:tcPr>
            <w:tcW w:w="1402"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平富乡（庄前村）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15" w:hRule="atLeast"/>
        </w:trPr>
        <w:tc>
          <w:tcPr>
            <w:tcW w:w="426"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5</w:t>
            </w: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p>
        </w:tc>
        <w:tc>
          <w:tcPr>
            <w:tcW w:w="1854"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上犹县农村道路升级改造工程</w:t>
            </w:r>
          </w:p>
        </w:tc>
        <w:tc>
          <w:tcPr>
            <w:tcW w:w="732"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县级</w:t>
            </w:r>
          </w:p>
        </w:tc>
        <w:tc>
          <w:tcPr>
            <w:tcW w:w="829"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新/改/扩建</w:t>
            </w:r>
          </w:p>
        </w:tc>
        <w:tc>
          <w:tcPr>
            <w:tcW w:w="1147"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2023-2035</w:t>
            </w:r>
          </w:p>
        </w:tc>
        <w:tc>
          <w:tcPr>
            <w:tcW w:w="620" w:type="dxa"/>
            <w:tcBorders>
              <w:top w:val="single" w:color="000000" w:sz="4" w:space="0"/>
              <w:left w:val="single" w:color="000000" w:sz="4" w:space="0"/>
              <w:bottom w:val="single" w:color="000000" w:sz="4" w:space="0"/>
              <w:right w:val="single" w:color="000000" w:sz="4" w:space="0"/>
            </w:tcBorders>
            <w:shd w:val="clear" w:color="auto" w:fill="FFFFFF"/>
            <w:noWrap/>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p>
        </w:tc>
        <w:tc>
          <w:tcPr>
            <w:tcW w:w="1402"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default"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平富乡（庄坑村、上寨村）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1" w:hRule="atLeast"/>
        </w:trPr>
        <w:tc>
          <w:tcPr>
            <w:tcW w:w="426"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6</w:t>
            </w: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p>
        </w:tc>
        <w:tc>
          <w:tcPr>
            <w:tcW w:w="1854"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虎头道路硬化工程</w:t>
            </w:r>
          </w:p>
        </w:tc>
        <w:tc>
          <w:tcPr>
            <w:tcW w:w="732"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县级</w:t>
            </w:r>
          </w:p>
        </w:tc>
        <w:tc>
          <w:tcPr>
            <w:tcW w:w="829"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新建</w:t>
            </w:r>
          </w:p>
        </w:tc>
        <w:tc>
          <w:tcPr>
            <w:tcW w:w="1147"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2023-2035</w:t>
            </w:r>
          </w:p>
        </w:tc>
        <w:tc>
          <w:tcPr>
            <w:tcW w:w="620"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0.55</w:t>
            </w:r>
          </w:p>
        </w:tc>
        <w:tc>
          <w:tcPr>
            <w:tcW w:w="741"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p>
        </w:tc>
        <w:tc>
          <w:tcPr>
            <w:tcW w:w="1402"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平富乡（向前村、信地村）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9" w:hRule="atLeast"/>
        </w:trPr>
        <w:tc>
          <w:tcPr>
            <w:tcW w:w="426"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7</w:t>
            </w: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p>
        </w:tc>
        <w:tc>
          <w:tcPr>
            <w:tcW w:w="1854"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X873平富至杰坝公路改建工程</w:t>
            </w:r>
          </w:p>
        </w:tc>
        <w:tc>
          <w:tcPr>
            <w:tcW w:w="732"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县级</w:t>
            </w:r>
          </w:p>
        </w:tc>
        <w:tc>
          <w:tcPr>
            <w:tcW w:w="829"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新/改建</w:t>
            </w:r>
          </w:p>
        </w:tc>
        <w:tc>
          <w:tcPr>
            <w:tcW w:w="1147"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2023-2025</w:t>
            </w:r>
          </w:p>
        </w:tc>
        <w:tc>
          <w:tcPr>
            <w:tcW w:w="620"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p>
        </w:tc>
        <w:tc>
          <w:tcPr>
            <w:tcW w:w="741"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p>
        </w:tc>
        <w:tc>
          <w:tcPr>
            <w:tcW w:w="1402"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平富乡（大潭村）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1" w:hRule="atLeast"/>
        </w:trPr>
        <w:tc>
          <w:tcPr>
            <w:tcW w:w="426"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8</w:t>
            </w:r>
          </w:p>
        </w:tc>
        <w:tc>
          <w:tcPr>
            <w:tcW w:w="645"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能源</w:t>
            </w:r>
          </w:p>
        </w:tc>
        <w:tc>
          <w:tcPr>
            <w:tcW w:w="1854"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上犹县各乡镇管道天然气项目</w:t>
            </w:r>
          </w:p>
        </w:tc>
        <w:tc>
          <w:tcPr>
            <w:tcW w:w="732"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县级</w:t>
            </w:r>
          </w:p>
        </w:tc>
        <w:tc>
          <w:tcPr>
            <w:tcW w:w="829"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新建</w:t>
            </w:r>
          </w:p>
        </w:tc>
        <w:tc>
          <w:tcPr>
            <w:tcW w:w="1147"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2023-2035</w:t>
            </w:r>
          </w:p>
        </w:tc>
        <w:tc>
          <w:tcPr>
            <w:tcW w:w="620" w:type="dxa"/>
            <w:tcBorders>
              <w:top w:val="single" w:color="000000" w:sz="4" w:space="0"/>
              <w:left w:val="single" w:color="000000" w:sz="4" w:space="0"/>
              <w:bottom w:val="single" w:color="000000" w:sz="4" w:space="0"/>
              <w:right w:val="single" w:color="000000" w:sz="4" w:space="0"/>
            </w:tcBorders>
            <w:shd w:val="clear" w:color="auto" w:fill="FFFFFF"/>
            <w:noWrap/>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p>
        </w:tc>
        <w:tc>
          <w:tcPr>
            <w:tcW w:w="1402"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平富乡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1" w:hRule="atLeast"/>
        </w:trPr>
        <w:tc>
          <w:tcPr>
            <w:tcW w:w="426"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9</w:t>
            </w:r>
          </w:p>
        </w:tc>
        <w:tc>
          <w:tcPr>
            <w:tcW w:w="645" w:type="dxa"/>
            <w:vMerge w:val="restart"/>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default"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水利</w:t>
            </w:r>
          </w:p>
        </w:tc>
        <w:tc>
          <w:tcPr>
            <w:tcW w:w="1854"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江西省平富中型灌区项目</w:t>
            </w:r>
          </w:p>
        </w:tc>
        <w:tc>
          <w:tcPr>
            <w:tcW w:w="732"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市级</w:t>
            </w:r>
          </w:p>
        </w:tc>
        <w:tc>
          <w:tcPr>
            <w:tcW w:w="829"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新建</w:t>
            </w:r>
          </w:p>
        </w:tc>
        <w:tc>
          <w:tcPr>
            <w:tcW w:w="1147"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2023-2035</w:t>
            </w:r>
          </w:p>
        </w:tc>
        <w:tc>
          <w:tcPr>
            <w:tcW w:w="620"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p>
        </w:tc>
        <w:tc>
          <w:tcPr>
            <w:tcW w:w="1402"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平富乡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6" w:hRule="atLeast"/>
        </w:trPr>
        <w:tc>
          <w:tcPr>
            <w:tcW w:w="426"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10</w:t>
            </w:r>
          </w:p>
        </w:tc>
        <w:tc>
          <w:tcPr>
            <w:tcW w:w="645" w:type="dxa"/>
            <w:vMerge w:val="continue"/>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p>
        </w:tc>
        <w:tc>
          <w:tcPr>
            <w:tcW w:w="1854"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上犹县燕子岩水系资源生态价值实现工程</w:t>
            </w:r>
          </w:p>
        </w:tc>
        <w:tc>
          <w:tcPr>
            <w:tcW w:w="732"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县级</w:t>
            </w:r>
          </w:p>
        </w:tc>
        <w:tc>
          <w:tcPr>
            <w:tcW w:w="829"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新建</w:t>
            </w:r>
          </w:p>
        </w:tc>
        <w:tc>
          <w:tcPr>
            <w:tcW w:w="1147"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2023-2035</w:t>
            </w: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0.46</w:t>
            </w: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0.46</w:t>
            </w:r>
          </w:p>
        </w:tc>
        <w:tc>
          <w:tcPr>
            <w:tcW w:w="1402"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平富乡向前村、信地村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1" w:hRule="atLeast"/>
        </w:trPr>
        <w:tc>
          <w:tcPr>
            <w:tcW w:w="426"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11</w:t>
            </w:r>
          </w:p>
        </w:tc>
        <w:tc>
          <w:tcPr>
            <w:tcW w:w="645" w:type="dxa"/>
            <w:vMerge w:val="restart"/>
            <w:tcBorders>
              <w:top w:val="single" w:color="000000" w:sz="4" w:space="0"/>
              <w:left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民生</w:t>
            </w:r>
          </w:p>
        </w:tc>
        <w:tc>
          <w:tcPr>
            <w:tcW w:w="1854"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平富乡基础设施建设项目</w:t>
            </w:r>
          </w:p>
        </w:tc>
        <w:tc>
          <w:tcPr>
            <w:tcW w:w="732"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县级</w:t>
            </w:r>
          </w:p>
        </w:tc>
        <w:tc>
          <w:tcPr>
            <w:tcW w:w="829"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default"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新/改/扩建</w:t>
            </w:r>
          </w:p>
        </w:tc>
        <w:tc>
          <w:tcPr>
            <w:tcW w:w="1147" w:type="dxa"/>
            <w:tcBorders>
              <w:top w:val="single" w:color="000000" w:sz="4" w:space="0"/>
              <w:left w:val="single" w:color="000000" w:sz="4" w:space="0"/>
              <w:bottom w:val="single" w:color="000000" w:sz="4" w:space="0"/>
              <w:right w:val="single" w:color="000000" w:sz="4" w:space="0"/>
            </w:tcBorders>
            <w:shd w:val="clear" w:color="auto" w:fill="FFFFFF"/>
            <w:noWrap/>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2023-2035</w:t>
            </w:r>
          </w:p>
        </w:tc>
        <w:tc>
          <w:tcPr>
            <w:tcW w:w="620" w:type="dxa"/>
            <w:tcBorders>
              <w:top w:val="single" w:color="000000" w:sz="4" w:space="0"/>
              <w:left w:val="single" w:color="000000" w:sz="4" w:space="0"/>
              <w:bottom w:val="single" w:color="000000" w:sz="4" w:space="0"/>
              <w:right w:val="single" w:color="000000" w:sz="4" w:space="0"/>
            </w:tcBorders>
            <w:shd w:val="clear" w:color="auto" w:fill="FFFFFF"/>
            <w:noWrap/>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p>
        </w:tc>
        <w:tc>
          <w:tcPr>
            <w:tcW w:w="1402"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平富乡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1" w:hRule="atLeast"/>
        </w:trPr>
        <w:tc>
          <w:tcPr>
            <w:tcW w:w="426"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default"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12</w:t>
            </w:r>
          </w:p>
        </w:tc>
        <w:tc>
          <w:tcPr>
            <w:tcW w:w="645" w:type="dxa"/>
            <w:vMerge w:val="continue"/>
            <w:tcBorders>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p>
        </w:tc>
        <w:tc>
          <w:tcPr>
            <w:tcW w:w="1854"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殡葬设施</w:t>
            </w:r>
          </w:p>
        </w:tc>
        <w:tc>
          <w:tcPr>
            <w:tcW w:w="732"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乡镇</w:t>
            </w:r>
          </w:p>
        </w:tc>
        <w:tc>
          <w:tcPr>
            <w:tcW w:w="829"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新/改/扩建</w:t>
            </w:r>
          </w:p>
        </w:tc>
        <w:tc>
          <w:tcPr>
            <w:tcW w:w="1147" w:type="dxa"/>
            <w:tcBorders>
              <w:top w:val="single" w:color="000000" w:sz="4" w:space="0"/>
              <w:left w:val="single" w:color="000000" w:sz="4" w:space="0"/>
              <w:bottom w:val="single" w:color="000000" w:sz="4" w:space="0"/>
              <w:right w:val="single" w:color="000000" w:sz="4" w:space="0"/>
            </w:tcBorders>
            <w:shd w:val="clear" w:color="auto" w:fill="FFFFFF"/>
            <w:noWrap/>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2023-2035</w:t>
            </w:r>
          </w:p>
        </w:tc>
        <w:tc>
          <w:tcPr>
            <w:tcW w:w="620" w:type="dxa"/>
            <w:tcBorders>
              <w:top w:val="single" w:color="000000" w:sz="4" w:space="0"/>
              <w:left w:val="single" w:color="000000" w:sz="4" w:space="0"/>
              <w:bottom w:val="single" w:color="000000" w:sz="4" w:space="0"/>
              <w:right w:val="single" w:color="000000" w:sz="4" w:space="0"/>
            </w:tcBorders>
            <w:shd w:val="clear" w:color="auto" w:fill="FFFFFF"/>
            <w:noWrap/>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p>
        </w:tc>
        <w:tc>
          <w:tcPr>
            <w:tcW w:w="741" w:type="dxa"/>
            <w:tcBorders>
              <w:top w:val="single" w:color="000000" w:sz="4" w:space="0"/>
              <w:left w:val="single" w:color="000000" w:sz="4" w:space="0"/>
              <w:bottom w:val="single" w:color="000000" w:sz="4" w:space="0"/>
              <w:right w:val="single" w:color="000000" w:sz="4" w:space="0"/>
            </w:tcBorders>
            <w:shd w:val="clear" w:color="auto" w:fill="FFFFFF"/>
            <w:noWrap/>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p>
        </w:tc>
        <w:tc>
          <w:tcPr>
            <w:tcW w:w="1402"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default"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庄坑村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5" w:hRule="atLeast"/>
        </w:trPr>
        <w:tc>
          <w:tcPr>
            <w:tcW w:w="426"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13</w:t>
            </w:r>
          </w:p>
        </w:tc>
        <w:tc>
          <w:tcPr>
            <w:tcW w:w="645" w:type="dxa"/>
            <w:vMerge w:val="restart"/>
            <w:tcBorders>
              <w:top w:val="single" w:color="000000" w:sz="4" w:space="0"/>
              <w:left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产业</w:t>
            </w:r>
          </w:p>
        </w:tc>
        <w:tc>
          <w:tcPr>
            <w:tcW w:w="185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rPr>
                <w:rFonts w:hint="default"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燕子岩风景区旅游服务设施</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县级</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p>
        </w:tc>
        <w:tc>
          <w:tcPr>
            <w:tcW w:w="1147"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2023-2035</w:t>
            </w: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3.6</w:t>
            </w: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3.6</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向前村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5" w:hRule="atLeast"/>
        </w:trPr>
        <w:tc>
          <w:tcPr>
            <w:tcW w:w="426"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14</w:t>
            </w:r>
          </w:p>
        </w:tc>
        <w:tc>
          <w:tcPr>
            <w:tcW w:w="645" w:type="dxa"/>
            <w:vMerge w:val="continue"/>
            <w:tcBorders>
              <w:left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p>
        </w:tc>
        <w:tc>
          <w:tcPr>
            <w:tcW w:w="185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rPr>
                <w:rFonts w:hint="default"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暖塘温泉康养项目配套设施</w:t>
            </w:r>
          </w:p>
        </w:tc>
        <w:tc>
          <w:tcPr>
            <w:tcW w:w="732"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县级</w:t>
            </w:r>
          </w:p>
        </w:tc>
        <w:tc>
          <w:tcPr>
            <w:tcW w:w="829"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新建</w:t>
            </w:r>
          </w:p>
        </w:tc>
        <w:tc>
          <w:tcPr>
            <w:tcW w:w="1147"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2023-2035</w:t>
            </w: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15.49</w:t>
            </w: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1.14</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上寨村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1" w:hRule="atLeast"/>
        </w:trPr>
        <w:tc>
          <w:tcPr>
            <w:tcW w:w="426"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15</w:t>
            </w:r>
          </w:p>
        </w:tc>
        <w:tc>
          <w:tcPr>
            <w:tcW w:w="645" w:type="dxa"/>
            <w:vMerge w:val="continue"/>
            <w:tcBorders>
              <w:left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p>
        </w:tc>
        <w:tc>
          <w:tcPr>
            <w:tcW w:w="185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rPr>
                <w:rFonts w:hint="default"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燕子岩风景区旅游配套设施（民宿、餐饮等）</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乡镇级</w:t>
            </w:r>
          </w:p>
        </w:tc>
        <w:tc>
          <w:tcPr>
            <w:tcW w:w="829"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新建</w:t>
            </w:r>
          </w:p>
        </w:tc>
        <w:tc>
          <w:tcPr>
            <w:tcW w:w="1147"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2023-2035</w:t>
            </w: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2.5</w:t>
            </w: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1.07</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向前村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1" w:hRule="atLeast"/>
        </w:trPr>
        <w:tc>
          <w:tcPr>
            <w:tcW w:w="426"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16</w:t>
            </w:r>
          </w:p>
        </w:tc>
        <w:tc>
          <w:tcPr>
            <w:tcW w:w="645" w:type="dxa"/>
            <w:vMerge w:val="continue"/>
            <w:tcBorders>
              <w:left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p>
        </w:tc>
        <w:tc>
          <w:tcPr>
            <w:tcW w:w="185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燕子岩风景区水厂</w:t>
            </w:r>
          </w:p>
        </w:tc>
        <w:tc>
          <w:tcPr>
            <w:tcW w:w="732"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县级</w:t>
            </w:r>
          </w:p>
        </w:tc>
        <w:tc>
          <w:tcPr>
            <w:tcW w:w="829"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新建</w:t>
            </w:r>
          </w:p>
        </w:tc>
        <w:tc>
          <w:tcPr>
            <w:tcW w:w="1147"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2023-2035</w:t>
            </w: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0.24</w:t>
            </w: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0.24</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向前村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1" w:hRule="atLeast"/>
        </w:trPr>
        <w:tc>
          <w:tcPr>
            <w:tcW w:w="426"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ind w:firstLine="0" w:firstLineChars="0"/>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17</w:t>
            </w:r>
          </w:p>
        </w:tc>
        <w:tc>
          <w:tcPr>
            <w:tcW w:w="645" w:type="dxa"/>
            <w:vMerge w:val="continue"/>
            <w:tcBorders>
              <w:left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ind w:firstLine="0" w:firstLineChars="0"/>
              <w:rPr>
                <w:rFonts w:hint="eastAsia" w:ascii="仿宋_GB2312" w:hAnsi="仿宋_GB2312" w:eastAsia="仿宋_GB2312" w:cs="仿宋_GB2312"/>
                <w:b w:val="0"/>
                <w:bCs/>
                <w:color w:val="auto"/>
                <w:kern w:val="2"/>
                <w:sz w:val="21"/>
                <w:szCs w:val="21"/>
                <w:lang w:val="en-US" w:eastAsia="zh-CN" w:bidi="ar-SA"/>
              </w:rPr>
            </w:pPr>
          </w:p>
        </w:tc>
        <w:tc>
          <w:tcPr>
            <w:tcW w:w="185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ind w:firstLine="0" w:firstLineChars="0"/>
              <w:jc w:val="both"/>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集镇建设</w:t>
            </w:r>
          </w:p>
        </w:tc>
        <w:tc>
          <w:tcPr>
            <w:tcW w:w="732"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ind w:firstLine="0" w:firstLineChars="0"/>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乡镇级</w:t>
            </w:r>
          </w:p>
        </w:tc>
        <w:tc>
          <w:tcPr>
            <w:tcW w:w="829"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ind w:firstLine="0" w:firstLineChars="0"/>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新建</w:t>
            </w:r>
          </w:p>
        </w:tc>
        <w:tc>
          <w:tcPr>
            <w:tcW w:w="1147"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ind w:firstLine="0" w:firstLineChars="0"/>
              <w:rPr>
                <w:rFonts w:hint="eastAsia" w:ascii="Times New Roman" w:hAnsi="Times New Roman" w:eastAsia="仿宋_GB2312" w:cs="微软雅黑"/>
                <w:bCs/>
                <w:color w:val="auto"/>
                <w:kern w:val="0"/>
                <w:sz w:val="21"/>
                <w:szCs w:val="21"/>
                <w:lang w:val="en-US" w:eastAsia="zh-CN" w:bidi="zh-CN"/>
              </w:rPr>
            </w:pP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ind w:firstLine="0" w:firstLineChars="0"/>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3.21</w:t>
            </w: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ind w:firstLine="0" w:firstLineChars="0"/>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3.21</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ind w:firstLine="0" w:firstLineChars="0"/>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平富村、庄前村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1" w:hRule="atLeast"/>
        </w:trPr>
        <w:tc>
          <w:tcPr>
            <w:tcW w:w="426"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default"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18</w:t>
            </w:r>
          </w:p>
        </w:tc>
        <w:tc>
          <w:tcPr>
            <w:tcW w:w="645" w:type="dxa"/>
            <w:vMerge w:val="continue"/>
            <w:tcBorders>
              <w:left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p>
        </w:tc>
        <w:tc>
          <w:tcPr>
            <w:tcW w:w="1854"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燕子岩风景区停车场</w:t>
            </w:r>
          </w:p>
        </w:tc>
        <w:tc>
          <w:tcPr>
            <w:tcW w:w="732"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县级</w:t>
            </w:r>
          </w:p>
        </w:tc>
        <w:tc>
          <w:tcPr>
            <w:tcW w:w="829"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新建</w:t>
            </w:r>
          </w:p>
        </w:tc>
        <w:tc>
          <w:tcPr>
            <w:tcW w:w="1147"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2023-2035</w:t>
            </w: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1.39</w:t>
            </w: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1.39</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向前村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1" w:hRule="atLeast"/>
        </w:trPr>
        <w:tc>
          <w:tcPr>
            <w:tcW w:w="426"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default"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19</w:t>
            </w:r>
          </w:p>
        </w:tc>
        <w:tc>
          <w:tcPr>
            <w:tcW w:w="645" w:type="dxa"/>
            <w:vMerge w:val="continue"/>
            <w:tcBorders>
              <w:left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p>
        </w:tc>
        <w:tc>
          <w:tcPr>
            <w:tcW w:w="1854"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向前村乡村振兴项目</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乡镇级</w:t>
            </w:r>
          </w:p>
        </w:tc>
        <w:tc>
          <w:tcPr>
            <w:tcW w:w="829"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新建</w:t>
            </w:r>
          </w:p>
        </w:tc>
        <w:tc>
          <w:tcPr>
            <w:tcW w:w="1147"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2023-2035</w:t>
            </w: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0.38</w:t>
            </w: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0.38</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向前村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91" w:hRule="atLeast"/>
        </w:trPr>
        <w:tc>
          <w:tcPr>
            <w:tcW w:w="426"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20</w:t>
            </w:r>
          </w:p>
        </w:tc>
        <w:tc>
          <w:tcPr>
            <w:tcW w:w="645" w:type="dxa"/>
            <w:vMerge w:val="continue"/>
            <w:tcBorders>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p>
        </w:tc>
        <w:tc>
          <w:tcPr>
            <w:tcW w:w="1854" w:type="dxa"/>
            <w:tcBorders>
              <w:top w:val="single" w:color="000000" w:sz="4" w:space="0"/>
              <w:left w:val="single" w:color="000000" w:sz="4" w:space="0"/>
              <w:bottom w:val="single" w:color="000000" w:sz="4" w:space="0"/>
              <w:right w:val="single" w:color="000000" w:sz="4" w:space="0"/>
            </w:tcBorders>
            <w:shd w:val="clear" w:color="auto" w:fill="auto"/>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平富村乡村振兴项目</w:t>
            </w:r>
          </w:p>
        </w:tc>
        <w:tc>
          <w:tcPr>
            <w:tcW w:w="732"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乡镇级</w:t>
            </w:r>
          </w:p>
        </w:tc>
        <w:tc>
          <w:tcPr>
            <w:tcW w:w="829"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新建</w:t>
            </w:r>
          </w:p>
        </w:tc>
        <w:tc>
          <w:tcPr>
            <w:tcW w:w="1147"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2023-2035</w:t>
            </w:r>
          </w:p>
        </w:tc>
        <w:tc>
          <w:tcPr>
            <w:tcW w:w="620"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0.3</w:t>
            </w:r>
          </w:p>
        </w:tc>
        <w:tc>
          <w:tcPr>
            <w:tcW w:w="741"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 xml:space="preserve">0.30 </w:t>
            </w:r>
          </w:p>
        </w:tc>
        <w:tc>
          <w:tcPr>
            <w:tcW w:w="1402"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向前村</w:t>
            </w:r>
          </w:p>
        </w:tc>
      </w:tr>
    </w:tbl>
    <w:p>
      <w:pPr>
        <w:pStyle w:val="11"/>
        <w:numPr>
          <w:ilvl w:val="0"/>
          <w:numId w:val="0"/>
        </w:numPr>
        <w:ind w:leftChars="200"/>
        <w:jc w:val="center"/>
        <w:rPr>
          <w:rFonts w:hint="eastAsia" w:ascii="Times New Roman" w:hAnsi="Times New Roman" w:eastAsia="仿宋_GB2312" w:cs="微软雅黑"/>
          <w:b/>
          <w:bCs w:val="0"/>
          <w:color w:val="auto"/>
          <w:kern w:val="0"/>
          <w:sz w:val="21"/>
          <w:szCs w:val="21"/>
          <w:lang w:val="en-US" w:eastAsia="zh-CN" w:bidi="zh-CN"/>
        </w:rPr>
      </w:pPr>
      <w:r>
        <w:rPr>
          <w:rFonts w:hint="eastAsia" w:ascii="Times New Roman" w:hAnsi="Times New Roman" w:eastAsia="仿宋_GB2312" w:cs="微软雅黑"/>
          <w:b/>
          <w:bCs w:val="0"/>
          <w:color w:val="auto"/>
          <w:kern w:val="0"/>
          <w:sz w:val="21"/>
          <w:szCs w:val="21"/>
          <w:lang w:val="en-US" w:eastAsia="zh-CN" w:bidi="zh-CN"/>
        </w:rPr>
        <w:t>表14-4选址不确定性项目情况表</w:t>
      </w:r>
    </w:p>
    <w:tbl>
      <w:tblPr>
        <w:tblStyle w:val="19"/>
        <w:tblW w:w="809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52"/>
        <w:gridCol w:w="781"/>
        <w:gridCol w:w="1818"/>
        <w:gridCol w:w="826"/>
        <w:gridCol w:w="1041"/>
        <w:gridCol w:w="1143"/>
        <w:gridCol w:w="18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652" w:type="dxa"/>
            <w:tcBorders>
              <w:top w:val="single" w:color="000000" w:sz="4" w:space="0"/>
              <w:left w:val="single" w:color="000000" w:sz="4" w:space="0"/>
              <w:bottom w:val="single" w:color="000000" w:sz="4" w:space="0"/>
              <w:right w:val="single" w:color="000000" w:sz="4" w:space="0"/>
            </w:tcBorders>
            <w:shd w:val="clear" w:color="auto" w:fill="FFFFFF"/>
            <w:noWrap/>
            <w:vAlign w:val="bottom"/>
          </w:tcPr>
          <w:p>
            <w:pPr>
              <w:pStyle w:val="31"/>
              <w:pageBreakBefore w:val="0"/>
              <w:kinsoku/>
              <w:wordWrap/>
              <w:overflowPunct/>
              <w:topLinePunct w:val="0"/>
              <w:bidi w:val="0"/>
              <w:spacing w:line="480" w:lineRule="exact"/>
              <w:jc w:val="both"/>
              <w:rPr>
                <w:rFonts w:hint="eastAsia" w:ascii="仿宋_GB2312" w:hAnsi="仿宋_GB2312" w:eastAsia="仿宋_GB2312" w:cs="仿宋_GB2312"/>
                <w:b/>
                <w:bCs w:val="0"/>
                <w:color w:val="auto"/>
                <w:kern w:val="2"/>
                <w:sz w:val="21"/>
                <w:szCs w:val="21"/>
                <w:lang w:val="en-US" w:eastAsia="zh-CN" w:bidi="ar-SA"/>
              </w:rPr>
            </w:pPr>
            <w:r>
              <w:rPr>
                <w:rFonts w:hint="eastAsia" w:ascii="仿宋_GB2312" w:hAnsi="仿宋_GB2312" w:eastAsia="仿宋_GB2312" w:cs="仿宋_GB2312"/>
                <w:b/>
                <w:bCs w:val="0"/>
                <w:color w:val="auto"/>
                <w:kern w:val="2"/>
                <w:sz w:val="21"/>
                <w:szCs w:val="21"/>
                <w:lang w:val="en-US" w:eastAsia="zh-CN" w:bidi="ar-SA"/>
              </w:rPr>
              <w:t>序号</w:t>
            </w:r>
          </w:p>
        </w:tc>
        <w:tc>
          <w:tcPr>
            <w:tcW w:w="7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1"/>
              <w:pageBreakBefore w:val="0"/>
              <w:kinsoku/>
              <w:wordWrap/>
              <w:overflowPunct/>
              <w:topLinePunct w:val="0"/>
              <w:bidi w:val="0"/>
              <w:spacing w:line="480" w:lineRule="exact"/>
              <w:rPr>
                <w:rFonts w:hint="eastAsia" w:ascii="仿宋_GB2312" w:hAnsi="仿宋_GB2312" w:eastAsia="仿宋_GB2312" w:cs="仿宋_GB2312"/>
                <w:b/>
                <w:bCs w:val="0"/>
                <w:color w:val="auto"/>
                <w:kern w:val="2"/>
                <w:sz w:val="21"/>
                <w:szCs w:val="21"/>
                <w:lang w:val="en-US" w:eastAsia="zh-CN" w:bidi="ar-SA"/>
              </w:rPr>
            </w:pPr>
            <w:r>
              <w:rPr>
                <w:rFonts w:hint="eastAsia" w:ascii="仿宋_GB2312" w:hAnsi="仿宋_GB2312" w:eastAsia="仿宋_GB2312" w:cs="仿宋_GB2312"/>
                <w:b/>
                <w:bCs w:val="0"/>
                <w:color w:val="auto"/>
                <w:kern w:val="2"/>
                <w:sz w:val="21"/>
                <w:szCs w:val="21"/>
                <w:lang w:val="en-US" w:eastAsia="zh-CN" w:bidi="ar-SA"/>
              </w:rPr>
              <w:t>项目类型</w:t>
            </w:r>
          </w:p>
        </w:tc>
        <w:tc>
          <w:tcPr>
            <w:tcW w:w="18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1"/>
              <w:pageBreakBefore w:val="0"/>
              <w:kinsoku/>
              <w:wordWrap/>
              <w:overflowPunct/>
              <w:topLinePunct w:val="0"/>
              <w:bidi w:val="0"/>
              <w:spacing w:line="480" w:lineRule="exact"/>
              <w:rPr>
                <w:rFonts w:hint="eastAsia" w:ascii="仿宋_GB2312" w:hAnsi="仿宋_GB2312" w:eastAsia="仿宋_GB2312" w:cs="仿宋_GB2312"/>
                <w:b/>
                <w:bCs w:val="0"/>
                <w:color w:val="auto"/>
                <w:kern w:val="2"/>
                <w:sz w:val="21"/>
                <w:szCs w:val="21"/>
                <w:lang w:val="en-US" w:eastAsia="zh-CN" w:bidi="ar-SA"/>
              </w:rPr>
            </w:pPr>
            <w:r>
              <w:rPr>
                <w:rFonts w:hint="eastAsia" w:ascii="仿宋_GB2312" w:hAnsi="仿宋_GB2312" w:eastAsia="仿宋_GB2312" w:cs="仿宋_GB2312"/>
                <w:b/>
                <w:bCs w:val="0"/>
                <w:color w:val="auto"/>
                <w:kern w:val="2"/>
                <w:sz w:val="21"/>
                <w:szCs w:val="21"/>
                <w:lang w:val="en-US" w:eastAsia="zh-CN" w:bidi="ar-SA"/>
              </w:rPr>
              <w:t>项目名称</w:t>
            </w:r>
          </w:p>
        </w:tc>
        <w:tc>
          <w:tcPr>
            <w:tcW w:w="8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1"/>
              <w:pageBreakBefore w:val="0"/>
              <w:kinsoku/>
              <w:wordWrap/>
              <w:overflowPunct/>
              <w:topLinePunct w:val="0"/>
              <w:bidi w:val="0"/>
              <w:spacing w:line="480" w:lineRule="exact"/>
              <w:rPr>
                <w:rFonts w:hint="eastAsia" w:ascii="仿宋_GB2312" w:hAnsi="仿宋_GB2312" w:eastAsia="仿宋_GB2312" w:cs="仿宋_GB2312"/>
                <w:b/>
                <w:bCs w:val="0"/>
                <w:color w:val="auto"/>
                <w:kern w:val="2"/>
                <w:sz w:val="21"/>
                <w:szCs w:val="21"/>
                <w:lang w:val="en-US" w:eastAsia="zh-CN" w:bidi="ar-SA"/>
              </w:rPr>
            </w:pPr>
            <w:r>
              <w:rPr>
                <w:rFonts w:hint="eastAsia" w:ascii="仿宋_GB2312" w:hAnsi="仿宋_GB2312" w:eastAsia="仿宋_GB2312" w:cs="仿宋_GB2312"/>
                <w:b/>
                <w:bCs w:val="0"/>
                <w:color w:val="auto"/>
                <w:kern w:val="2"/>
                <w:sz w:val="21"/>
                <w:szCs w:val="21"/>
                <w:lang w:val="en-US" w:eastAsia="zh-CN" w:bidi="ar-SA"/>
              </w:rPr>
              <w:t>项目级别</w:t>
            </w:r>
          </w:p>
        </w:tc>
        <w:tc>
          <w:tcPr>
            <w:tcW w:w="104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1"/>
              <w:pageBreakBefore w:val="0"/>
              <w:kinsoku/>
              <w:wordWrap/>
              <w:overflowPunct/>
              <w:topLinePunct w:val="0"/>
              <w:bidi w:val="0"/>
              <w:spacing w:line="480" w:lineRule="exact"/>
              <w:rPr>
                <w:rFonts w:hint="eastAsia" w:ascii="仿宋_GB2312" w:hAnsi="仿宋_GB2312" w:eastAsia="仿宋_GB2312" w:cs="仿宋_GB2312"/>
                <w:b/>
                <w:bCs w:val="0"/>
                <w:color w:val="auto"/>
                <w:kern w:val="2"/>
                <w:sz w:val="21"/>
                <w:szCs w:val="21"/>
                <w:lang w:val="en-US" w:eastAsia="zh-CN" w:bidi="ar-SA"/>
              </w:rPr>
            </w:pPr>
            <w:r>
              <w:rPr>
                <w:rFonts w:hint="eastAsia" w:ascii="仿宋_GB2312" w:hAnsi="仿宋_GB2312" w:eastAsia="仿宋_GB2312" w:cs="仿宋_GB2312"/>
                <w:b/>
                <w:bCs w:val="0"/>
                <w:color w:val="auto"/>
                <w:kern w:val="2"/>
                <w:sz w:val="21"/>
                <w:szCs w:val="21"/>
                <w:lang w:val="en-US" w:eastAsia="zh-CN" w:bidi="ar-SA"/>
              </w:rPr>
              <w:t>建设性质</w:t>
            </w:r>
          </w:p>
        </w:tc>
        <w:tc>
          <w:tcPr>
            <w:tcW w:w="1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1"/>
              <w:pageBreakBefore w:val="0"/>
              <w:kinsoku/>
              <w:wordWrap/>
              <w:overflowPunct/>
              <w:topLinePunct w:val="0"/>
              <w:bidi w:val="0"/>
              <w:spacing w:line="480" w:lineRule="exact"/>
              <w:rPr>
                <w:rFonts w:hint="eastAsia" w:ascii="仿宋_GB2312" w:hAnsi="仿宋_GB2312" w:eastAsia="仿宋_GB2312" w:cs="仿宋_GB2312"/>
                <w:b/>
                <w:bCs w:val="0"/>
                <w:color w:val="auto"/>
                <w:kern w:val="2"/>
                <w:sz w:val="21"/>
                <w:szCs w:val="21"/>
                <w:lang w:val="en-US" w:eastAsia="zh-CN" w:bidi="ar-SA"/>
              </w:rPr>
            </w:pPr>
            <w:r>
              <w:rPr>
                <w:rFonts w:hint="eastAsia" w:ascii="仿宋_GB2312" w:hAnsi="仿宋_GB2312" w:eastAsia="仿宋_GB2312" w:cs="仿宋_GB2312"/>
                <w:b/>
                <w:bCs w:val="0"/>
                <w:color w:val="auto"/>
                <w:kern w:val="2"/>
                <w:sz w:val="21"/>
                <w:szCs w:val="21"/>
                <w:lang w:val="en-US" w:eastAsia="zh-CN" w:bidi="ar-SA"/>
              </w:rPr>
              <w:t>建设年限</w:t>
            </w:r>
          </w:p>
        </w:tc>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1"/>
              <w:pageBreakBefore w:val="0"/>
              <w:kinsoku/>
              <w:wordWrap/>
              <w:overflowPunct/>
              <w:topLinePunct w:val="0"/>
              <w:bidi w:val="0"/>
              <w:spacing w:line="480" w:lineRule="exact"/>
              <w:rPr>
                <w:rFonts w:hint="eastAsia" w:ascii="仿宋_GB2312" w:hAnsi="仿宋_GB2312" w:eastAsia="仿宋_GB2312" w:cs="仿宋_GB2312"/>
                <w:b/>
                <w:bCs w:val="0"/>
                <w:color w:val="auto"/>
                <w:kern w:val="2"/>
                <w:sz w:val="21"/>
                <w:szCs w:val="21"/>
                <w:lang w:val="en-US" w:eastAsia="zh-CN" w:bidi="ar-SA"/>
              </w:rPr>
            </w:pPr>
            <w:r>
              <w:rPr>
                <w:rFonts w:hint="eastAsia" w:ascii="仿宋_GB2312" w:hAnsi="仿宋_GB2312" w:eastAsia="仿宋_GB2312" w:cs="仿宋_GB2312"/>
                <w:b/>
                <w:bCs w:val="0"/>
                <w:color w:val="auto"/>
                <w:kern w:val="2"/>
                <w:sz w:val="21"/>
                <w:szCs w:val="21"/>
                <w:lang w:val="en-US" w:eastAsia="zh-CN" w:bidi="ar-SA"/>
              </w:rPr>
              <w:t>所在地区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652"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1</w:t>
            </w:r>
          </w:p>
        </w:tc>
        <w:tc>
          <w:tcPr>
            <w:tcW w:w="78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电力</w:t>
            </w:r>
          </w:p>
        </w:tc>
        <w:tc>
          <w:tcPr>
            <w:tcW w:w="18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平富乡35kv变电站项目</w:t>
            </w:r>
          </w:p>
        </w:tc>
        <w:tc>
          <w:tcPr>
            <w:tcW w:w="8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县级</w:t>
            </w:r>
          </w:p>
        </w:tc>
        <w:tc>
          <w:tcPr>
            <w:tcW w:w="104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新建</w:t>
            </w:r>
          </w:p>
        </w:tc>
        <w:tc>
          <w:tcPr>
            <w:tcW w:w="1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2023-2035</w:t>
            </w:r>
          </w:p>
        </w:tc>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平富乡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w:t>
            </w:r>
          </w:p>
        </w:tc>
        <w:tc>
          <w:tcPr>
            <w:tcW w:w="78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31"/>
              <w:pageBreakBefore w:val="0"/>
              <w:kinsoku/>
              <w:wordWrap/>
              <w:overflowPunct/>
              <w:topLinePunct w:val="0"/>
              <w:bidi w:val="0"/>
              <w:spacing w:line="480" w:lineRule="exact"/>
              <w:jc w:val="both"/>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水利</w:t>
            </w:r>
          </w:p>
        </w:tc>
        <w:tc>
          <w:tcPr>
            <w:tcW w:w="18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上犹抽水蓄能站项目</w:t>
            </w:r>
          </w:p>
        </w:tc>
        <w:tc>
          <w:tcPr>
            <w:tcW w:w="8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市级</w:t>
            </w:r>
          </w:p>
        </w:tc>
        <w:tc>
          <w:tcPr>
            <w:tcW w:w="104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新建</w:t>
            </w:r>
          </w:p>
        </w:tc>
        <w:tc>
          <w:tcPr>
            <w:tcW w:w="1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2023-2035</w:t>
            </w:r>
          </w:p>
        </w:tc>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平富乡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3</w:t>
            </w:r>
          </w:p>
        </w:tc>
        <w:tc>
          <w:tcPr>
            <w:tcW w:w="78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p>
        </w:tc>
        <w:tc>
          <w:tcPr>
            <w:tcW w:w="18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上犹县城乡供水一体化工程</w:t>
            </w:r>
          </w:p>
        </w:tc>
        <w:tc>
          <w:tcPr>
            <w:tcW w:w="8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县级</w:t>
            </w:r>
          </w:p>
        </w:tc>
        <w:tc>
          <w:tcPr>
            <w:tcW w:w="104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新建</w:t>
            </w:r>
          </w:p>
        </w:tc>
        <w:tc>
          <w:tcPr>
            <w:tcW w:w="1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2023-2035</w:t>
            </w:r>
          </w:p>
        </w:tc>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平富乡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3"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ind w:firstLine="0" w:firstLineChars="0"/>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4</w:t>
            </w:r>
          </w:p>
        </w:tc>
        <w:tc>
          <w:tcPr>
            <w:tcW w:w="781" w:type="dxa"/>
            <w:tcBorders>
              <w:top w:val="single" w:color="000000" w:sz="4" w:space="0"/>
              <w:left w:val="single" w:color="000000" w:sz="4" w:space="0"/>
              <w:right w:val="single" w:color="000000" w:sz="4" w:space="0"/>
            </w:tcBorders>
            <w:shd w:val="clear" w:color="auto" w:fill="auto"/>
            <w:noWrap/>
            <w:vAlign w:val="top"/>
          </w:tcPr>
          <w:p>
            <w:pPr>
              <w:pStyle w:val="31"/>
              <w:pageBreakBefore w:val="0"/>
              <w:kinsoku/>
              <w:wordWrap/>
              <w:overflowPunct/>
              <w:topLinePunct w:val="0"/>
              <w:bidi w:val="0"/>
              <w:spacing w:line="480" w:lineRule="exact"/>
              <w:ind w:firstLine="0" w:firstLineChars="0"/>
              <w:rPr>
                <w:rFonts w:hint="default"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交通</w:t>
            </w:r>
          </w:p>
        </w:tc>
        <w:tc>
          <w:tcPr>
            <w:tcW w:w="1818"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ind w:firstLine="0" w:firstLineChars="0"/>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向前村至信地畲族村道路改建</w:t>
            </w:r>
          </w:p>
        </w:tc>
        <w:tc>
          <w:tcPr>
            <w:tcW w:w="826"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ind w:firstLine="0" w:firstLineChars="0"/>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乡镇级</w:t>
            </w:r>
          </w:p>
        </w:tc>
        <w:tc>
          <w:tcPr>
            <w:tcW w:w="1041"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ind w:firstLine="0" w:firstLineChars="0"/>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新/改建</w:t>
            </w:r>
          </w:p>
        </w:tc>
        <w:tc>
          <w:tcPr>
            <w:tcW w:w="1143"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ind w:firstLine="0" w:firstLineChars="0"/>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2023-2035</w:t>
            </w:r>
          </w:p>
        </w:tc>
        <w:tc>
          <w:tcPr>
            <w:tcW w:w="1835" w:type="dxa"/>
            <w:tcBorders>
              <w:top w:val="single" w:color="000000" w:sz="4" w:space="0"/>
              <w:left w:val="single" w:color="000000" w:sz="4" w:space="0"/>
              <w:bottom w:val="single" w:color="000000" w:sz="4" w:space="0"/>
              <w:right w:val="single" w:color="000000" w:sz="4" w:space="0"/>
            </w:tcBorders>
            <w:shd w:val="clear" w:color="auto" w:fill="FFFFFF"/>
            <w:vAlign w:val="top"/>
          </w:tcPr>
          <w:p>
            <w:pPr>
              <w:pStyle w:val="31"/>
              <w:pageBreakBefore w:val="0"/>
              <w:kinsoku/>
              <w:wordWrap/>
              <w:overflowPunct/>
              <w:topLinePunct w:val="0"/>
              <w:bidi w:val="0"/>
              <w:spacing w:line="480" w:lineRule="exact"/>
              <w:ind w:firstLine="0" w:firstLineChars="0"/>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平富乡向前村、信地畲族村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31"/>
              <w:pageBreakBefore w:val="0"/>
              <w:kinsoku/>
              <w:wordWrap/>
              <w:overflowPunct/>
              <w:topLinePunct w:val="0"/>
              <w:bidi w:val="0"/>
              <w:spacing w:line="480" w:lineRule="exact"/>
              <w:rPr>
                <w:rFonts w:hint="default"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5</w:t>
            </w:r>
          </w:p>
        </w:tc>
        <w:tc>
          <w:tcPr>
            <w:tcW w:w="781" w:type="dxa"/>
            <w:vMerge w:val="restart"/>
            <w:tcBorders>
              <w:top w:val="single" w:color="000000" w:sz="4" w:space="0"/>
              <w:left w:val="single" w:color="000000" w:sz="4" w:space="0"/>
              <w:right w:val="single" w:color="000000" w:sz="4" w:space="0"/>
            </w:tcBorders>
            <w:shd w:val="clear" w:color="auto" w:fill="auto"/>
            <w:noWrap/>
            <w:vAlign w:val="bottom"/>
          </w:tcPr>
          <w:p>
            <w:pPr>
              <w:pStyle w:val="31"/>
              <w:pageBreakBefore w:val="0"/>
              <w:kinsoku/>
              <w:wordWrap/>
              <w:overflowPunct/>
              <w:topLinePunct w:val="0"/>
              <w:bidi w:val="0"/>
              <w:spacing w:line="480" w:lineRule="exact"/>
              <w:rPr>
                <w:rFonts w:hint="default"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产业</w:t>
            </w:r>
          </w:p>
        </w:tc>
        <w:tc>
          <w:tcPr>
            <w:tcW w:w="18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1"/>
              <w:pageBreakBefore w:val="0"/>
              <w:kinsoku/>
              <w:wordWrap/>
              <w:overflowPunct/>
              <w:topLinePunct w:val="0"/>
              <w:bidi w:val="0"/>
              <w:spacing w:line="480" w:lineRule="exact"/>
              <w:rPr>
                <w:rFonts w:hint="default"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上寨村红色文化旅游项目</w:t>
            </w:r>
          </w:p>
        </w:tc>
        <w:tc>
          <w:tcPr>
            <w:tcW w:w="8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1"/>
              <w:pageBreakBefore w:val="0"/>
              <w:kinsoku/>
              <w:wordWrap/>
              <w:overflowPunct/>
              <w:topLinePunct w:val="0"/>
              <w:bidi w:val="0"/>
              <w:spacing w:line="480" w:lineRule="exact"/>
              <w:rPr>
                <w:rFonts w:hint="default"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乡镇级</w:t>
            </w:r>
          </w:p>
        </w:tc>
        <w:tc>
          <w:tcPr>
            <w:tcW w:w="104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新建</w:t>
            </w:r>
          </w:p>
        </w:tc>
        <w:tc>
          <w:tcPr>
            <w:tcW w:w="1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1"/>
              <w:pageBreakBefore w:val="0"/>
              <w:kinsoku/>
              <w:wordWrap/>
              <w:overflowPunct/>
              <w:topLinePunct w:val="0"/>
              <w:bidi w:val="0"/>
              <w:spacing w:line="480" w:lineRule="exact"/>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2023-2035</w:t>
            </w:r>
          </w:p>
        </w:tc>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1"/>
              <w:pageBreakBefore w:val="0"/>
              <w:kinsoku/>
              <w:wordWrap/>
              <w:overflowPunct/>
              <w:topLinePunct w:val="0"/>
              <w:bidi w:val="0"/>
              <w:spacing w:line="480" w:lineRule="exact"/>
              <w:rPr>
                <w:rFonts w:hint="default"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上寨村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2" w:hRule="atLeast"/>
        </w:trPr>
        <w:tc>
          <w:tcPr>
            <w:tcW w:w="65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pStyle w:val="31"/>
              <w:pageBreakBefore w:val="0"/>
              <w:kinsoku/>
              <w:wordWrap/>
              <w:overflowPunct/>
              <w:topLinePunct w:val="0"/>
              <w:bidi w:val="0"/>
              <w:spacing w:line="480" w:lineRule="exact"/>
              <w:rPr>
                <w:rFonts w:hint="default"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6</w:t>
            </w:r>
          </w:p>
        </w:tc>
        <w:tc>
          <w:tcPr>
            <w:tcW w:w="781" w:type="dxa"/>
            <w:vMerge w:val="continue"/>
            <w:tcBorders>
              <w:left w:val="single" w:color="000000" w:sz="4" w:space="0"/>
              <w:right w:val="single" w:color="000000" w:sz="4" w:space="0"/>
            </w:tcBorders>
            <w:shd w:val="clear" w:color="auto" w:fill="auto"/>
            <w:noWrap/>
            <w:vAlign w:val="bottom"/>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p>
        </w:tc>
        <w:tc>
          <w:tcPr>
            <w:tcW w:w="18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1"/>
              <w:pageBreakBefore w:val="0"/>
              <w:kinsoku/>
              <w:wordWrap/>
              <w:overflowPunct/>
              <w:topLinePunct w:val="0"/>
              <w:bidi w:val="0"/>
              <w:spacing w:line="480" w:lineRule="exact"/>
              <w:rPr>
                <w:rFonts w:hint="default"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向前村乡村旅游项目</w:t>
            </w:r>
          </w:p>
        </w:tc>
        <w:tc>
          <w:tcPr>
            <w:tcW w:w="8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1"/>
              <w:pageBreakBefore w:val="0"/>
              <w:kinsoku/>
              <w:wordWrap/>
              <w:overflowPunct/>
              <w:topLinePunct w:val="0"/>
              <w:bidi w:val="0"/>
              <w:spacing w:line="480" w:lineRule="exact"/>
              <w:ind w:firstLine="0" w:firstLineChars="0"/>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乡镇级</w:t>
            </w:r>
          </w:p>
        </w:tc>
        <w:tc>
          <w:tcPr>
            <w:tcW w:w="104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1"/>
              <w:pageBreakBefore w:val="0"/>
              <w:kinsoku/>
              <w:wordWrap/>
              <w:overflowPunct/>
              <w:topLinePunct w:val="0"/>
              <w:bidi w:val="0"/>
              <w:spacing w:line="480" w:lineRule="exact"/>
              <w:ind w:firstLine="0" w:firstLineChars="0"/>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新建</w:t>
            </w:r>
          </w:p>
        </w:tc>
        <w:tc>
          <w:tcPr>
            <w:tcW w:w="1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1"/>
              <w:pageBreakBefore w:val="0"/>
              <w:kinsoku/>
              <w:wordWrap/>
              <w:overflowPunct/>
              <w:topLinePunct w:val="0"/>
              <w:bidi w:val="0"/>
              <w:spacing w:line="480" w:lineRule="exact"/>
              <w:ind w:firstLine="0" w:firstLineChars="0"/>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2023-2035</w:t>
            </w:r>
          </w:p>
        </w:tc>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1"/>
              <w:pageBreakBefore w:val="0"/>
              <w:kinsoku/>
              <w:wordWrap/>
              <w:overflowPunct/>
              <w:topLinePunct w:val="0"/>
              <w:bidi w:val="0"/>
              <w:spacing w:line="480" w:lineRule="exact"/>
              <w:ind w:firstLine="0" w:firstLineChars="0"/>
              <w:rPr>
                <w:rFonts w:hint="default"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向前村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2" w:hRule="atLeast"/>
        </w:trPr>
        <w:tc>
          <w:tcPr>
            <w:tcW w:w="652" w:type="dxa"/>
            <w:tcBorders>
              <w:top w:val="single" w:color="000000" w:sz="4" w:space="0"/>
              <w:left w:val="single" w:color="000000" w:sz="4" w:space="0"/>
              <w:bottom w:val="single" w:color="auto" w:sz="4" w:space="0"/>
              <w:right w:val="single" w:color="000000" w:sz="4" w:space="0"/>
            </w:tcBorders>
            <w:shd w:val="clear" w:color="auto" w:fill="auto"/>
            <w:noWrap/>
            <w:vAlign w:val="bottom"/>
          </w:tcPr>
          <w:p>
            <w:pPr>
              <w:pStyle w:val="31"/>
              <w:pageBreakBefore w:val="0"/>
              <w:kinsoku/>
              <w:wordWrap/>
              <w:overflowPunct/>
              <w:topLinePunct w:val="0"/>
              <w:bidi w:val="0"/>
              <w:spacing w:line="480" w:lineRule="exact"/>
              <w:rPr>
                <w:rFonts w:hint="default"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7</w:t>
            </w:r>
          </w:p>
        </w:tc>
        <w:tc>
          <w:tcPr>
            <w:tcW w:w="781" w:type="dxa"/>
            <w:tcBorders>
              <w:left w:val="single" w:color="000000" w:sz="4" w:space="0"/>
              <w:bottom w:val="single" w:color="auto" w:sz="4" w:space="0"/>
              <w:right w:val="single" w:color="000000" w:sz="4" w:space="0"/>
            </w:tcBorders>
            <w:shd w:val="clear" w:color="auto" w:fill="auto"/>
            <w:noWrap/>
            <w:vAlign w:val="bottom"/>
          </w:tcPr>
          <w:p>
            <w:pPr>
              <w:pStyle w:val="31"/>
              <w:pageBreakBefore w:val="0"/>
              <w:kinsoku/>
              <w:wordWrap/>
              <w:overflowPunct/>
              <w:topLinePunct w:val="0"/>
              <w:bidi w:val="0"/>
              <w:spacing w:line="480" w:lineRule="exact"/>
              <w:rPr>
                <w:rFonts w:hint="eastAsia" w:ascii="仿宋_GB2312" w:hAnsi="仿宋_GB2312" w:eastAsia="仿宋_GB2312" w:cs="仿宋_GB2312"/>
                <w:b w:val="0"/>
                <w:bCs/>
                <w:color w:val="auto"/>
                <w:kern w:val="2"/>
                <w:sz w:val="21"/>
                <w:szCs w:val="21"/>
                <w:lang w:val="en-US" w:eastAsia="zh-CN" w:bidi="ar-SA"/>
              </w:rPr>
            </w:pPr>
          </w:p>
        </w:tc>
        <w:tc>
          <w:tcPr>
            <w:tcW w:w="18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1"/>
              <w:pageBreakBefore w:val="0"/>
              <w:kinsoku/>
              <w:wordWrap/>
              <w:overflowPunct/>
              <w:topLinePunct w:val="0"/>
              <w:bidi w:val="0"/>
              <w:spacing w:line="480" w:lineRule="exact"/>
              <w:rPr>
                <w:rFonts w:hint="default"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信地畲族村茶旅项目</w:t>
            </w:r>
          </w:p>
        </w:tc>
        <w:tc>
          <w:tcPr>
            <w:tcW w:w="8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1"/>
              <w:pageBreakBefore w:val="0"/>
              <w:kinsoku/>
              <w:wordWrap/>
              <w:overflowPunct/>
              <w:topLinePunct w:val="0"/>
              <w:bidi w:val="0"/>
              <w:spacing w:line="480" w:lineRule="exact"/>
              <w:ind w:firstLine="0" w:firstLineChars="0"/>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乡镇级</w:t>
            </w:r>
          </w:p>
        </w:tc>
        <w:tc>
          <w:tcPr>
            <w:tcW w:w="104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1"/>
              <w:pageBreakBefore w:val="0"/>
              <w:kinsoku/>
              <w:wordWrap/>
              <w:overflowPunct/>
              <w:topLinePunct w:val="0"/>
              <w:bidi w:val="0"/>
              <w:spacing w:line="480" w:lineRule="exact"/>
              <w:ind w:firstLine="0" w:firstLineChars="0"/>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新建</w:t>
            </w:r>
          </w:p>
        </w:tc>
        <w:tc>
          <w:tcPr>
            <w:tcW w:w="1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1"/>
              <w:pageBreakBefore w:val="0"/>
              <w:kinsoku/>
              <w:wordWrap/>
              <w:overflowPunct/>
              <w:topLinePunct w:val="0"/>
              <w:bidi w:val="0"/>
              <w:spacing w:line="480" w:lineRule="exact"/>
              <w:ind w:firstLine="0" w:firstLineChars="0"/>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2023-2035</w:t>
            </w:r>
          </w:p>
        </w:tc>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1"/>
              <w:pageBreakBefore w:val="0"/>
              <w:kinsoku/>
              <w:wordWrap/>
              <w:overflowPunct/>
              <w:topLinePunct w:val="0"/>
              <w:bidi w:val="0"/>
              <w:spacing w:line="480" w:lineRule="exact"/>
              <w:ind w:firstLine="0" w:firstLineChars="0"/>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信地畲族村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2" w:hRule="atLeast"/>
        </w:trPr>
        <w:tc>
          <w:tcPr>
            <w:tcW w:w="652" w:type="dxa"/>
            <w:tcBorders>
              <w:top w:val="single" w:color="auto" w:sz="4" w:space="0"/>
              <w:left w:val="single" w:color="000000" w:sz="4" w:space="0"/>
              <w:bottom w:val="single" w:color="000000" w:sz="4" w:space="0"/>
              <w:right w:val="single" w:color="000000" w:sz="4" w:space="0"/>
            </w:tcBorders>
            <w:shd w:val="clear" w:color="auto" w:fill="auto"/>
            <w:noWrap/>
            <w:vAlign w:val="bottom"/>
          </w:tcPr>
          <w:p>
            <w:pPr>
              <w:pStyle w:val="31"/>
              <w:pageBreakBefore w:val="0"/>
              <w:kinsoku/>
              <w:wordWrap/>
              <w:overflowPunct/>
              <w:topLinePunct w:val="0"/>
              <w:bidi w:val="0"/>
              <w:spacing w:line="480" w:lineRule="exact"/>
              <w:ind w:firstLine="0" w:firstLineChars="0"/>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8</w:t>
            </w:r>
          </w:p>
        </w:tc>
        <w:tc>
          <w:tcPr>
            <w:tcW w:w="781" w:type="dxa"/>
            <w:tcBorders>
              <w:top w:val="single" w:color="auto" w:sz="4" w:space="0"/>
              <w:left w:val="single" w:color="000000" w:sz="4" w:space="0"/>
              <w:bottom w:val="single" w:color="000000" w:sz="4" w:space="0"/>
              <w:right w:val="single" w:color="000000" w:sz="4" w:space="0"/>
            </w:tcBorders>
            <w:shd w:val="clear" w:color="auto" w:fill="auto"/>
            <w:noWrap/>
            <w:vAlign w:val="bottom"/>
          </w:tcPr>
          <w:p>
            <w:pPr>
              <w:pStyle w:val="31"/>
              <w:pageBreakBefore w:val="0"/>
              <w:kinsoku/>
              <w:wordWrap/>
              <w:overflowPunct/>
              <w:topLinePunct w:val="0"/>
              <w:bidi w:val="0"/>
              <w:spacing w:line="480" w:lineRule="exact"/>
              <w:ind w:firstLine="0" w:firstLineChars="0"/>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民生</w:t>
            </w:r>
          </w:p>
        </w:tc>
        <w:tc>
          <w:tcPr>
            <w:tcW w:w="1818"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1"/>
              <w:pageBreakBefore w:val="0"/>
              <w:kinsoku/>
              <w:wordWrap/>
              <w:overflowPunct/>
              <w:topLinePunct w:val="0"/>
              <w:bidi w:val="0"/>
              <w:spacing w:line="480" w:lineRule="exact"/>
              <w:ind w:firstLine="0" w:firstLineChars="0"/>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殡葬设施</w:t>
            </w:r>
          </w:p>
        </w:tc>
        <w:tc>
          <w:tcPr>
            <w:tcW w:w="8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1"/>
              <w:pageBreakBefore w:val="0"/>
              <w:kinsoku/>
              <w:wordWrap/>
              <w:overflowPunct/>
              <w:topLinePunct w:val="0"/>
              <w:bidi w:val="0"/>
              <w:spacing w:line="480" w:lineRule="exact"/>
              <w:ind w:firstLine="0" w:firstLineChars="0"/>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乡镇级</w:t>
            </w:r>
          </w:p>
        </w:tc>
        <w:tc>
          <w:tcPr>
            <w:tcW w:w="1041"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1"/>
              <w:pageBreakBefore w:val="0"/>
              <w:kinsoku/>
              <w:wordWrap/>
              <w:overflowPunct/>
              <w:topLinePunct w:val="0"/>
              <w:bidi w:val="0"/>
              <w:spacing w:line="480" w:lineRule="exact"/>
              <w:ind w:firstLine="0" w:firstLineChars="0"/>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新建</w:t>
            </w:r>
          </w:p>
        </w:tc>
        <w:tc>
          <w:tcPr>
            <w:tcW w:w="1143"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1"/>
              <w:pageBreakBefore w:val="0"/>
              <w:kinsoku/>
              <w:wordWrap/>
              <w:overflowPunct/>
              <w:topLinePunct w:val="0"/>
              <w:bidi w:val="0"/>
              <w:spacing w:line="480" w:lineRule="exact"/>
              <w:ind w:firstLine="0" w:firstLineChars="0"/>
              <w:rPr>
                <w:rFonts w:hint="eastAsia" w:ascii="Times New Roman" w:hAnsi="Times New Roman" w:eastAsia="仿宋_GB2312" w:cs="微软雅黑"/>
                <w:bCs/>
                <w:color w:val="auto"/>
                <w:kern w:val="0"/>
                <w:sz w:val="21"/>
                <w:szCs w:val="21"/>
                <w:lang w:val="en-US" w:eastAsia="zh-CN" w:bidi="zh-CN"/>
              </w:rPr>
            </w:pPr>
            <w:r>
              <w:rPr>
                <w:rFonts w:hint="eastAsia" w:ascii="Times New Roman" w:hAnsi="Times New Roman" w:eastAsia="仿宋_GB2312" w:cs="微软雅黑"/>
                <w:bCs/>
                <w:color w:val="auto"/>
                <w:kern w:val="0"/>
                <w:sz w:val="21"/>
                <w:szCs w:val="21"/>
                <w:lang w:val="en-US" w:eastAsia="zh-CN" w:bidi="zh-CN"/>
              </w:rPr>
              <w:t>2023-2035</w:t>
            </w:r>
          </w:p>
        </w:tc>
        <w:tc>
          <w:tcPr>
            <w:tcW w:w="1835" w:type="dxa"/>
            <w:tcBorders>
              <w:top w:val="single" w:color="000000" w:sz="4" w:space="0"/>
              <w:left w:val="single" w:color="000000" w:sz="4" w:space="0"/>
              <w:bottom w:val="single" w:color="000000" w:sz="4" w:space="0"/>
              <w:right w:val="single" w:color="000000" w:sz="4" w:space="0"/>
            </w:tcBorders>
            <w:shd w:val="clear" w:color="auto" w:fill="FFFFFF"/>
            <w:vAlign w:val="center"/>
          </w:tcPr>
          <w:p>
            <w:pPr>
              <w:pStyle w:val="31"/>
              <w:pageBreakBefore w:val="0"/>
              <w:kinsoku/>
              <w:wordWrap/>
              <w:overflowPunct/>
              <w:topLinePunct w:val="0"/>
              <w:bidi w:val="0"/>
              <w:spacing w:line="480" w:lineRule="exact"/>
              <w:ind w:firstLine="0" w:firstLineChars="0"/>
              <w:rPr>
                <w:rFonts w:hint="eastAsia" w:ascii="仿宋_GB2312" w:hAnsi="仿宋_GB2312" w:eastAsia="仿宋_GB2312" w:cs="仿宋_GB2312"/>
                <w:b w:val="0"/>
                <w:bCs/>
                <w:color w:val="auto"/>
                <w:kern w:val="2"/>
                <w:sz w:val="21"/>
                <w:szCs w:val="21"/>
                <w:lang w:val="en-US" w:eastAsia="zh-CN" w:bidi="ar-SA"/>
              </w:rPr>
            </w:pPr>
            <w:r>
              <w:rPr>
                <w:rFonts w:hint="eastAsia" w:ascii="仿宋_GB2312" w:hAnsi="仿宋_GB2312" w:eastAsia="仿宋_GB2312" w:cs="仿宋_GB2312"/>
                <w:b w:val="0"/>
                <w:bCs/>
                <w:color w:val="auto"/>
                <w:kern w:val="2"/>
                <w:sz w:val="21"/>
                <w:szCs w:val="21"/>
                <w:lang w:val="en-US" w:eastAsia="zh-CN" w:bidi="ar-SA"/>
              </w:rPr>
              <w:t>平富乡</w:t>
            </w:r>
          </w:p>
        </w:tc>
      </w:tr>
    </w:tbl>
    <w:p>
      <w:pPr>
        <w:pStyle w:val="34"/>
        <w:keepNext w:val="0"/>
        <w:keepLines/>
        <w:pageBreakBefore/>
        <w:widowControl w:val="0"/>
        <w:kinsoku/>
        <w:wordWrap/>
        <w:overflowPunct/>
        <w:topLinePunct w:val="0"/>
        <w:autoSpaceDE/>
        <w:autoSpaceDN/>
        <w:bidi w:val="0"/>
        <w:adjustRightInd/>
        <w:snapToGrid/>
        <w:spacing w:before="156" w:beforeLines="50" w:after="156" w:afterLines="50"/>
        <w:ind w:left="0" w:firstLine="0" w:firstLineChars="0"/>
        <w:jc w:val="center"/>
        <w:textAlignment w:val="center"/>
        <w:rPr>
          <w:rFonts w:hint="eastAsia" w:ascii="Times New Roman" w:hAnsi="Times New Roman" w:eastAsia="Arial Unicode MS"/>
          <w:color w:val="auto"/>
          <w:lang w:val="en-US" w:eastAsia="zh-CN"/>
        </w:rPr>
      </w:pPr>
      <w:bookmarkStart w:id="95" w:name="_Toc20662"/>
      <w:r>
        <w:rPr>
          <w:rFonts w:hint="eastAsia" w:ascii="Times New Roman" w:hAnsi="Times New Roman" w:eastAsia="Arial Unicode MS"/>
          <w:color w:val="auto"/>
          <w:lang w:val="en-US" w:eastAsia="zh-CN"/>
        </w:rPr>
        <w:t>第十五章 规划实施保障</w:t>
      </w:r>
      <w:bookmarkEnd w:id="95"/>
    </w:p>
    <w:p>
      <w:pPr>
        <w:pStyle w:val="35"/>
        <w:keepNext w:val="0"/>
        <w:keepLines w:val="0"/>
        <w:pageBreakBefore w:val="0"/>
        <w:widowControl/>
        <w:numPr>
          <w:ilvl w:val="0"/>
          <w:numId w:val="0"/>
        </w:numPr>
        <w:kinsoku/>
        <w:wordWrap/>
        <w:overflowPunct/>
        <w:topLinePunct w:val="0"/>
        <w:autoSpaceDE/>
        <w:autoSpaceDN/>
        <w:bidi w:val="0"/>
        <w:adjustRightInd/>
        <w:snapToGrid/>
        <w:ind w:firstLine="560" w:firstLineChars="200"/>
        <w:textAlignment w:val="auto"/>
        <w:rPr>
          <w:rFonts w:hint="eastAsia" w:ascii="仿宋_GB2312" w:hAnsi="宋体" w:eastAsia="仿宋_GB2312" w:cs="仿宋_GB2312"/>
          <w:color w:val="000000"/>
          <w:kern w:val="0"/>
          <w:sz w:val="28"/>
          <w:szCs w:val="28"/>
          <w:lang w:val="en-US" w:eastAsia="zh-CN" w:bidi="ar"/>
        </w:rPr>
      </w:pPr>
      <w:r>
        <w:rPr>
          <w:rFonts w:hint="eastAsia" w:ascii="仿宋_GB2312" w:hAnsi="宋体" w:eastAsia="仿宋_GB2312" w:cs="仿宋_GB2312"/>
          <w:color w:val="000000"/>
          <w:kern w:val="0"/>
          <w:sz w:val="28"/>
          <w:szCs w:val="28"/>
          <w:lang w:val="en-US" w:eastAsia="zh-CN" w:bidi="ar"/>
        </w:rPr>
        <w:t>全面落实新时代党的建设总要求，充分发挥党总揽全局、协调各方的领导核心作用，把党中央重大决策部署和省、市、县工作要求贯彻落实到国土空间规划编制实施全过程，以党建统领推动国土空间规划工作提质增效，压实主体责任，完善机制体制保障，加强公众参与社会监督，推进国土空间高质量发展。</w:t>
      </w:r>
    </w:p>
    <w:p>
      <w:pPr>
        <w:keepNext w:val="0"/>
        <w:keepLines w:val="0"/>
        <w:pageBreakBefore w:val="0"/>
        <w:widowControl w:val="0"/>
        <w:kinsoku/>
        <w:wordWrap/>
        <w:overflowPunct/>
        <w:topLinePunct w:val="0"/>
        <w:bidi w:val="0"/>
        <w:adjustRightInd/>
        <w:snapToGrid/>
        <w:spacing w:line="480" w:lineRule="exact"/>
        <w:ind w:firstLine="562" w:firstLineChars="200"/>
        <w:jc w:val="left"/>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一、坚持党建统领，加强规划实施管理</w:t>
      </w:r>
    </w:p>
    <w:p>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Times New Roman" w:hAnsi="Times New Roman" w:eastAsia="仿宋_GB2312" w:cs="Times New Roman"/>
          <w:color w:val="auto"/>
          <w:kern w:val="2"/>
          <w:sz w:val="28"/>
          <w:szCs w:val="28"/>
          <w:highlight w:val="none"/>
          <w:lang w:val="en-US" w:eastAsia="zh-CN" w:bidi="ar-SA"/>
        </w:rPr>
      </w:pPr>
      <w:r>
        <w:rPr>
          <w:rFonts w:hint="eastAsia" w:ascii="仿宋_GB2312" w:hAnsi="宋体" w:eastAsia="仿宋_GB2312" w:cs="仿宋_GB2312"/>
          <w:color w:val="000000"/>
          <w:kern w:val="0"/>
          <w:sz w:val="28"/>
          <w:szCs w:val="28"/>
          <w:lang w:val="en-US" w:eastAsia="zh-CN" w:bidi="ar"/>
        </w:rPr>
        <w:t>深入学习贯彻习近平新时代中国特色社会主义思想，深刻领悟“两个确立”的决定性意义，增强“四个意识”、坚定“四个自信”、做到“两个维护”。全面加强党的建设，统领自然资源和规划工作，规划实施中的重大事项或重大调整，及时按程序向县委、县政府请示报告。</w:t>
      </w:r>
      <w:r>
        <w:rPr>
          <w:rFonts w:hint="eastAsia" w:ascii="Times New Roman" w:hAnsi="Times New Roman" w:eastAsia="仿宋_GB2312" w:cs="Times New Roman"/>
          <w:color w:val="auto"/>
          <w:kern w:val="2"/>
          <w:sz w:val="28"/>
          <w:szCs w:val="28"/>
          <w:highlight w:val="none"/>
          <w:lang w:val="en-US" w:eastAsia="zh-CN" w:bidi="ar-SA"/>
        </w:rPr>
        <w:t xml:space="preserve"> </w:t>
      </w:r>
    </w:p>
    <w:p>
      <w:pPr>
        <w:keepNext w:val="0"/>
        <w:keepLines w:val="0"/>
        <w:pageBreakBefore w:val="0"/>
        <w:widowControl w:val="0"/>
        <w:kinsoku/>
        <w:wordWrap/>
        <w:overflowPunct/>
        <w:topLinePunct w:val="0"/>
        <w:bidi w:val="0"/>
        <w:adjustRightInd/>
        <w:snapToGrid/>
        <w:spacing w:line="480" w:lineRule="exact"/>
        <w:ind w:firstLine="562" w:firstLineChars="200"/>
        <w:jc w:val="left"/>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二、纳入国土空间规划“一张图”</w:t>
      </w:r>
    </w:p>
    <w:p>
      <w:pPr>
        <w:keepNext w:val="0"/>
        <w:keepLines w:val="0"/>
        <w:pageBreakBefore w:val="0"/>
        <w:widowControl/>
        <w:suppressLineNumbers w:val="0"/>
        <w:kinsoku/>
        <w:wordWrap/>
        <w:overflowPunct/>
        <w:topLinePunct w:val="0"/>
        <w:autoSpaceDE/>
        <w:autoSpaceDN/>
        <w:bidi w:val="0"/>
        <w:adjustRightInd/>
        <w:snapToGrid/>
        <w:spacing w:line="480" w:lineRule="exact"/>
        <w:jc w:val="left"/>
        <w:textAlignment w:val="auto"/>
        <w:rPr>
          <w:rFonts w:hint="eastAsia" w:ascii="仿宋_GB2312" w:hAnsi="宋体" w:eastAsia="仿宋_GB2312" w:cs="仿宋_GB2312"/>
          <w:color w:val="000000"/>
          <w:kern w:val="0"/>
          <w:sz w:val="28"/>
          <w:szCs w:val="28"/>
          <w:lang w:val="en-US" w:eastAsia="zh-CN" w:bidi="ar"/>
        </w:rPr>
      </w:pPr>
      <w:r>
        <w:rPr>
          <w:rFonts w:hint="eastAsia" w:ascii="仿宋_GB2312" w:hAnsi="宋体" w:eastAsia="仿宋_GB2312" w:cs="仿宋_GB2312"/>
          <w:color w:val="000000"/>
          <w:kern w:val="0"/>
          <w:sz w:val="28"/>
          <w:szCs w:val="28"/>
          <w:lang w:val="en-US" w:eastAsia="zh-CN" w:bidi="ar"/>
        </w:rPr>
        <w:t>建立健全专项规划数据协调衔接机制和国土空间总体规划、详细规划逐级汇交机制，平富乡国土空间总体规划成果应纳入市级国土空间规划“-张图”与信息平台，实现各级规划编制、审批、修改、实施全过程在线管理。统一整合各级各类规划数据，确保国土空间规划数据标准上下一致、规范统一，实现各类空间管控边界精准落地、上图入库。</w:t>
      </w:r>
    </w:p>
    <w:p>
      <w:pPr>
        <w:keepNext w:val="0"/>
        <w:keepLines w:val="0"/>
        <w:pageBreakBefore w:val="0"/>
        <w:widowControl w:val="0"/>
        <w:kinsoku/>
        <w:wordWrap/>
        <w:overflowPunct/>
        <w:topLinePunct w:val="0"/>
        <w:bidi w:val="0"/>
        <w:adjustRightInd/>
        <w:snapToGrid/>
        <w:spacing w:line="480" w:lineRule="exact"/>
        <w:ind w:firstLine="562" w:firstLineChars="200"/>
        <w:jc w:val="left"/>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三、建立规划体检评估动态调整机制</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0" w:firstLineChars="200"/>
        <w:textAlignment w:val="auto"/>
        <w:rPr>
          <w:rFonts w:hint="eastAsia" w:ascii="Times New Roman" w:hAnsi="Times New Roman" w:eastAsia="仿宋_GB2312" w:cs="Times New Roman"/>
          <w:color w:val="auto"/>
          <w:kern w:val="2"/>
          <w:sz w:val="28"/>
          <w:szCs w:val="28"/>
          <w:highlight w:val="none"/>
          <w:lang w:val="en-US" w:eastAsia="zh-CN" w:bidi="ar-SA"/>
        </w:rPr>
      </w:pPr>
      <w:r>
        <w:rPr>
          <w:rFonts w:hint="eastAsia" w:ascii="Times New Roman" w:hAnsi="Times New Roman" w:eastAsia="仿宋_GB2312" w:cs="Times New Roman"/>
          <w:color w:val="auto"/>
          <w:kern w:val="2"/>
          <w:sz w:val="28"/>
          <w:szCs w:val="28"/>
          <w:highlight w:val="none"/>
          <w:lang w:val="en-US" w:eastAsia="zh-CN" w:bidi="ar-SA"/>
        </w:rPr>
        <w:t>建立健全定期体检评估制度。建立“定期体检、五年一评估”的定期评估制度，对规划实施情况进行动态监测、对违反规划管控的行为及时预警，评估结果作为规划调整修改的重要依据。</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0" w:firstLineChars="200"/>
        <w:textAlignment w:val="auto"/>
        <w:rPr>
          <w:rFonts w:hint="eastAsia" w:ascii="Times New Roman" w:hAnsi="Times New Roman" w:eastAsia="仿宋_GB2312" w:cs="Times New Roman"/>
          <w:color w:val="auto"/>
          <w:kern w:val="2"/>
          <w:sz w:val="28"/>
          <w:szCs w:val="28"/>
          <w:highlight w:val="none"/>
          <w:lang w:val="en-US" w:eastAsia="zh-CN" w:bidi="ar-SA"/>
        </w:rPr>
      </w:pPr>
      <w:r>
        <w:rPr>
          <w:rFonts w:hint="eastAsia" w:ascii="Times New Roman" w:hAnsi="Times New Roman" w:eastAsia="仿宋_GB2312" w:cs="Times New Roman"/>
          <w:color w:val="auto"/>
          <w:kern w:val="2"/>
          <w:sz w:val="28"/>
          <w:szCs w:val="28"/>
          <w:highlight w:val="none"/>
          <w:lang w:val="en-US" w:eastAsia="zh-CN" w:bidi="ar-SA"/>
        </w:rPr>
        <w:t>建立公开、透明、制度化的动态调整完善机制，根据国土空间规划体检评估结果进行动态调整，合理修正国土空间规划指标体系并分阶段安排。国土空间规划的修改应当参照相关法律法规的修改条件和程序，按照规定的审批权限审批。</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0" w:firstLineChars="200"/>
        <w:textAlignment w:val="auto"/>
        <w:rPr>
          <w:rFonts w:hint="eastAsia" w:ascii="Times New Roman" w:hAnsi="Times New Roman" w:eastAsia="仿宋_GB2312" w:cs="Times New Roman"/>
          <w:color w:val="auto"/>
          <w:kern w:val="2"/>
          <w:sz w:val="28"/>
          <w:szCs w:val="28"/>
          <w:highlight w:val="none"/>
          <w:lang w:val="en-US" w:eastAsia="zh-CN" w:bidi="ar-SA"/>
        </w:rPr>
      </w:pPr>
    </w:p>
    <w:p>
      <w:pPr>
        <w:keepNext w:val="0"/>
        <w:keepLines w:val="0"/>
        <w:pageBreakBefore w:val="0"/>
        <w:widowControl w:val="0"/>
        <w:kinsoku/>
        <w:wordWrap/>
        <w:overflowPunct/>
        <w:topLinePunct w:val="0"/>
        <w:bidi w:val="0"/>
        <w:adjustRightInd/>
        <w:snapToGrid/>
        <w:spacing w:line="480" w:lineRule="exact"/>
        <w:ind w:firstLine="562" w:firstLineChars="200"/>
        <w:jc w:val="left"/>
        <w:textAlignment w:val="auto"/>
        <w:rPr>
          <w:rFonts w:hint="eastAsia" w:ascii="Times New Roman" w:hAnsi="Times New Roman" w:eastAsia="仿宋_GB2312" w:cs="Times New Roman"/>
          <w:b/>
          <w:bCs/>
          <w:color w:val="auto"/>
          <w:kern w:val="2"/>
          <w:sz w:val="28"/>
          <w:szCs w:val="28"/>
          <w:lang w:val="en-US" w:eastAsia="zh-CN" w:bidi="ar-SA"/>
        </w:rPr>
      </w:pPr>
      <w:r>
        <w:rPr>
          <w:rFonts w:hint="eastAsia" w:ascii="Times New Roman" w:hAnsi="Times New Roman" w:eastAsia="仿宋_GB2312" w:cs="Times New Roman"/>
          <w:b/>
          <w:bCs/>
          <w:color w:val="auto"/>
          <w:kern w:val="2"/>
          <w:sz w:val="28"/>
          <w:szCs w:val="28"/>
          <w:lang w:val="en-US" w:eastAsia="zh-CN" w:bidi="ar-SA"/>
        </w:rPr>
        <w:t>四、加强公众参与社会监督</w:t>
      </w:r>
    </w:p>
    <w:p>
      <w:pPr>
        <w:pStyle w:val="17"/>
        <w:keepNext w:val="0"/>
        <w:keepLines w:val="0"/>
        <w:pageBreakBefore w:val="0"/>
        <w:widowControl w:val="0"/>
        <w:kinsoku/>
        <w:wordWrap/>
        <w:overflowPunct/>
        <w:topLinePunct w:val="0"/>
        <w:autoSpaceDE w:val="0"/>
        <w:autoSpaceDN w:val="0"/>
        <w:bidi w:val="0"/>
        <w:adjustRightInd/>
        <w:snapToGrid/>
        <w:spacing w:after="0" w:line="480" w:lineRule="exact"/>
        <w:ind w:left="0" w:leftChars="0" w:firstLine="560" w:firstLineChars="200"/>
        <w:textAlignment w:val="auto"/>
        <w:rPr>
          <w:rFonts w:hint="default" w:ascii="仿宋" w:hAnsi="仿宋" w:eastAsia="仿宋" w:cs="仿宋"/>
          <w:color w:val="auto"/>
          <w:sz w:val="28"/>
          <w:szCs w:val="28"/>
          <w:lang w:val="en-US" w:eastAsia="zh-CN"/>
        </w:rPr>
      </w:pPr>
      <w:r>
        <w:rPr>
          <w:rFonts w:hint="eastAsia" w:ascii="Times New Roman" w:hAnsi="Times New Roman" w:eastAsia="仿宋_GB2312" w:cs="Times New Roman"/>
          <w:color w:val="auto"/>
          <w:kern w:val="2"/>
          <w:sz w:val="28"/>
          <w:szCs w:val="28"/>
          <w:highlight w:val="none"/>
          <w:lang w:val="en-US" w:eastAsia="zh-CN" w:bidi="ar-SA"/>
        </w:rPr>
        <w:t>建立贯穿国土空间规划编制、管理、实施、监督考核及乡镇治理全过程的公众参与机制。完善专家咨询论证制度，加强规划编制实施重大问题的咨询论证，坚持开门做规划，保障群众及时有效获取规划信息和反馈规划意见，推行社区、乡村规划师制度，建立多方协商、共谋共建共治共享的公众参与规划治理模式。多渠道宣传和普及规划信息，建立常态化规划宣传和交流互动机制，营造全社会积极主动实施和监督规划的良好氛围。</w:t>
      </w:r>
    </w:p>
    <w:sectPr>
      <w:footerReference r:id="rId12"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AACBC67-226A-427F-832B-B02463C04D8A}"/>
  </w:font>
  <w:font w:name="黑体">
    <w:panose1 w:val="02010609060101010101"/>
    <w:charset w:val="86"/>
    <w:family w:val="auto"/>
    <w:pitch w:val="default"/>
    <w:sig w:usb0="800002BF" w:usb1="38CF7CFA" w:usb2="00000016" w:usb3="00000000" w:csb0="00040001" w:csb1="00000000"/>
    <w:embedRegular r:id="rId2" w:fontKey="{6C6ED08C-E09F-45D7-AF8E-5A5FF118C33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3" w:fontKey="{441C9D40-F9E8-4A80-9ABF-5F3A0491EA81}"/>
  </w:font>
  <w:font w:name="仿宋">
    <w:panose1 w:val="02010609060101010101"/>
    <w:charset w:val="86"/>
    <w:family w:val="auto"/>
    <w:pitch w:val="default"/>
    <w:sig w:usb0="800002BF" w:usb1="38CF7CFA" w:usb2="00000016" w:usb3="00000000" w:csb0="00040001" w:csb1="00000000"/>
    <w:embedRegular r:id="rId4" w:fontKey="{DDBEC717-FF40-4A9A-9D6B-09E4DBB7C847}"/>
  </w:font>
  <w:font w:name="微软雅黑">
    <w:panose1 w:val="020B0503020204020204"/>
    <w:charset w:val="86"/>
    <w:family w:val="auto"/>
    <w:pitch w:val="default"/>
    <w:sig w:usb0="80000287" w:usb1="2ACF3C50" w:usb2="00000016" w:usb3="00000000" w:csb0="0004001F" w:csb1="00000000"/>
    <w:embedRegular r:id="rId5" w:fontKey="{001DEE31-F4F1-4966-A88A-D482B1B0DD6F}"/>
  </w:font>
  <w:font w:name="楷体">
    <w:panose1 w:val="02010609060101010101"/>
    <w:charset w:val="86"/>
    <w:family w:val="modern"/>
    <w:pitch w:val="default"/>
    <w:sig w:usb0="800002BF" w:usb1="38CF7CFA" w:usb2="00000016" w:usb3="00000000" w:csb0="00040001" w:csb1="00000000"/>
    <w:embedRegular r:id="rId6" w:fontKey="{F26345FF-EEED-41C8-92AF-F767E18D704C}"/>
  </w:font>
  <w:font w:name="方正小标宋简体">
    <w:panose1 w:val="03000509000000000000"/>
    <w:charset w:val="86"/>
    <w:family w:val="auto"/>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embedRegular r:id="rId7" w:fontKey="{0F8F62AF-B0A3-4507-9A0E-9BAC46089BF6}"/>
  </w:font>
  <w:font w:name="Arial Unicode MS">
    <w:panose1 w:val="020B0604020202020204"/>
    <w:charset w:val="86"/>
    <w:family w:val="auto"/>
    <w:pitch w:val="default"/>
    <w:sig w:usb0="FFFFFFFF" w:usb1="E9FFFFFF" w:usb2="0000003F" w:usb3="00000000" w:csb0="603F01FF" w:csb1="FFFF0000"/>
    <w:embedRegular r:id="rId8" w:fontKey="{5E7CD3FF-35CC-4EE0-B782-881977845C5A}"/>
  </w:font>
  <w:font w:name="sans-serif">
    <w:altName w:val="Segoe Print"/>
    <w:panose1 w:val="00000000000000000000"/>
    <w:charset w:val="00"/>
    <w:family w:val="auto"/>
    <w:pitch w:val="default"/>
    <w:sig w:usb0="00000000" w:usb1="00000000" w:usb2="00000000" w:usb3="00000000" w:csb0="00000000" w:csb1="00000000"/>
    <w:embedRegular r:id="rId9" w:fontKey="{D02AC81B-5AB7-4079-A86B-AC4514533C07}"/>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0" w:firstLineChars="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0" w:firstLineChars="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I</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spacing w:before="50" w:beforeLines="0" w:after="50" w:afterLines="0" w:line="360" w:lineRule="auto"/>
      <w:ind w:firstLine="0" w:firstLineChars="0"/>
      <w:jc w:val="left"/>
      <w:rPr>
        <w:rFonts w:hint="eastAsia" w:ascii="Times New Roman" w:hAnsi="Times New Roman" w:eastAsia="华文中宋"/>
        <w:b/>
        <w:color w:val="000000"/>
        <w:sz w:val="13"/>
        <w:szCs w:val="13"/>
      </w:rPr>
    </w:pPr>
  </w:p>
  <w:p>
    <w:pPr>
      <w:pBdr>
        <w:bottom w:val="single" w:color="auto" w:sz="4" w:space="0"/>
      </w:pBdr>
      <w:spacing w:before="50" w:beforeLines="0" w:after="50" w:afterLines="0" w:line="360" w:lineRule="auto"/>
      <w:ind w:firstLine="0" w:firstLineChars="0"/>
      <w:jc w:val="left"/>
      <w:rPr>
        <w:rFonts w:hint="default" w:eastAsia="华文中宋"/>
        <w:color w:val="auto"/>
        <w:sz w:val="13"/>
        <w:szCs w:val="13"/>
        <w:lang w:val="en-US" w:eastAsia="zh-CN"/>
      </w:rPr>
    </w:pPr>
    <w:r>
      <w:rPr>
        <w:rFonts w:hint="eastAsia" w:ascii="Times New Roman" w:hAnsi="Times New Roman" w:eastAsia="华文中宋"/>
        <w:b/>
        <w:color w:val="auto"/>
        <w:sz w:val="13"/>
        <w:szCs w:val="13"/>
        <w:lang w:eastAsia="zh-CN"/>
      </w:rPr>
      <w:t>上犹县平富乡</w:t>
    </w:r>
    <w:r>
      <w:rPr>
        <w:rFonts w:hint="eastAsia" w:ascii="Times New Roman" w:hAnsi="Times New Roman" w:eastAsia="华文中宋"/>
        <w:b/>
        <w:color w:val="auto"/>
        <w:sz w:val="13"/>
        <w:szCs w:val="13"/>
      </w:rPr>
      <w:t>国土空间总体规划（2021—2035年）</w:t>
    </w:r>
    <w:r>
      <w:rPr>
        <w:rFonts w:hint="eastAsia" w:ascii="Times New Roman" w:hAnsi="Times New Roman" w:eastAsia="华文中宋"/>
        <w:b/>
        <w:color w:val="auto"/>
        <w:sz w:val="13"/>
        <w:szCs w:val="13"/>
        <w:lang w:val="en-US" w:eastAsia="zh-CN"/>
      </w:rPr>
      <w:t xml:space="preserve">                                                                              说明</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508C8F"/>
    <w:multiLevelType w:val="singleLevel"/>
    <w:tmpl w:val="84508C8F"/>
    <w:lvl w:ilvl="0" w:tentative="0">
      <w:start w:val="1"/>
      <w:numFmt w:val="decimal"/>
      <w:suff w:val="nothing"/>
      <w:lvlText w:val="%1、"/>
      <w:lvlJc w:val="left"/>
    </w:lvl>
  </w:abstractNum>
  <w:abstractNum w:abstractNumId="1">
    <w:nsid w:val="935CDCF5"/>
    <w:multiLevelType w:val="singleLevel"/>
    <w:tmpl w:val="935CDCF5"/>
    <w:lvl w:ilvl="0" w:tentative="0">
      <w:start w:val="2"/>
      <w:numFmt w:val="chineseCounting"/>
      <w:suff w:val="nothing"/>
      <w:lvlText w:val="%1、"/>
      <w:lvlJc w:val="left"/>
      <w:rPr>
        <w:rFonts w:hint="eastAsia"/>
      </w:rPr>
    </w:lvl>
  </w:abstractNum>
  <w:abstractNum w:abstractNumId="2">
    <w:nsid w:val="B3E13223"/>
    <w:multiLevelType w:val="singleLevel"/>
    <w:tmpl w:val="B3E13223"/>
    <w:lvl w:ilvl="0" w:tentative="0">
      <w:start w:val="2"/>
      <w:numFmt w:val="chineseCounting"/>
      <w:suff w:val="nothing"/>
      <w:lvlText w:val="%1、"/>
      <w:lvlJc w:val="left"/>
      <w:rPr>
        <w:rFonts w:hint="eastAsia"/>
      </w:rPr>
    </w:lvl>
  </w:abstractNum>
  <w:abstractNum w:abstractNumId="3">
    <w:nsid w:val="D69EC61E"/>
    <w:multiLevelType w:val="singleLevel"/>
    <w:tmpl w:val="D69EC61E"/>
    <w:lvl w:ilvl="0" w:tentative="0">
      <w:start w:val="2"/>
      <w:numFmt w:val="chineseCounting"/>
      <w:suff w:val="space"/>
      <w:lvlText w:val="第%1节"/>
      <w:lvlJc w:val="left"/>
      <w:rPr>
        <w:rFonts w:hint="eastAsia"/>
      </w:rPr>
    </w:lvl>
  </w:abstractNum>
  <w:abstractNum w:abstractNumId="4">
    <w:nsid w:val="EC0A5B1B"/>
    <w:multiLevelType w:val="singleLevel"/>
    <w:tmpl w:val="EC0A5B1B"/>
    <w:lvl w:ilvl="0" w:tentative="0">
      <w:start w:val="1"/>
      <w:numFmt w:val="decimal"/>
      <w:suff w:val="nothing"/>
      <w:lvlText w:val="%1、"/>
      <w:lvlJc w:val="left"/>
    </w:lvl>
  </w:abstractNum>
  <w:abstractNum w:abstractNumId="5">
    <w:nsid w:val="EF6B6777"/>
    <w:multiLevelType w:val="singleLevel"/>
    <w:tmpl w:val="EF6B6777"/>
    <w:lvl w:ilvl="0" w:tentative="0">
      <w:start w:val="2"/>
      <w:numFmt w:val="chineseCounting"/>
      <w:suff w:val="nothing"/>
      <w:lvlText w:val="%1、"/>
      <w:lvlJc w:val="left"/>
      <w:rPr>
        <w:rFonts w:hint="eastAsia"/>
      </w:rPr>
    </w:lvl>
  </w:abstractNum>
  <w:abstractNum w:abstractNumId="6">
    <w:nsid w:val="000873D6"/>
    <w:multiLevelType w:val="singleLevel"/>
    <w:tmpl w:val="000873D6"/>
    <w:lvl w:ilvl="0" w:tentative="0">
      <w:start w:val="1"/>
      <w:numFmt w:val="decimal"/>
      <w:pStyle w:val="10"/>
      <w:lvlText w:val="%1."/>
      <w:lvlJc w:val="left"/>
      <w:pPr>
        <w:tabs>
          <w:tab w:val="left" w:pos="2040"/>
        </w:tabs>
        <w:ind w:left="2040" w:hanging="360"/>
      </w:pPr>
    </w:lvl>
  </w:abstractNum>
  <w:abstractNum w:abstractNumId="7">
    <w:nsid w:val="058ECAB0"/>
    <w:multiLevelType w:val="singleLevel"/>
    <w:tmpl w:val="058ECAB0"/>
    <w:lvl w:ilvl="0" w:tentative="0">
      <w:start w:val="3"/>
      <w:numFmt w:val="chineseCounting"/>
      <w:suff w:val="space"/>
      <w:lvlText w:val="第%1节"/>
      <w:lvlJc w:val="left"/>
      <w:rPr>
        <w:rFonts w:hint="eastAsia"/>
      </w:rPr>
    </w:lvl>
  </w:abstractNum>
  <w:abstractNum w:abstractNumId="8">
    <w:nsid w:val="0EBA1966"/>
    <w:multiLevelType w:val="singleLevel"/>
    <w:tmpl w:val="0EBA1966"/>
    <w:lvl w:ilvl="0" w:tentative="0">
      <w:start w:val="1"/>
      <w:numFmt w:val="chineseCounting"/>
      <w:suff w:val="nothing"/>
      <w:lvlText w:val="%1、"/>
      <w:lvlJc w:val="left"/>
      <w:rPr>
        <w:rFonts w:hint="eastAsia"/>
      </w:rPr>
    </w:lvl>
  </w:abstractNum>
  <w:abstractNum w:abstractNumId="9">
    <w:nsid w:val="1BBC3742"/>
    <w:multiLevelType w:val="singleLevel"/>
    <w:tmpl w:val="1BBC3742"/>
    <w:lvl w:ilvl="0" w:tentative="0">
      <w:start w:val="1"/>
      <w:numFmt w:val="decimal"/>
      <w:suff w:val="nothing"/>
      <w:lvlText w:val="%1、"/>
      <w:lvlJc w:val="left"/>
    </w:lvl>
  </w:abstractNum>
  <w:abstractNum w:abstractNumId="10">
    <w:nsid w:val="1C6C0DB4"/>
    <w:multiLevelType w:val="multilevel"/>
    <w:tmpl w:val="1C6C0DB4"/>
    <w:lvl w:ilvl="0" w:tentative="0">
      <w:start w:val="1"/>
      <w:numFmt w:val="chineseCountingThousand"/>
      <w:lvlText w:val="第%1章"/>
      <w:lvlJc w:val="left"/>
      <w:pPr>
        <w:ind w:left="425" w:hanging="425"/>
      </w:pPr>
      <w:rPr>
        <w:rFonts w:hint="default" w:ascii="Times New Roman" w:hAnsi="Times New Roman" w:eastAsia="方正小标宋简体"/>
        <w:b/>
        <w:i w:val="0"/>
        <w:sz w:val="32"/>
      </w:rPr>
    </w:lvl>
    <w:lvl w:ilvl="1" w:tentative="0">
      <w:start w:val="1"/>
      <w:numFmt w:val="chineseCountingThousand"/>
      <w:lvlText w:val="第%2节"/>
      <w:lvlJc w:val="left"/>
      <w:pPr>
        <w:ind w:left="567" w:hanging="567"/>
      </w:pPr>
      <w:rPr>
        <w:rFonts w:hint="eastAsia" w:eastAsia="黑体"/>
        <w:b/>
        <w:i w:val="0"/>
        <w:sz w:val="28"/>
      </w:rPr>
    </w:lvl>
    <w:lvl w:ilvl="2" w:tentative="0">
      <w:start w:val="1"/>
      <w:numFmt w:val="chineseCountingThousand"/>
      <w:lvlText w:val="%3、"/>
      <w:lvlJc w:val="left"/>
      <w:pPr>
        <w:ind w:left="709" w:hanging="709"/>
      </w:pPr>
      <w:rPr>
        <w:rFonts w:hint="default" w:ascii="Times New Roman" w:hAnsi="Times New Roman" w:eastAsia="仿宋_GB2312"/>
        <w:b/>
        <w:i w:val="0"/>
        <w:sz w:val="28"/>
      </w:rPr>
    </w:lvl>
    <w:lvl w:ilvl="3" w:tentative="0">
      <w:start w:val="1"/>
      <w:numFmt w:val="chineseCountingThousand"/>
      <w:pStyle w:val="47"/>
      <w:lvlText w:val="（%4）"/>
      <w:lvlJc w:val="left"/>
      <w:pPr>
        <w:ind w:left="0" w:firstLine="0"/>
      </w:pPr>
      <w:rPr>
        <w:rFonts w:hint="default" w:ascii="Times New Roman" w:hAnsi="Times New Roman" w:eastAsia="华文楷体"/>
        <w:b/>
        <w:i w:val="0"/>
        <w:sz w:val="28"/>
      </w:rPr>
    </w:lvl>
    <w:lvl w:ilvl="4" w:tentative="0">
      <w:start w:val="1"/>
      <w:numFmt w:val="decimal"/>
      <w:lvlText w:val="%5."/>
      <w:lvlJc w:val="left"/>
      <w:pPr>
        <w:ind w:left="992" w:hanging="992"/>
      </w:pPr>
      <w:rPr>
        <w:rFonts w:hint="default" w:ascii="Times New Roman" w:hAnsi="Times New Roman" w:eastAsia="宋体"/>
        <w:b/>
        <w:i w:val="0"/>
        <w:sz w:val="28"/>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1">
    <w:nsid w:val="32110052"/>
    <w:multiLevelType w:val="multilevel"/>
    <w:tmpl w:val="32110052"/>
    <w:lvl w:ilvl="0" w:tentative="0">
      <w:start w:val="1"/>
      <w:numFmt w:val="decimal"/>
      <w:pStyle w:val="45"/>
      <w:suff w:val="space"/>
      <w:lvlText w:val="附表%1"/>
      <w:lvlJc w:val="left"/>
      <w:pPr>
        <w:ind w:left="4105"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3CDE488B"/>
    <w:multiLevelType w:val="multilevel"/>
    <w:tmpl w:val="3CDE488B"/>
    <w:lvl w:ilvl="0" w:tentative="0">
      <w:start w:val="1"/>
      <w:numFmt w:val="chineseCountingThousand"/>
      <w:pStyle w:val="51"/>
      <w:lvlText w:val="第%1条"/>
      <w:lvlJc w:val="left"/>
      <w:pPr>
        <w:ind w:left="968" w:hanging="420"/>
      </w:pPr>
      <w:rPr>
        <w:rFonts w:hint="default" w:ascii="Times New Roman" w:hAnsi="Times New Roman" w:eastAsia="楷体"/>
        <w:b/>
        <w:i w:val="0"/>
        <w:sz w:val="32"/>
      </w:rPr>
    </w:lvl>
    <w:lvl w:ilvl="1" w:tentative="0">
      <w:start w:val="1"/>
      <w:numFmt w:val="lowerLetter"/>
      <w:lvlText w:val="%2)"/>
      <w:lvlJc w:val="left"/>
      <w:pPr>
        <w:ind w:left="1442" w:hanging="420"/>
      </w:pPr>
      <w:rPr>
        <w:rFonts w:hint="eastAsia"/>
      </w:rPr>
    </w:lvl>
    <w:lvl w:ilvl="2" w:tentative="0">
      <w:start w:val="1"/>
      <w:numFmt w:val="lowerRoman"/>
      <w:lvlText w:val="%3."/>
      <w:lvlJc w:val="right"/>
      <w:pPr>
        <w:ind w:left="1862" w:hanging="420"/>
      </w:pPr>
      <w:rPr>
        <w:rFonts w:hint="eastAsia"/>
      </w:rPr>
    </w:lvl>
    <w:lvl w:ilvl="3" w:tentative="0">
      <w:start w:val="1"/>
      <w:numFmt w:val="decimal"/>
      <w:lvlText w:val="%4."/>
      <w:lvlJc w:val="left"/>
      <w:pPr>
        <w:ind w:left="2282" w:hanging="420"/>
      </w:pPr>
      <w:rPr>
        <w:rFonts w:hint="eastAsia"/>
      </w:rPr>
    </w:lvl>
    <w:lvl w:ilvl="4" w:tentative="0">
      <w:start w:val="1"/>
      <w:numFmt w:val="lowerLetter"/>
      <w:lvlText w:val="%5)"/>
      <w:lvlJc w:val="left"/>
      <w:pPr>
        <w:ind w:left="2702" w:hanging="420"/>
      </w:pPr>
      <w:rPr>
        <w:rFonts w:hint="eastAsia"/>
      </w:rPr>
    </w:lvl>
    <w:lvl w:ilvl="5" w:tentative="0">
      <w:start w:val="1"/>
      <w:numFmt w:val="lowerRoman"/>
      <w:lvlText w:val="%6."/>
      <w:lvlJc w:val="right"/>
      <w:pPr>
        <w:ind w:left="3122" w:hanging="420"/>
      </w:pPr>
      <w:rPr>
        <w:rFonts w:hint="eastAsia"/>
      </w:rPr>
    </w:lvl>
    <w:lvl w:ilvl="6" w:tentative="0">
      <w:start w:val="1"/>
      <w:numFmt w:val="decimal"/>
      <w:lvlText w:val="%7."/>
      <w:lvlJc w:val="left"/>
      <w:pPr>
        <w:ind w:left="3542" w:hanging="420"/>
      </w:pPr>
      <w:rPr>
        <w:rFonts w:hint="eastAsia"/>
      </w:rPr>
    </w:lvl>
    <w:lvl w:ilvl="7" w:tentative="0">
      <w:start w:val="1"/>
      <w:numFmt w:val="lowerLetter"/>
      <w:lvlText w:val="%8)"/>
      <w:lvlJc w:val="left"/>
      <w:pPr>
        <w:ind w:left="3962" w:hanging="420"/>
      </w:pPr>
      <w:rPr>
        <w:rFonts w:hint="eastAsia"/>
      </w:rPr>
    </w:lvl>
    <w:lvl w:ilvl="8" w:tentative="0">
      <w:start w:val="1"/>
      <w:numFmt w:val="lowerRoman"/>
      <w:lvlText w:val="%9."/>
      <w:lvlJc w:val="right"/>
      <w:pPr>
        <w:ind w:left="4382" w:hanging="420"/>
      </w:pPr>
      <w:rPr>
        <w:rFonts w:hint="eastAsia"/>
      </w:rPr>
    </w:lvl>
  </w:abstractNum>
  <w:abstractNum w:abstractNumId="13">
    <w:nsid w:val="3EB0967A"/>
    <w:multiLevelType w:val="singleLevel"/>
    <w:tmpl w:val="3EB0967A"/>
    <w:lvl w:ilvl="0" w:tentative="0">
      <w:start w:val="5"/>
      <w:numFmt w:val="decimal"/>
      <w:suff w:val="nothing"/>
      <w:lvlText w:val="%1、"/>
      <w:lvlJc w:val="left"/>
    </w:lvl>
  </w:abstractNum>
  <w:abstractNum w:abstractNumId="14">
    <w:nsid w:val="44494ED7"/>
    <w:multiLevelType w:val="singleLevel"/>
    <w:tmpl w:val="44494ED7"/>
    <w:lvl w:ilvl="0" w:tentative="0">
      <w:start w:val="2"/>
      <w:numFmt w:val="decimal"/>
      <w:suff w:val="nothing"/>
      <w:lvlText w:val="%1、"/>
      <w:lvlJc w:val="left"/>
    </w:lvl>
  </w:abstractNum>
  <w:abstractNum w:abstractNumId="15">
    <w:nsid w:val="5184BA10"/>
    <w:multiLevelType w:val="singleLevel"/>
    <w:tmpl w:val="5184BA10"/>
    <w:lvl w:ilvl="0" w:tentative="0">
      <w:start w:val="2"/>
      <w:numFmt w:val="decimal"/>
      <w:suff w:val="nothing"/>
      <w:lvlText w:val="%1、"/>
      <w:lvlJc w:val="left"/>
    </w:lvl>
  </w:abstractNum>
  <w:abstractNum w:abstractNumId="16">
    <w:nsid w:val="6713EB81"/>
    <w:multiLevelType w:val="singleLevel"/>
    <w:tmpl w:val="6713EB81"/>
    <w:lvl w:ilvl="0" w:tentative="0">
      <w:start w:val="1"/>
      <w:numFmt w:val="decimal"/>
      <w:suff w:val="nothing"/>
      <w:lvlText w:val="%1、"/>
      <w:lvlJc w:val="left"/>
      <w:pPr>
        <w:ind w:left="420" w:leftChars="0" w:firstLine="0" w:firstLineChars="0"/>
      </w:pPr>
    </w:lvl>
  </w:abstractNum>
  <w:abstractNum w:abstractNumId="17">
    <w:nsid w:val="7D6BA4EE"/>
    <w:multiLevelType w:val="singleLevel"/>
    <w:tmpl w:val="7D6BA4EE"/>
    <w:lvl w:ilvl="0" w:tentative="0">
      <w:start w:val="3"/>
      <w:numFmt w:val="decimal"/>
      <w:suff w:val="nothing"/>
      <w:lvlText w:val="%1、"/>
      <w:lvlJc w:val="left"/>
    </w:lvl>
  </w:abstractNum>
  <w:num w:numId="1">
    <w:abstractNumId w:val="6"/>
  </w:num>
  <w:num w:numId="2">
    <w:abstractNumId w:val="11"/>
  </w:num>
  <w:num w:numId="3">
    <w:abstractNumId w:val="10"/>
  </w:num>
  <w:num w:numId="4">
    <w:abstractNumId w:val="12"/>
  </w:num>
  <w:num w:numId="5">
    <w:abstractNumId w:val="13"/>
  </w:num>
  <w:num w:numId="6">
    <w:abstractNumId w:val="3"/>
  </w:num>
  <w:num w:numId="7">
    <w:abstractNumId w:val="8"/>
  </w:num>
  <w:num w:numId="8">
    <w:abstractNumId w:val="15"/>
  </w:num>
  <w:num w:numId="9">
    <w:abstractNumId w:val="14"/>
  </w:num>
  <w:num w:numId="10">
    <w:abstractNumId w:val="1"/>
  </w:num>
  <w:num w:numId="11">
    <w:abstractNumId w:val="17"/>
  </w:num>
  <w:num w:numId="12">
    <w:abstractNumId w:val="16"/>
  </w:num>
  <w:num w:numId="13">
    <w:abstractNumId w:val="9"/>
  </w:num>
  <w:num w:numId="14">
    <w:abstractNumId w:val="2"/>
  </w:num>
  <w:num w:numId="15">
    <w:abstractNumId w:val="7"/>
  </w:num>
  <w:num w:numId="16">
    <w:abstractNumId w:val="0"/>
  </w:num>
  <w:num w:numId="17">
    <w:abstractNumId w:val="4"/>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yYWVmYmY1YWVlMjE3YmU3ZDExYmU3YjA0ZmVjYTYifQ=="/>
  </w:docVars>
  <w:rsids>
    <w:rsidRoot w:val="00000000"/>
    <w:rsid w:val="0098770B"/>
    <w:rsid w:val="00FD3725"/>
    <w:rsid w:val="015A4963"/>
    <w:rsid w:val="017D4F5C"/>
    <w:rsid w:val="02262D54"/>
    <w:rsid w:val="0227311A"/>
    <w:rsid w:val="0264611C"/>
    <w:rsid w:val="029772D3"/>
    <w:rsid w:val="02A870C9"/>
    <w:rsid w:val="02DB30EC"/>
    <w:rsid w:val="03085A64"/>
    <w:rsid w:val="031D1FAD"/>
    <w:rsid w:val="03304A17"/>
    <w:rsid w:val="035256F5"/>
    <w:rsid w:val="036A7762"/>
    <w:rsid w:val="037517DD"/>
    <w:rsid w:val="03A20E22"/>
    <w:rsid w:val="03B833E1"/>
    <w:rsid w:val="03F259B5"/>
    <w:rsid w:val="042843E3"/>
    <w:rsid w:val="04390EE3"/>
    <w:rsid w:val="04477832"/>
    <w:rsid w:val="045B57FD"/>
    <w:rsid w:val="045B70AB"/>
    <w:rsid w:val="04803900"/>
    <w:rsid w:val="04DB00C6"/>
    <w:rsid w:val="04F55751"/>
    <w:rsid w:val="052B2F21"/>
    <w:rsid w:val="053A479A"/>
    <w:rsid w:val="05883ED0"/>
    <w:rsid w:val="05F17CC7"/>
    <w:rsid w:val="06023C82"/>
    <w:rsid w:val="06165DAB"/>
    <w:rsid w:val="06611711"/>
    <w:rsid w:val="067B176A"/>
    <w:rsid w:val="06A646AE"/>
    <w:rsid w:val="06C947A0"/>
    <w:rsid w:val="06E54F8F"/>
    <w:rsid w:val="06F141E7"/>
    <w:rsid w:val="075F6EB2"/>
    <w:rsid w:val="07754928"/>
    <w:rsid w:val="077706A0"/>
    <w:rsid w:val="07BD306D"/>
    <w:rsid w:val="07E741C2"/>
    <w:rsid w:val="07F35300"/>
    <w:rsid w:val="08275DEA"/>
    <w:rsid w:val="082A5712"/>
    <w:rsid w:val="082E197B"/>
    <w:rsid w:val="08386EAB"/>
    <w:rsid w:val="086A2E78"/>
    <w:rsid w:val="086A5B0F"/>
    <w:rsid w:val="08DA2C94"/>
    <w:rsid w:val="08FF54D2"/>
    <w:rsid w:val="09104908"/>
    <w:rsid w:val="0915377C"/>
    <w:rsid w:val="09570789"/>
    <w:rsid w:val="09780750"/>
    <w:rsid w:val="09824989"/>
    <w:rsid w:val="09975029"/>
    <w:rsid w:val="09B23C11"/>
    <w:rsid w:val="09C851E3"/>
    <w:rsid w:val="09D43B02"/>
    <w:rsid w:val="09DD6498"/>
    <w:rsid w:val="09DF42DA"/>
    <w:rsid w:val="09E638BB"/>
    <w:rsid w:val="0A0E1705"/>
    <w:rsid w:val="0A212226"/>
    <w:rsid w:val="0A232419"/>
    <w:rsid w:val="0A382B1E"/>
    <w:rsid w:val="0A433171"/>
    <w:rsid w:val="0ABC6086"/>
    <w:rsid w:val="0B024724"/>
    <w:rsid w:val="0B1420DE"/>
    <w:rsid w:val="0B2D6E7D"/>
    <w:rsid w:val="0B4730ED"/>
    <w:rsid w:val="0B567EBB"/>
    <w:rsid w:val="0B8311D0"/>
    <w:rsid w:val="0BA04D7C"/>
    <w:rsid w:val="0BBD73B2"/>
    <w:rsid w:val="0BC81AF1"/>
    <w:rsid w:val="0BF86F5A"/>
    <w:rsid w:val="0C4B5C57"/>
    <w:rsid w:val="0C9D2956"/>
    <w:rsid w:val="0CFB767D"/>
    <w:rsid w:val="0D255390"/>
    <w:rsid w:val="0D3037CB"/>
    <w:rsid w:val="0D953752"/>
    <w:rsid w:val="0DB55A7E"/>
    <w:rsid w:val="0E012A71"/>
    <w:rsid w:val="0E0B2945"/>
    <w:rsid w:val="0E2F75DE"/>
    <w:rsid w:val="0E4D3F08"/>
    <w:rsid w:val="0E845DBA"/>
    <w:rsid w:val="0EA55FDD"/>
    <w:rsid w:val="0EA86D75"/>
    <w:rsid w:val="0ED65715"/>
    <w:rsid w:val="0EDB59B8"/>
    <w:rsid w:val="0F4867E1"/>
    <w:rsid w:val="0F607C6B"/>
    <w:rsid w:val="0F6B0AEA"/>
    <w:rsid w:val="0FFC5235"/>
    <w:rsid w:val="101271B8"/>
    <w:rsid w:val="101D4A15"/>
    <w:rsid w:val="10505F32"/>
    <w:rsid w:val="106B4B1A"/>
    <w:rsid w:val="10C63350"/>
    <w:rsid w:val="10E2302E"/>
    <w:rsid w:val="110E3ECE"/>
    <w:rsid w:val="112C6057"/>
    <w:rsid w:val="11477335"/>
    <w:rsid w:val="115F3896"/>
    <w:rsid w:val="11733CFE"/>
    <w:rsid w:val="11826057"/>
    <w:rsid w:val="118539B9"/>
    <w:rsid w:val="119B44CF"/>
    <w:rsid w:val="11DA3D05"/>
    <w:rsid w:val="11E150AB"/>
    <w:rsid w:val="11EB7D3D"/>
    <w:rsid w:val="12046889"/>
    <w:rsid w:val="125C471A"/>
    <w:rsid w:val="12706346"/>
    <w:rsid w:val="12971BF6"/>
    <w:rsid w:val="12B02CB8"/>
    <w:rsid w:val="12C034C6"/>
    <w:rsid w:val="12C37AE1"/>
    <w:rsid w:val="12CC43D2"/>
    <w:rsid w:val="12D03020"/>
    <w:rsid w:val="133D186E"/>
    <w:rsid w:val="134A310C"/>
    <w:rsid w:val="13946135"/>
    <w:rsid w:val="13A445CA"/>
    <w:rsid w:val="13C079F2"/>
    <w:rsid w:val="13FB30A7"/>
    <w:rsid w:val="14107EB2"/>
    <w:rsid w:val="14515CFB"/>
    <w:rsid w:val="148D738F"/>
    <w:rsid w:val="149A0C26"/>
    <w:rsid w:val="14BE790E"/>
    <w:rsid w:val="14CE78BC"/>
    <w:rsid w:val="14CF3781"/>
    <w:rsid w:val="14D013EF"/>
    <w:rsid w:val="15121A08"/>
    <w:rsid w:val="151A1E44"/>
    <w:rsid w:val="15477B56"/>
    <w:rsid w:val="1555205F"/>
    <w:rsid w:val="15695ACC"/>
    <w:rsid w:val="15763D45"/>
    <w:rsid w:val="15815649"/>
    <w:rsid w:val="158C7B2F"/>
    <w:rsid w:val="15AB3435"/>
    <w:rsid w:val="15C5520C"/>
    <w:rsid w:val="15CC605B"/>
    <w:rsid w:val="15F74A52"/>
    <w:rsid w:val="16415248"/>
    <w:rsid w:val="164200CB"/>
    <w:rsid w:val="16541E0A"/>
    <w:rsid w:val="16637E80"/>
    <w:rsid w:val="167D1103"/>
    <w:rsid w:val="167D7355"/>
    <w:rsid w:val="16842491"/>
    <w:rsid w:val="169C5A2D"/>
    <w:rsid w:val="16EF01EB"/>
    <w:rsid w:val="17171143"/>
    <w:rsid w:val="171C091C"/>
    <w:rsid w:val="171D1E9C"/>
    <w:rsid w:val="1767428D"/>
    <w:rsid w:val="17712A16"/>
    <w:rsid w:val="179E0B6B"/>
    <w:rsid w:val="17EC63D5"/>
    <w:rsid w:val="17F0611D"/>
    <w:rsid w:val="17F76912"/>
    <w:rsid w:val="18006060"/>
    <w:rsid w:val="18204D0E"/>
    <w:rsid w:val="18292D6F"/>
    <w:rsid w:val="18403B69"/>
    <w:rsid w:val="18954E1B"/>
    <w:rsid w:val="18B06D68"/>
    <w:rsid w:val="18CF570A"/>
    <w:rsid w:val="18E35B95"/>
    <w:rsid w:val="18ED2570"/>
    <w:rsid w:val="19141DBA"/>
    <w:rsid w:val="191775ED"/>
    <w:rsid w:val="191E097B"/>
    <w:rsid w:val="19214004"/>
    <w:rsid w:val="19277475"/>
    <w:rsid w:val="19287A4C"/>
    <w:rsid w:val="19646325"/>
    <w:rsid w:val="19946E8F"/>
    <w:rsid w:val="19A07745"/>
    <w:rsid w:val="19EC728D"/>
    <w:rsid w:val="19F80CC3"/>
    <w:rsid w:val="1A0C2EC9"/>
    <w:rsid w:val="1A1D2114"/>
    <w:rsid w:val="1A5B175B"/>
    <w:rsid w:val="1A67069A"/>
    <w:rsid w:val="1A6B4094"/>
    <w:rsid w:val="1A7016AA"/>
    <w:rsid w:val="1A703458"/>
    <w:rsid w:val="1A8B64E4"/>
    <w:rsid w:val="1B0B4F2F"/>
    <w:rsid w:val="1B185594"/>
    <w:rsid w:val="1B1E748F"/>
    <w:rsid w:val="1B410951"/>
    <w:rsid w:val="1B46065D"/>
    <w:rsid w:val="1B766E57"/>
    <w:rsid w:val="1B7725C5"/>
    <w:rsid w:val="1B972C67"/>
    <w:rsid w:val="1BAF7FB0"/>
    <w:rsid w:val="1BC17CE4"/>
    <w:rsid w:val="1BF260EF"/>
    <w:rsid w:val="1C385379"/>
    <w:rsid w:val="1C5F19D6"/>
    <w:rsid w:val="1C6762A3"/>
    <w:rsid w:val="1C9D2DB3"/>
    <w:rsid w:val="1CB04452"/>
    <w:rsid w:val="1CC01479"/>
    <w:rsid w:val="1CC20434"/>
    <w:rsid w:val="1CC261EC"/>
    <w:rsid w:val="1D2F37BB"/>
    <w:rsid w:val="1D423175"/>
    <w:rsid w:val="1D4D5CD3"/>
    <w:rsid w:val="1D571AF2"/>
    <w:rsid w:val="1DB320FF"/>
    <w:rsid w:val="1DC02AFE"/>
    <w:rsid w:val="1DC37D43"/>
    <w:rsid w:val="1DD106B2"/>
    <w:rsid w:val="1DD314C1"/>
    <w:rsid w:val="1DE301AE"/>
    <w:rsid w:val="1E0A7355"/>
    <w:rsid w:val="1E1B2678"/>
    <w:rsid w:val="1E7948A6"/>
    <w:rsid w:val="1E8F6DCE"/>
    <w:rsid w:val="1E990AA4"/>
    <w:rsid w:val="1E9F430C"/>
    <w:rsid w:val="1EB61656"/>
    <w:rsid w:val="1EC75611"/>
    <w:rsid w:val="1ED1023E"/>
    <w:rsid w:val="1EFD52D1"/>
    <w:rsid w:val="1F5E41C7"/>
    <w:rsid w:val="1F692A9E"/>
    <w:rsid w:val="1F7532BF"/>
    <w:rsid w:val="1F7D5DDE"/>
    <w:rsid w:val="1F8B19CE"/>
    <w:rsid w:val="1F8D2032"/>
    <w:rsid w:val="1F8E5E1E"/>
    <w:rsid w:val="1FBA3812"/>
    <w:rsid w:val="1FEB3413"/>
    <w:rsid w:val="20324E51"/>
    <w:rsid w:val="209E2790"/>
    <w:rsid w:val="20B74EF7"/>
    <w:rsid w:val="20C242E2"/>
    <w:rsid w:val="20CA721E"/>
    <w:rsid w:val="20D33EC0"/>
    <w:rsid w:val="20DE6C42"/>
    <w:rsid w:val="20F85F56"/>
    <w:rsid w:val="20FF591B"/>
    <w:rsid w:val="21221626"/>
    <w:rsid w:val="212B2265"/>
    <w:rsid w:val="213D1BBA"/>
    <w:rsid w:val="214A55B4"/>
    <w:rsid w:val="217001E2"/>
    <w:rsid w:val="21740858"/>
    <w:rsid w:val="2187640D"/>
    <w:rsid w:val="21986403"/>
    <w:rsid w:val="21D10C1B"/>
    <w:rsid w:val="21E5387D"/>
    <w:rsid w:val="220E4791"/>
    <w:rsid w:val="2237485C"/>
    <w:rsid w:val="22744FF7"/>
    <w:rsid w:val="22D724B5"/>
    <w:rsid w:val="22DA0E20"/>
    <w:rsid w:val="232C559A"/>
    <w:rsid w:val="23333275"/>
    <w:rsid w:val="23474F72"/>
    <w:rsid w:val="234C37CC"/>
    <w:rsid w:val="2365619E"/>
    <w:rsid w:val="23A03014"/>
    <w:rsid w:val="23A83C63"/>
    <w:rsid w:val="23C16507"/>
    <w:rsid w:val="23D26F32"/>
    <w:rsid w:val="242F416B"/>
    <w:rsid w:val="24771E2E"/>
    <w:rsid w:val="249E4AB7"/>
    <w:rsid w:val="24BC54EC"/>
    <w:rsid w:val="250B5167"/>
    <w:rsid w:val="250E63AA"/>
    <w:rsid w:val="250F1AC0"/>
    <w:rsid w:val="2515298E"/>
    <w:rsid w:val="253F23A5"/>
    <w:rsid w:val="256C0CC0"/>
    <w:rsid w:val="25832A72"/>
    <w:rsid w:val="259B3353"/>
    <w:rsid w:val="25CC72BE"/>
    <w:rsid w:val="25E76E38"/>
    <w:rsid w:val="260D6143"/>
    <w:rsid w:val="26123616"/>
    <w:rsid w:val="261C26E6"/>
    <w:rsid w:val="26284BE7"/>
    <w:rsid w:val="262B05DB"/>
    <w:rsid w:val="263712CE"/>
    <w:rsid w:val="264D28A0"/>
    <w:rsid w:val="265207D3"/>
    <w:rsid w:val="26646FEB"/>
    <w:rsid w:val="26D7660D"/>
    <w:rsid w:val="27082C6B"/>
    <w:rsid w:val="272D792F"/>
    <w:rsid w:val="278E4987"/>
    <w:rsid w:val="27CF3DDC"/>
    <w:rsid w:val="283C798F"/>
    <w:rsid w:val="283F090E"/>
    <w:rsid w:val="28551EE0"/>
    <w:rsid w:val="286D3FB9"/>
    <w:rsid w:val="28F43466"/>
    <w:rsid w:val="29204632"/>
    <w:rsid w:val="292F667F"/>
    <w:rsid w:val="295943F3"/>
    <w:rsid w:val="29712A5C"/>
    <w:rsid w:val="297C3AF2"/>
    <w:rsid w:val="29C66F4F"/>
    <w:rsid w:val="29F179E6"/>
    <w:rsid w:val="2A022B16"/>
    <w:rsid w:val="2B224594"/>
    <w:rsid w:val="2B230073"/>
    <w:rsid w:val="2B274DAC"/>
    <w:rsid w:val="2B501EED"/>
    <w:rsid w:val="2B5A71DB"/>
    <w:rsid w:val="2B74267D"/>
    <w:rsid w:val="2B874A48"/>
    <w:rsid w:val="2BA72A52"/>
    <w:rsid w:val="2BA80BB5"/>
    <w:rsid w:val="2BAA2549"/>
    <w:rsid w:val="2BE81E84"/>
    <w:rsid w:val="2BEC2B5B"/>
    <w:rsid w:val="2C041C52"/>
    <w:rsid w:val="2C241450"/>
    <w:rsid w:val="2C2808EE"/>
    <w:rsid w:val="2C574478"/>
    <w:rsid w:val="2C8E59C0"/>
    <w:rsid w:val="2CB531A0"/>
    <w:rsid w:val="2CC66F08"/>
    <w:rsid w:val="2CC92170"/>
    <w:rsid w:val="2CD17DC6"/>
    <w:rsid w:val="2CE83322"/>
    <w:rsid w:val="2CED26E7"/>
    <w:rsid w:val="2D1C121E"/>
    <w:rsid w:val="2D216834"/>
    <w:rsid w:val="2D2449E8"/>
    <w:rsid w:val="2D3C72B9"/>
    <w:rsid w:val="2D5F1580"/>
    <w:rsid w:val="2D6055AE"/>
    <w:rsid w:val="2D765006"/>
    <w:rsid w:val="2D8A6187"/>
    <w:rsid w:val="2DA97277"/>
    <w:rsid w:val="2DE64EBA"/>
    <w:rsid w:val="2E5073D1"/>
    <w:rsid w:val="2E681BE4"/>
    <w:rsid w:val="2E6966E5"/>
    <w:rsid w:val="2EA96AE1"/>
    <w:rsid w:val="2EB50FE8"/>
    <w:rsid w:val="2EBF5175"/>
    <w:rsid w:val="2EC706F7"/>
    <w:rsid w:val="2EE81B8D"/>
    <w:rsid w:val="2EF51D26"/>
    <w:rsid w:val="2F063F34"/>
    <w:rsid w:val="2F512A26"/>
    <w:rsid w:val="2F522CD5"/>
    <w:rsid w:val="2F5F04B7"/>
    <w:rsid w:val="2F6219CF"/>
    <w:rsid w:val="2F987814"/>
    <w:rsid w:val="2FBB5D2C"/>
    <w:rsid w:val="300D3C4A"/>
    <w:rsid w:val="30841DBC"/>
    <w:rsid w:val="30B336D9"/>
    <w:rsid w:val="30B479F3"/>
    <w:rsid w:val="30D14AA5"/>
    <w:rsid w:val="31083F93"/>
    <w:rsid w:val="3198627F"/>
    <w:rsid w:val="319C0A20"/>
    <w:rsid w:val="31C72E52"/>
    <w:rsid w:val="31C90632"/>
    <w:rsid w:val="31CD4CF2"/>
    <w:rsid w:val="31D050FF"/>
    <w:rsid w:val="31EA6401"/>
    <w:rsid w:val="31FA3B05"/>
    <w:rsid w:val="3238133D"/>
    <w:rsid w:val="325A6A70"/>
    <w:rsid w:val="32996B8F"/>
    <w:rsid w:val="329F4483"/>
    <w:rsid w:val="32C3691D"/>
    <w:rsid w:val="32D13927"/>
    <w:rsid w:val="332B61BF"/>
    <w:rsid w:val="33463392"/>
    <w:rsid w:val="335570EF"/>
    <w:rsid w:val="33781EBF"/>
    <w:rsid w:val="337B411F"/>
    <w:rsid w:val="33A73774"/>
    <w:rsid w:val="33AA7CB1"/>
    <w:rsid w:val="33D910EF"/>
    <w:rsid w:val="33DC6F53"/>
    <w:rsid w:val="34256C0A"/>
    <w:rsid w:val="342C25ED"/>
    <w:rsid w:val="34735BC7"/>
    <w:rsid w:val="34A21AB0"/>
    <w:rsid w:val="34AF7A4B"/>
    <w:rsid w:val="34B85CD0"/>
    <w:rsid w:val="34C46423"/>
    <w:rsid w:val="35240B5D"/>
    <w:rsid w:val="3558674A"/>
    <w:rsid w:val="35704476"/>
    <w:rsid w:val="35BC534C"/>
    <w:rsid w:val="35C23025"/>
    <w:rsid w:val="35CB5080"/>
    <w:rsid w:val="35F103F9"/>
    <w:rsid w:val="35F72828"/>
    <w:rsid w:val="3624565F"/>
    <w:rsid w:val="36435A6D"/>
    <w:rsid w:val="36504750"/>
    <w:rsid w:val="368E4F3A"/>
    <w:rsid w:val="369C2E2D"/>
    <w:rsid w:val="36A91D74"/>
    <w:rsid w:val="36B822FC"/>
    <w:rsid w:val="36C559EF"/>
    <w:rsid w:val="36F20474"/>
    <w:rsid w:val="36FF7BE6"/>
    <w:rsid w:val="37024FE0"/>
    <w:rsid w:val="371116C7"/>
    <w:rsid w:val="371E7C57"/>
    <w:rsid w:val="372238D5"/>
    <w:rsid w:val="37411FAD"/>
    <w:rsid w:val="381B27FE"/>
    <w:rsid w:val="38371586"/>
    <w:rsid w:val="38415FDC"/>
    <w:rsid w:val="386E5C12"/>
    <w:rsid w:val="38BD6432"/>
    <w:rsid w:val="38E63417"/>
    <w:rsid w:val="38EF3C8A"/>
    <w:rsid w:val="393F48B4"/>
    <w:rsid w:val="395A1104"/>
    <w:rsid w:val="39CE559B"/>
    <w:rsid w:val="39E460C9"/>
    <w:rsid w:val="39E609B7"/>
    <w:rsid w:val="3A260ED4"/>
    <w:rsid w:val="3A4122C4"/>
    <w:rsid w:val="3AE35129"/>
    <w:rsid w:val="3B11613A"/>
    <w:rsid w:val="3B3A72BD"/>
    <w:rsid w:val="3B424545"/>
    <w:rsid w:val="3B4503AF"/>
    <w:rsid w:val="3B64270E"/>
    <w:rsid w:val="3B712735"/>
    <w:rsid w:val="3B906743"/>
    <w:rsid w:val="3B9457DF"/>
    <w:rsid w:val="3BA64AD4"/>
    <w:rsid w:val="3BD827B4"/>
    <w:rsid w:val="3BF544C8"/>
    <w:rsid w:val="3C0B4AEC"/>
    <w:rsid w:val="3C1001C8"/>
    <w:rsid w:val="3C1A55FB"/>
    <w:rsid w:val="3C2725F2"/>
    <w:rsid w:val="3C3A6FCB"/>
    <w:rsid w:val="3C4117FA"/>
    <w:rsid w:val="3C5D3DBD"/>
    <w:rsid w:val="3C5F2ED5"/>
    <w:rsid w:val="3C65366B"/>
    <w:rsid w:val="3C6F73FE"/>
    <w:rsid w:val="3C797AF3"/>
    <w:rsid w:val="3C9444F2"/>
    <w:rsid w:val="3C96557D"/>
    <w:rsid w:val="3CA628B2"/>
    <w:rsid w:val="3CD07840"/>
    <w:rsid w:val="3D0D2931"/>
    <w:rsid w:val="3D121CF5"/>
    <w:rsid w:val="3D2E6FD9"/>
    <w:rsid w:val="3D4D608E"/>
    <w:rsid w:val="3D697AE2"/>
    <w:rsid w:val="3D70539A"/>
    <w:rsid w:val="3D785FFC"/>
    <w:rsid w:val="3DB149FB"/>
    <w:rsid w:val="3DD44874"/>
    <w:rsid w:val="3DEA1291"/>
    <w:rsid w:val="3DFB3106"/>
    <w:rsid w:val="3E0B6E71"/>
    <w:rsid w:val="3E18158D"/>
    <w:rsid w:val="3E8D2FB0"/>
    <w:rsid w:val="3E974BA8"/>
    <w:rsid w:val="3EC84D62"/>
    <w:rsid w:val="3ECA51CF"/>
    <w:rsid w:val="3ED701A7"/>
    <w:rsid w:val="3EEA4CD8"/>
    <w:rsid w:val="3F2952EA"/>
    <w:rsid w:val="3F5723AF"/>
    <w:rsid w:val="3F5C7BF8"/>
    <w:rsid w:val="3F8C1F10"/>
    <w:rsid w:val="3FB84DD6"/>
    <w:rsid w:val="40872DE8"/>
    <w:rsid w:val="40AC03DF"/>
    <w:rsid w:val="40D73BE6"/>
    <w:rsid w:val="40D919A3"/>
    <w:rsid w:val="40E55AB7"/>
    <w:rsid w:val="40F63E08"/>
    <w:rsid w:val="40FF5042"/>
    <w:rsid w:val="410D512D"/>
    <w:rsid w:val="41334C01"/>
    <w:rsid w:val="41391F47"/>
    <w:rsid w:val="415648A7"/>
    <w:rsid w:val="416741BF"/>
    <w:rsid w:val="41727207"/>
    <w:rsid w:val="41970A1B"/>
    <w:rsid w:val="41A430A9"/>
    <w:rsid w:val="41B15F81"/>
    <w:rsid w:val="41C2403E"/>
    <w:rsid w:val="41E2438C"/>
    <w:rsid w:val="41EE4ADF"/>
    <w:rsid w:val="42211069"/>
    <w:rsid w:val="4238221C"/>
    <w:rsid w:val="424755DA"/>
    <w:rsid w:val="42730E68"/>
    <w:rsid w:val="42775827"/>
    <w:rsid w:val="42C744F4"/>
    <w:rsid w:val="430C546A"/>
    <w:rsid w:val="433D32C8"/>
    <w:rsid w:val="434D6E78"/>
    <w:rsid w:val="43544E16"/>
    <w:rsid w:val="43547D0F"/>
    <w:rsid w:val="43591965"/>
    <w:rsid w:val="438F54B5"/>
    <w:rsid w:val="439416B6"/>
    <w:rsid w:val="4396054A"/>
    <w:rsid w:val="43A9029E"/>
    <w:rsid w:val="43C12B17"/>
    <w:rsid w:val="445D2440"/>
    <w:rsid w:val="44627A06"/>
    <w:rsid w:val="448E25A9"/>
    <w:rsid w:val="44F370A6"/>
    <w:rsid w:val="44F86819"/>
    <w:rsid w:val="45083AD0"/>
    <w:rsid w:val="45352336"/>
    <w:rsid w:val="453E7AC9"/>
    <w:rsid w:val="45465B0F"/>
    <w:rsid w:val="458B53FC"/>
    <w:rsid w:val="45B11A76"/>
    <w:rsid w:val="45D97854"/>
    <w:rsid w:val="46220097"/>
    <w:rsid w:val="463351B6"/>
    <w:rsid w:val="463F2A4E"/>
    <w:rsid w:val="46733805"/>
    <w:rsid w:val="468C6F23"/>
    <w:rsid w:val="46DE5A70"/>
    <w:rsid w:val="47392CA0"/>
    <w:rsid w:val="47433AB9"/>
    <w:rsid w:val="47490A0A"/>
    <w:rsid w:val="475A5D99"/>
    <w:rsid w:val="47617B01"/>
    <w:rsid w:val="47705F96"/>
    <w:rsid w:val="47D227AD"/>
    <w:rsid w:val="48474086"/>
    <w:rsid w:val="48645AFB"/>
    <w:rsid w:val="487270A8"/>
    <w:rsid w:val="490948F4"/>
    <w:rsid w:val="49184B37"/>
    <w:rsid w:val="49A95790"/>
    <w:rsid w:val="49C94CF6"/>
    <w:rsid w:val="4A044128"/>
    <w:rsid w:val="4A0550BC"/>
    <w:rsid w:val="4A3E6BD8"/>
    <w:rsid w:val="4AE12184"/>
    <w:rsid w:val="4B3043BA"/>
    <w:rsid w:val="4B3C4B0D"/>
    <w:rsid w:val="4B6E6C91"/>
    <w:rsid w:val="4B6F393D"/>
    <w:rsid w:val="4BA321EF"/>
    <w:rsid w:val="4C3670EF"/>
    <w:rsid w:val="4C39180B"/>
    <w:rsid w:val="4C426D02"/>
    <w:rsid w:val="4C566AC2"/>
    <w:rsid w:val="4C571903"/>
    <w:rsid w:val="4C583BC9"/>
    <w:rsid w:val="4C6C313C"/>
    <w:rsid w:val="4C735CC9"/>
    <w:rsid w:val="4C7A0B36"/>
    <w:rsid w:val="4C8A2FFB"/>
    <w:rsid w:val="4CF907DC"/>
    <w:rsid w:val="4CFA566E"/>
    <w:rsid w:val="4D172204"/>
    <w:rsid w:val="4D706CF0"/>
    <w:rsid w:val="4DAD0C10"/>
    <w:rsid w:val="4DF87717"/>
    <w:rsid w:val="4E006AFF"/>
    <w:rsid w:val="4ED676B8"/>
    <w:rsid w:val="4EF219BE"/>
    <w:rsid w:val="4F18319B"/>
    <w:rsid w:val="4F6B5A0B"/>
    <w:rsid w:val="4F7E2887"/>
    <w:rsid w:val="4F7E6CEF"/>
    <w:rsid w:val="4F9F16E2"/>
    <w:rsid w:val="50083210"/>
    <w:rsid w:val="50483F54"/>
    <w:rsid w:val="505E1082"/>
    <w:rsid w:val="509E3B74"/>
    <w:rsid w:val="50A02C9E"/>
    <w:rsid w:val="51112598"/>
    <w:rsid w:val="512D64A3"/>
    <w:rsid w:val="514C1822"/>
    <w:rsid w:val="5153670D"/>
    <w:rsid w:val="51622DF4"/>
    <w:rsid w:val="518A0215"/>
    <w:rsid w:val="51B66C9C"/>
    <w:rsid w:val="51BF1FF4"/>
    <w:rsid w:val="520B6FE7"/>
    <w:rsid w:val="525B7E1D"/>
    <w:rsid w:val="526B5CD8"/>
    <w:rsid w:val="52A24FDF"/>
    <w:rsid w:val="53020B78"/>
    <w:rsid w:val="53313D67"/>
    <w:rsid w:val="53AB0A82"/>
    <w:rsid w:val="53AD7272"/>
    <w:rsid w:val="53B43914"/>
    <w:rsid w:val="53BD6600"/>
    <w:rsid w:val="544607AB"/>
    <w:rsid w:val="54B25E40"/>
    <w:rsid w:val="54F642E8"/>
    <w:rsid w:val="55063E6A"/>
    <w:rsid w:val="552031DC"/>
    <w:rsid w:val="55AA6B17"/>
    <w:rsid w:val="55C01E0A"/>
    <w:rsid w:val="55D35C40"/>
    <w:rsid w:val="55E145BE"/>
    <w:rsid w:val="56004989"/>
    <w:rsid w:val="5614040F"/>
    <w:rsid w:val="561416A0"/>
    <w:rsid w:val="561C4A84"/>
    <w:rsid w:val="5620044A"/>
    <w:rsid w:val="56537B73"/>
    <w:rsid w:val="56544D3E"/>
    <w:rsid w:val="5669362B"/>
    <w:rsid w:val="5684380C"/>
    <w:rsid w:val="568469C6"/>
    <w:rsid w:val="56FA18DA"/>
    <w:rsid w:val="572E5E27"/>
    <w:rsid w:val="5743634D"/>
    <w:rsid w:val="577F3152"/>
    <w:rsid w:val="57831D16"/>
    <w:rsid w:val="57BC3A1E"/>
    <w:rsid w:val="57DC3499"/>
    <w:rsid w:val="57E44562"/>
    <w:rsid w:val="57F41753"/>
    <w:rsid w:val="5815308E"/>
    <w:rsid w:val="582235D0"/>
    <w:rsid w:val="58226E39"/>
    <w:rsid w:val="585A6BA1"/>
    <w:rsid w:val="5864658C"/>
    <w:rsid w:val="58BA7875"/>
    <w:rsid w:val="58C67F77"/>
    <w:rsid w:val="58FC6629"/>
    <w:rsid w:val="58FD3402"/>
    <w:rsid w:val="593C411D"/>
    <w:rsid w:val="597213EE"/>
    <w:rsid w:val="59782F5F"/>
    <w:rsid w:val="59941FB8"/>
    <w:rsid w:val="599B2F55"/>
    <w:rsid w:val="599F093D"/>
    <w:rsid w:val="59AA17DC"/>
    <w:rsid w:val="59E24F81"/>
    <w:rsid w:val="5A0F163F"/>
    <w:rsid w:val="5A5B2AD6"/>
    <w:rsid w:val="5A7C756D"/>
    <w:rsid w:val="5AA65DE6"/>
    <w:rsid w:val="5AB8045B"/>
    <w:rsid w:val="5B2531C8"/>
    <w:rsid w:val="5B484E08"/>
    <w:rsid w:val="5B5C4D58"/>
    <w:rsid w:val="5B70610D"/>
    <w:rsid w:val="5B745285"/>
    <w:rsid w:val="5B771558"/>
    <w:rsid w:val="5B7E5C6C"/>
    <w:rsid w:val="5BB64468"/>
    <w:rsid w:val="5BDE576D"/>
    <w:rsid w:val="5BEA5669"/>
    <w:rsid w:val="5C185423"/>
    <w:rsid w:val="5C4911DA"/>
    <w:rsid w:val="5CA442C0"/>
    <w:rsid w:val="5CAC7095"/>
    <w:rsid w:val="5CB45021"/>
    <w:rsid w:val="5CD14736"/>
    <w:rsid w:val="5CE67B58"/>
    <w:rsid w:val="5CEC7387"/>
    <w:rsid w:val="5CF90780"/>
    <w:rsid w:val="5CFA3640"/>
    <w:rsid w:val="5D1E6A21"/>
    <w:rsid w:val="5D222D9A"/>
    <w:rsid w:val="5D414205"/>
    <w:rsid w:val="5D6972B8"/>
    <w:rsid w:val="5D861C18"/>
    <w:rsid w:val="5DD57473"/>
    <w:rsid w:val="5E2A6A47"/>
    <w:rsid w:val="5E5B3B59"/>
    <w:rsid w:val="5E835304"/>
    <w:rsid w:val="5EA51A11"/>
    <w:rsid w:val="5EAC0C35"/>
    <w:rsid w:val="5ED97AB4"/>
    <w:rsid w:val="5EF26FCF"/>
    <w:rsid w:val="5F19651F"/>
    <w:rsid w:val="5F88611B"/>
    <w:rsid w:val="5FAA006E"/>
    <w:rsid w:val="5FBB029F"/>
    <w:rsid w:val="5FD924D3"/>
    <w:rsid w:val="5FDC6467"/>
    <w:rsid w:val="600A5AEE"/>
    <w:rsid w:val="600F20EB"/>
    <w:rsid w:val="60231460"/>
    <w:rsid w:val="602A71D2"/>
    <w:rsid w:val="60624C38"/>
    <w:rsid w:val="60684C5F"/>
    <w:rsid w:val="60805193"/>
    <w:rsid w:val="609C327E"/>
    <w:rsid w:val="60A96349"/>
    <w:rsid w:val="60AB50F6"/>
    <w:rsid w:val="60D64C64"/>
    <w:rsid w:val="60DC595C"/>
    <w:rsid w:val="60E53AB3"/>
    <w:rsid w:val="615A2774"/>
    <w:rsid w:val="615A60AB"/>
    <w:rsid w:val="61891CD7"/>
    <w:rsid w:val="62083543"/>
    <w:rsid w:val="62137845"/>
    <w:rsid w:val="62E95620"/>
    <w:rsid w:val="63071A4D"/>
    <w:rsid w:val="630B6558"/>
    <w:rsid w:val="63387E58"/>
    <w:rsid w:val="636E5628"/>
    <w:rsid w:val="63721CB7"/>
    <w:rsid w:val="639F6F61"/>
    <w:rsid w:val="63FF2724"/>
    <w:rsid w:val="640E64EE"/>
    <w:rsid w:val="642E64F2"/>
    <w:rsid w:val="64475FF6"/>
    <w:rsid w:val="645619B0"/>
    <w:rsid w:val="64EF4547"/>
    <w:rsid w:val="64FD3107"/>
    <w:rsid w:val="65241819"/>
    <w:rsid w:val="652E1513"/>
    <w:rsid w:val="6533223F"/>
    <w:rsid w:val="65677849"/>
    <w:rsid w:val="658E1FB1"/>
    <w:rsid w:val="65B54003"/>
    <w:rsid w:val="66404ED7"/>
    <w:rsid w:val="669C24AC"/>
    <w:rsid w:val="669E7FD2"/>
    <w:rsid w:val="66A355E9"/>
    <w:rsid w:val="66BE68C6"/>
    <w:rsid w:val="66C93079"/>
    <w:rsid w:val="67212B02"/>
    <w:rsid w:val="675F31C0"/>
    <w:rsid w:val="67966EFB"/>
    <w:rsid w:val="67E22141"/>
    <w:rsid w:val="680F102C"/>
    <w:rsid w:val="6837619D"/>
    <w:rsid w:val="689C2C37"/>
    <w:rsid w:val="68BB30BE"/>
    <w:rsid w:val="68BB5DE9"/>
    <w:rsid w:val="68D4417F"/>
    <w:rsid w:val="68E37117"/>
    <w:rsid w:val="68F01177"/>
    <w:rsid w:val="69071843"/>
    <w:rsid w:val="6933534A"/>
    <w:rsid w:val="69526375"/>
    <w:rsid w:val="6956797A"/>
    <w:rsid w:val="69673C46"/>
    <w:rsid w:val="69C266CE"/>
    <w:rsid w:val="69D83A47"/>
    <w:rsid w:val="6A485990"/>
    <w:rsid w:val="6A522BBB"/>
    <w:rsid w:val="6A694655"/>
    <w:rsid w:val="6A786FF0"/>
    <w:rsid w:val="6A8219B9"/>
    <w:rsid w:val="6A900CD6"/>
    <w:rsid w:val="6AA727A6"/>
    <w:rsid w:val="6AAD4547"/>
    <w:rsid w:val="6B0C26A0"/>
    <w:rsid w:val="6B22492A"/>
    <w:rsid w:val="6B2B17F3"/>
    <w:rsid w:val="6B2D5DC9"/>
    <w:rsid w:val="6B3111E5"/>
    <w:rsid w:val="6B343CD1"/>
    <w:rsid w:val="6B3F5E47"/>
    <w:rsid w:val="6B573AC7"/>
    <w:rsid w:val="6BAF4F71"/>
    <w:rsid w:val="6BBE6B05"/>
    <w:rsid w:val="6BCB7ABB"/>
    <w:rsid w:val="6BCF626D"/>
    <w:rsid w:val="6C2B6429"/>
    <w:rsid w:val="6C6B4DFB"/>
    <w:rsid w:val="6CCB5899"/>
    <w:rsid w:val="6CD74FCF"/>
    <w:rsid w:val="6D0B3EE8"/>
    <w:rsid w:val="6D0C6F5A"/>
    <w:rsid w:val="6D100E25"/>
    <w:rsid w:val="6D645E95"/>
    <w:rsid w:val="6DB17449"/>
    <w:rsid w:val="6DC46BBB"/>
    <w:rsid w:val="6DEF55B7"/>
    <w:rsid w:val="6DEF7365"/>
    <w:rsid w:val="6E0F746B"/>
    <w:rsid w:val="6E1041E0"/>
    <w:rsid w:val="6E413283"/>
    <w:rsid w:val="6E7206C2"/>
    <w:rsid w:val="6E9058AB"/>
    <w:rsid w:val="6EA36ACE"/>
    <w:rsid w:val="6EB4598E"/>
    <w:rsid w:val="6ED300F7"/>
    <w:rsid w:val="6F2671F4"/>
    <w:rsid w:val="6F420AE1"/>
    <w:rsid w:val="6F4F630E"/>
    <w:rsid w:val="6FBF4D77"/>
    <w:rsid w:val="6FE17E75"/>
    <w:rsid w:val="7049709F"/>
    <w:rsid w:val="70514307"/>
    <w:rsid w:val="7055204A"/>
    <w:rsid w:val="706202C3"/>
    <w:rsid w:val="70EF6573"/>
    <w:rsid w:val="710776F3"/>
    <w:rsid w:val="710F63A7"/>
    <w:rsid w:val="711772FF"/>
    <w:rsid w:val="71212378"/>
    <w:rsid w:val="712A7FDD"/>
    <w:rsid w:val="716C7578"/>
    <w:rsid w:val="716F2701"/>
    <w:rsid w:val="71985291"/>
    <w:rsid w:val="72A05A0D"/>
    <w:rsid w:val="730A24BF"/>
    <w:rsid w:val="73105E65"/>
    <w:rsid w:val="732B12BB"/>
    <w:rsid w:val="73335F46"/>
    <w:rsid w:val="74035382"/>
    <w:rsid w:val="747D391D"/>
    <w:rsid w:val="74C4399D"/>
    <w:rsid w:val="74CF0AF0"/>
    <w:rsid w:val="74DF6E1D"/>
    <w:rsid w:val="75217819"/>
    <w:rsid w:val="755B4233"/>
    <w:rsid w:val="75687400"/>
    <w:rsid w:val="75D5400A"/>
    <w:rsid w:val="75DC28C5"/>
    <w:rsid w:val="760D6630"/>
    <w:rsid w:val="7636306B"/>
    <w:rsid w:val="76377AFB"/>
    <w:rsid w:val="76AE24B4"/>
    <w:rsid w:val="76B64EC4"/>
    <w:rsid w:val="76C76414"/>
    <w:rsid w:val="771209F6"/>
    <w:rsid w:val="77135FA2"/>
    <w:rsid w:val="771C566F"/>
    <w:rsid w:val="772C162A"/>
    <w:rsid w:val="77454C5F"/>
    <w:rsid w:val="77475FDC"/>
    <w:rsid w:val="774A35B7"/>
    <w:rsid w:val="775C1F10"/>
    <w:rsid w:val="776C1817"/>
    <w:rsid w:val="7783749C"/>
    <w:rsid w:val="77903967"/>
    <w:rsid w:val="779C66C8"/>
    <w:rsid w:val="77DB2CC0"/>
    <w:rsid w:val="77E84FBB"/>
    <w:rsid w:val="77EA4031"/>
    <w:rsid w:val="782742C2"/>
    <w:rsid w:val="787E5EB6"/>
    <w:rsid w:val="78DA407B"/>
    <w:rsid w:val="78EB23D7"/>
    <w:rsid w:val="79202948"/>
    <w:rsid w:val="793139C1"/>
    <w:rsid w:val="796B4D55"/>
    <w:rsid w:val="798E14D3"/>
    <w:rsid w:val="79911376"/>
    <w:rsid w:val="79B3393D"/>
    <w:rsid w:val="79B628C7"/>
    <w:rsid w:val="7A003188"/>
    <w:rsid w:val="7A0472EE"/>
    <w:rsid w:val="7A652E89"/>
    <w:rsid w:val="7A77216C"/>
    <w:rsid w:val="7A7B5C19"/>
    <w:rsid w:val="7B1A27DF"/>
    <w:rsid w:val="7B292109"/>
    <w:rsid w:val="7B340EF0"/>
    <w:rsid w:val="7B3F65A0"/>
    <w:rsid w:val="7BCF54E3"/>
    <w:rsid w:val="7BDC6CA1"/>
    <w:rsid w:val="7C134925"/>
    <w:rsid w:val="7C247DCD"/>
    <w:rsid w:val="7C8021FC"/>
    <w:rsid w:val="7C832D1E"/>
    <w:rsid w:val="7CF20707"/>
    <w:rsid w:val="7D221505"/>
    <w:rsid w:val="7D3E1407"/>
    <w:rsid w:val="7D4F71B1"/>
    <w:rsid w:val="7D5E294D"/>
    <w:rsid w:val="7D831878"/>
    <w:rsid w:val="7D867C12"/>
    <w:rsid w:val="7DEB0D83"/>
    <w:rsid w:val="7E2A2AAC"/>
    <w:rsid w:val="7E613AC8"/>
    <w:rsid w:val="7ED01F20"/>
    <w:rsid w:val="7EF24F07"/>
    <w:rsid w:val="7F4D606A"/>
    <w:rsid w:val="7F695CCD"/>
    <w:rsid w:val="7FD2125F"/>
    <w:rsid w:val="7FDC75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643" w:firstLineChars="20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keepNext/>
      <w:keepLines/>
      <w:spacing w:before="340" w:after="330" w:line="576" w:lineRule="auto"/>
      <w:outlineLvl w:val="0"/>
    </w:pPr>
    <w:rPr>
      <w:b/>
      <w:kern w:val="44"/>
      <w:sz w:val="44"/>
    </w:rPr>
  </w:style>
  <w:style w:type="paragraph" w:styleId="3">
    <w:name w:val="heading 2"/>
    <w:basedOn w:val="1"/>
    <w:next w:val="1"/>
    <w:unhideWhenUsed/>
    <w:qFormat/>
    <w:uiPriority w:val="0"/>
    <w:pPr>
      <w:keepNext/>
      <w:keepLines/>
      <w:spacing w:beforeLines="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Lines="0" w:line="413" w:lineRule="auto"/>
      <w:jc w:val="center"/>
      <w:outlineLvl w:val="2"/>
    </w:pPr>
    <w:rPr>
      <w:b/>
      <w:sz w:val="28"/>
    </w:rPr>
  </w:style>
  <w:style w:type="character" w:default="1" w:styleId="21">
    <w:name w:val="Default Paragraph Font"/>
    <w:semiHidden/>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5">
    <w:name w:val="Normal Indent"/>
    <w:basedOn w:val="1"/>
    <w:next w:val="1"/>
    <w:qFormat/>
    <w:uiPriority w:val="99"/>
    <w:pPr>
      <w:ind w:firstLine="420" w:firstLineChars="200"/>
    </w:pPr>
    <w:rPr>
      <w:rFonts w:eastAsia="仿宋"/>
    </w:rPr>
  </w:style>
  <w:style w:type="paragraph" w:styleId="6">
    <w:name w:val="Body Text"/>
    <w:basedOn w:val="1"/>
    <w:next w:val="7"/>
    <w:qFormat/>
    <w:uiPriority w:val="0"/>
    <w:pPr>
      <w:autoSpaceDE w:val="0"/>
      <w:autoSpaceDN w:val="0"/>
      <w:jc w:val="left"/>
    </w:pPr>
    <w:rPr>
      <w:rFonts w:hint="eastAsia" w:ascii="微软雅黑" w:hAnsi="微软雅黑" w:eastAsia="微软雅黑" w:cs="微软雅黑"/>
      <w:kern w:val="0"/>
      <w:sz w:val="20"/>
      <w:szCs w:val="20"/>
      <w:lang w:val="zh-CN" w:bidi="zh-CN"/>
    </w:rPr>
  </w:style>
  <w:style w:type="paragraph" w:customStyle="1" w:styleId="7">
    <w:name w:val="引用1"/>
    <w:basedOn w:val="1"/>
    <w:next w:val="1"/>
    <w:qFormat/>
    <w:uiPriority w:val="29"/>
    <w:rPr>
      <w:i/>
      <w:iCs/>
      <w:color w:val="000000"/>
    </w:rPr>
  </w:style>
  <w:style w:type="paragraph" w:styleId="8">
    <w:name w:val="Body Text Indent"/>
    <w:basedOn w:val="1"/>
    <w:next w:val="5"/>
    <w:qFormat/>
    <w:uiPriority w:val="99"/>
  </w:style>
  <w:style w:type="paragraph" w:styleId="9">
    <w:name w:val="Plain Text"/>
    <w:basedOn w:val="1"/>
    <w:next w:val="10"/>
    <w:qFormat/>
    <w:uiPriority w:val="0"/>
    <w:pPr>
      <w:widowControl/>
      <w:adjustRightInd w:val="0"/>
      <w:snapToGrid w:val="0"/>
      <w:spacing w:before="50" w:beforeLines="50" w:after="50" w:afterLines="50"/>
      <w:ind w:firstLine="200" w:firstLineChars="200"/>
    </w:pPr>
    <w:rPr>
      <w:rFonts w:ascii="宋体" w:hAnsi="Courier New" w:eastAsia="宋体" w:cs="Times New Roman"/>
      <w:sz w:val="28"/>
      <w:szCs w:val="24"/>
    </w:rPr>
  </w:style>
  <w:style w:type="paragraph" w:styleId="10">
    <w:name w:val="List Number 5"/>
    <w:basedOn w:val="1"/>
    <w:qFormat/>
    <w:uiPriority w:val="0"/>
    <w:pPr>
      <w:numPr>
        <w:ilvl w:val="0"/>
        <w:numId w:val="1"/>
      </w:numPr>
    </w:pPr>
  </w:style>
  <w:style w:type="paragraph" w:styleId="11">
    <w:name w:val="Body Text Indent 2"/>
    <w:basedOn w:val="1"/>
    <w:qFormat/>
    <w:uiPriority w:val="99"/>
    <w:pPr>
      <w:spacing w:after="120" w:line="480" w:lineRule="auto"/>
      <w:ind w:left="420" w:leftChars="200"/>
    </w:pPr>
    <w:rPr>
      <w:rFonts w:ascii="宋体" w:hAnsi="宋体" w:eastAsia="宋体"/>
      <w:bCs/>
      <w:sz w:val="21"/>
      <w:szCs w:val="24"/>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4">
    <w:name w:val="toc 1"/>
    <w:basedOn w:val="1"/>
    <w:next w:val="1"/>
    <w:unhideWhenUsed/>
    <w:qFormat/>
    <w:uiPriority w:val="39"/>
    <w:pPr>
      <w:spacing w:beforeLines="50" w:after="120"/>
      <w:ind w:left="100" w:leftChars="100"/>
      <w:jc w:val="left"/>
    </w:pPr>
    <w:rPr>
      <w:b/>
      <w:bCs/>
      <w:caps/>
      <w:sz w:val="20"/>
      <w:szCs w:val="20"/>
    </w:rPr>
  </w:style>
  <w:style w:type="paragraph" w:styleId="15">
    <w:name w:val="toc 2"/>
    <w:basedOn w:val="1"/>
    <w:next w:val="1"/>
    <w:qFormat/>
    <w:uiPriority w:val="0"/>
    <w:pPr>
      <w:ind w:left="420" w:leftChars="200"/>
    </w:pPr>
  </w:style>
  <w:style w:type="paragraph" w:styleId="1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7">
    <w:name w:val="Body Text First Indent"/>
    <w:basedOn w:val="6"/>
    <w:link w:val="43"/>
    <w:unhideWhenUsed/>
    <w:qFormat/>
    <w:uiPriority w:val="99"/>
    <w:pPr>
      <w:spacing w:after="120" w:line="240" w:lineRule="auto"/>
      <w:ind w:firstLine="420" w:firstLineChars="100"/>
    </w:pPr>
    <w:rPr>
      <w:sz w:val="21"/>
      <w:szCs w:val="22"/>
      <w:lang w:val="en-US"/>
    </w:rPr>
  </w:style>
  <w:style w:type="paragraph" w:styleId="18">
    <w:name w:val="Body Text First Indent 2"/>
    <w:basedOn w:val="1"/>
    <w:link w:val="42"/>
    <w:qFormat/>
    <w:uiPriority w:val="0"/>
    <w:pPr>
      <w:spacing w:afterLines="0"/>
      <w:ind w:left="420" w:leftChars="200" w:firstLine="210"/>
    </w:pPr>
  </w:style>
  <w:style w:type="table" w:styleId="20">
    <w:name w:val="Table Grid"/>
    <w:basedOn w:val="19"/>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0"/>
    <w:rPr>
      <w:b/>
    </w:rPr>
  </w:style>
  <w:style w:type="character" w:styleId="23">
    <w:name w:val="Emphasis"/>
    <w:basedOn w:val="21"/>
    <w:qFormat/>
    <w:uiPriority w:val="0"/>
    <w:rPr>
      <w:i/>
    </w:rPr>
  </w:style>
  <w:style w:type="paragraph" w:customStyle="1" w:styleId="24">
    <w:name w:val="Default"/>
    <w:qFormat/>
    <w:uiPriority w:val="0"/>
    <w:pPr>
      <w:widowControl w:val="0"/>
      <w:autoSpaceDE w:val="0"/>
      <w:autoSpaceDN w:val="0"/>
      <w:adjustRightInd w:val="0"/>
    </w:pPr>
    <w:rPr>
      <w:rFonts w:ascii="黑体" w:hAnsi="Calibri" w:eastAsia="黑体" w:cs="黑体"/>
      <w:color w:val="000000"/>
      <w:sz w:val="24"/>
      <w:szCs w:val="24"/>
      <w:lang w:val="en-US" w:eastAsia="zh-CN" w:bidi="ar-SA"/>
    </w:rPr>
  </w:style>
  <w:style w:type="paragraph" w:customStyle="1" w:styleId="25">
    <w:name w:val="规划正文"/>
    <w:basedOn w:val="1"/>
    <w:qFormat/>
    <w:uiPriority w:val="0"/>
    <w:pPr>
      <w:spacing w:line="288" w:lineRule="auto"/>
      <w:ind w:firstLine="200" w:firstLineChars="200"/>
    </w:pPr>
    <w:rPr>
      <w:rFonts w:ascii="仿宋" w:hAnsi="仿宋" w:eastAsia="仿宋"/>
      <w:szCs w:val="22"/>
    </w:rPr>
  </w:style>
  <w:style w:type="paragraph" w:customStyle="1" w:styleId="26">
    <w:name w:val="表格"/>
    <w:basedOn w:val="1"/>
    <w:qFormat/>
    <w:uiPriority w:val="0"/>
    <w:pPr>
      <w:keepNext/>
      <w:keepLines/>
      <w:spacing w:line="400" w:lineRule="exact"/>
      <w:ind w:firstLine="0" w:firstLineChars="0"/>
      <w:jc w:val="center"/>
    </w:pPr>
    <w:rPr>
      <w:rFonts w:hint="eastAsia" w:ascii="黑体" w:hAnsi="黑体" w:cs="黑体"/>
      <w:szCs w:val="28"/>
    </w:rPr>
  </w:style>
  <w:style w:type="paragraph" w:customStyle="1" w:styleId="27">
    <w:name w:val="图名表名"/>
    <w:basedOn w:val="1"/>
    <w:qFormat/>
    <w:uiPriority w:val="0"/>
    <w:pPr>
      <w:spacing w:line="240" w:lineRule="auto"/>
      <w:ind w:firstLine="0" w:firstLineChars="0"/>
      <w:jc w:val="center"/>
    </w:pPr>
    <w:rPr>
      <w:rFonts w:ascii="黑体" w:hAnsi="黑体" w:eastAsia="黑体"/>
      <w:b/>
      <w:sz w:val="24"/>
    </w:rPr>
  </w:style>
  <w:style w:type="table" w:customStyle="1" w:styleId="28">
    <w:name w:val="网格型3"/>
    <w:basedOn w:val="1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9">
    <w:name w:val="网格型5"/>
    <w:basedOn w:val="19"/>
    <w:qFormat/>
    <w:uiPriority w:val="9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0">
    <w:name w:val="表格标题"/>
    <w:basedOn w:val="1"/>
    <w:qFormat/>
    <w:uiPriority w:val="0"/>
    <w:pPr>
      <w:spacing w:before="0" w:beforeLines="0" w:after="0" w:afterLines="0" w:line="240" w:lineRule="auto"/>
      <w:ind w:firstLine="0" w:firstLineChars="0"/>
      <w:jc w:val="center"/>
    </w:pPr>
    <w:rPr>
      <w:rFonts w:hint="eastAsia"/>
      <w:b/>
      <w:sz w:val="21"/>
    </w:rPr>
  </w:style>
  <w:style w:type="paragraph" w:customStyle="1" w:styleId="31">
    <w:name w:val="表格内容"/>
    <w:basedOn w:val="1"/>
    <w:qFormat/>
    <w:uiPriority w:val="0"/>
    <w:pPr>
      <w:spacing w:before="0" w:beforeLines="0" w:after="0" w:afterLines="0" w:line="240" w:lineRule="atLeast"/>
      <w:ind w:firstLine="0" w:firstLineChars="0"/>
      <w:jc w:val="center"/>
    </w:pPr>
    <w:rPr>
      <w:bCs/>
      <w:kern w:val="0"/>
      <w:sz w:val="21"/>
      <w:szCs w:val="24"/>
    </w:rPr>
  </w:style>
  <w:style w:type="paragraph" w:customStyle="1" w:styleId="32">
    <w:name w:val="Table Paragraph"/>
    <w:basedOn w:val="1"/>
    <w:qFormat/>
    <w:uiPriority w:val="1"/>
    <w:rPr>
      <w:rFonts w:ascii="黑体" w:hAnsi="黑体" w:eastAsia="黑体" w:cs="黑体"/>
    </w:rPr>
  </w:style>
  <w:style w:type="paragraph" w:customStyle="1" w:styleId="33">
    <w:name w:val="节标题"/>
    <w:basedOn w:val="3"/>
    <w:qFormat/>
    <w:uiPriority w:val="0"/>
    <w:pPr>
      <w:keepNext w:val="0"/>
      <w:keepLines w:val="0"/>
      <w:spacing w:before="50" w:after="50" w:line="480" w:lineRule="exact"/>
      <w:ind w:firstLine="0" w:firstLineChars="0"/>
      <w:jc w:val="center"/>
    </w:pPr>
    <w:rPr>
      <w:rFonts w:ascii="黑体" w:hAnsi="黑体" w:eastAsia="黑体" w:cs="Times New Roman"/>
      <w:kern w:val="0"/>
      <w:sz w:val="28"/>
    </w:rPr>
  </w:style>
  <w:style w:type="paragraph" w:customStyle="1" w:styleId="34">
    <w:name w:val="章标题"/>
    <w:basedOn w:val="2"/>
    <w:next w:val="35"/>
    <w:link w:val="41"/>
    <w:qFormat/>
    <w:uiPriority w:val="0"/>
    <w:pPr>
      <w:spacing w:before="50" w:after="50" w:line="480" w:lineRule="exact"/>
    </w:pPr>
    <w:rPr>
      <w:sz w:val="32"/>
      <w:szCs w:val="44"/>
    </w:rPr>
  </w:style>
  <w:style w:type="paragraph" w:customStyle="1" w:styleId="35">
    <w:name w:val="章首领文段"/>
    <w:qFormat/>
    <w:uiPriority w:val="0"/>
    <w:pPr>
      <w:spacing w:line="480" w:lineRule="exact"/>
      <w:ind w:firstLine="200" w:firstLineChars="200"/>
      <w:jc w:val="both"/>
    </w:pPr>
    <w:rPr>
      <w:rFonts w:ascii="Times New Roman" w:hAnsi="Times New Roman" w:eastAsia="楷体" w:cs="Times New Roman"/>
      <w:sz w:val="28"/>
      <w:lang w:val="en-US" w:eastAsia="zh-CN" w:bidi="ar-SA"/>
    </w:rPr>
  </w:style>
  <w:style w:type="paragraph" w:customStyle="1" w:styleId="36">
    <w:name w:val="一、"/>
    <w:basedOn w:val="4"/>
    <w:qFormat/>
    <w:uiPriority w:val="0"/>
    <w:pPr>
      <w:keepNext w:val="0"/>
      <w:keepLines w:val="0"/>
      <w:spacing w:before="0" w:beforeLines="0" w:after="0" w:afterLines="0" w:line="480" w:lineRule="exact"/>
      <w:ind w:left="0" w:firstLine="200"/>
      <w:textAlignment w:val="center"/>
    </w:pPr>
    <w:rPr>
      <w:rFonts w:cs="Times New Roman"/>
      <w:sz w:val="28"/>
    </w:rPr>
  </w:style>
  <w:style w:type="paragraph" w:customStyle="1" w:styleId="37">
    <w:name w:val="WPSOffice手动目录 1"/>
    <w:qFormat/>
    <w:uiPriority w:val="0"/>
    <w:pPr>
      <w:ind w:leftChars="0"/>
    </w:pPr>
    <w:rPr>
      <w:rFonts w:ascii="Times New Roman" w:hAnsi="Times New Roman" w:eastAsia="宋体" w:cs="Times New Roman"/>
      <w:sz w:val="20"/>
      <w:szCs w:val="20"/>
    </w:rPr>
  </w:style>
  <w:style w:type="paragraph" w:customStyle="1" w:styleId="38">
    <w:name w:val="WPSOffice手动目录 2"/>
    <w:qFormat/>
    <w:uiPriority w:val="0"/>
    <w:pPr>
      <w:ind w:leftChars="200"/>
    </w:pPr>
    <w:rPr>
      <w:rFonts w:ascii="Times New Roman" w:hAnsi="Times New Roman" w:eastAsia="宋体" w:cs="Times New Roman"/>
      <w:sz w:val="20"/>
      <w:szCs w:val="20"/>
    </w:rPr>
  </w:style>
  <w:style w:type="character" w:customStyle="1" w:styleId="39">
    <w:name w:val="font21"/>
    <w:basedOn w:val="21"/>
    <w:qFormat/>
    <w:uiPriority w:val="0"/>
    <w:rPr>
      <w:rFonts w:hint="default" w:ascii="仿宋_GB2312" w:eastAsia="仿宋_GB2312" w:cs="仿宋_GB2312"/>
      <w:color w:val="000000"/>
      <w:sz w:val="24"/>
      <w:szCs w:val="24"/>
      <w:u w:val="none"/>
    </w:rPr>
  </w:style>
  <w:style w:type="character" w:customStyle="1" w:styleId="40">
    <w:name w:val="font11"/>
    <w:basedOn w:val="21"/>
    <w:qFormat/>
    <w:uiPriority w:val="0"/>
    <w:rPr>
      <w:rFonts w:hint="default" w:ascii="Times New Roman" w:hAnsi="Times New Roman" w:cs="Times New Roman"/>
      <w:color w:val="000000"/>
      <w:sz w:val="24"/>
      <w:szCs w:val="24"/>
      <w:u w:val="none"/>
    </w:rPr>
  </w:style>
  <w:style w:type="character" w:customStyle="1" w:styleId="41">
    <w:name w:val="章标题 Char"/>
    <w:link w:val="34"/>
    <w:qFormat/>
    <w:uiPriority w:val="0"/>
    <w:rPr>
      <w:sz w:val="32"/>
      <w:szCs w:val="44"/>
    </w:rPr>
  </w:style>
  <w:style w:type="character" w:customStyle="1" w:styleId="42">
    <w:name w:val="正文首行缩进 2 Char"/>
    <w:link w:val="18"/>
    <w:qFormat/>
    <w:uiPriority w:val="0"/>
  </w:style>
  <w:style w:type="character" w:customStyle="1" w:styleId="43">
    <w:name w:val="正文首行缩进 Char"/>
    <w:link w:val="17"/>
    <w:qFormat/>
    <w:uiPriority w:val="99"/>
    <w:rPr>
      <w:sz w:val="21"/>
      <w:szCs w:val="22"/>
      <w:lang w:val="en-US"/>
    </w:rPr>
  </w:style>
  <w:style w:type="paragraph" w:customStyle="1" w:styleId="44">
    <w:name w:val="专栏标题"/>
    <w:basedOn w:val="1"/>
    <w:qFormat/>
    <w:uiPriority w:val="0"/>
    <w:pPr>
      <w:spacing w:before="0" w:beforeLines="0" w:after="0" w:afterLines="0" w:line="560" w:lineRule="exact"/>
      <w:ind w:firstLine="0" w:firstLineChars="0"/>
      <w:jc w:val="center"/>
    </w:pPr>
    <w:rPr>
      <w:rFonts w:eastAsia="黑体" w:cs="Times New Roman"/>
    </w:rPr>
  </w:style>
  <w:style w:type="paragraph" w:customStyle="1" w:styleId="45">
    <w:name w:val="附表标题"/>
    <w:basedOn w:val="3"/>
    <w:qFormat/>
    <w:uiPriority w:val="0"/>
    <w:pPr>
      <w:keepNext w:val="0"/>
      <w:keepLines w:val="0"/>
      <w:numPr>
        <w:ilvl w:val="0"/>
        <w:numId w:val="2"/>
      </w:numPr>
      <w:spacing w:before="50" w:after="50" w:line="400" w:lineRule="exact"/>
      <w:ind w:left="0" w:firstLine="420" w:firstLineChars="0"/>
      <w:jc w:val="center"/>
    </w:pPr>
    <w:rPr>
      <w:rFonts w:ascii="Times New Roman" w:hAnsi="Times New Roman" w:eastAsia="黑体"/>
      <w:b w:val="0"/>
    </w:rPr>
  </w:style>
  <w:style w:type="paragraph" w:customStyle="1" w:styleId="46">
    <w:name w:val="正文仿宋"/>
    <w:qFormat/>
    <w:uiPriority w:val="0"/>
    <w:pPr>
      <w:widowControl w:val="0"/>
      <w:autoSpaceDE w:val="0"/>
      <w:autoSpaceDN w:val="0"/>
      <w:adjustRightInd w:val="0"/>
      <w:spacing w:line="480" w:lineRule="exact"/>
      <w:ind w:firstLine="200" w:firstLineChars="200"/>
      <w:jc w:val="both"/>
    </w:pPr>
    <w:rPr>
      <w:rFonts w:ascii="Times New Roman" w:hAnsi="Times New Roman" w:eastAsia="仿宋_GB2312" w:cs="仿宋"/>
      <w:color w:val="000000"/>
      <w:sz w:val="28"/>
      <w:szCs w:val="24"/>
      <w:lang w:val="en-US" w:eastAsia="zh-CN" w:bidi="ar-SA"/>
    </w:rPr>
  </w:style>
  <w:style w:type="paragraph" w:customStyle="1" w:styleId="47">
    <w:name w:val="（一）"/>
    <w:basedOn w:val="46"/>
    <w:qFormat/>
    <w:uiPriority w:val="0"/>
    <w:pPr>
      <w:numPr>
        <w:ilvl w:val="3"/>
        <w:numId w:val="3"/>
      </w:numPr>
      <w:ind w:firstLine="200"/>
    </w:pPr>
    <w:rPr>
      <w:b/>
      <w:bCs/>
    </w:rPr>
  </w:style>
  <w:style w:type="paragraph" w:styleId="48">
    <w:name w:val="List Paragraph"/>
    <w:basedOn w:val="1"/>
    <w:qFormat/>
    <w:uiPriority w:val="99"/>
    <w:pPr>
      <w:ind w:firstLine="420" w:firstLineChars="200"/>
    </w:pPr>
  </w:style>
  <w:style w:type="paragraph" w:customStyle="1" w:styleId="49">
    <w:name w:val="图名"/>
    <w:qFormat/>
    <w:uiPriority w:val="0"/>
    <w:pPr>
      <w:widowControl w:val="0"/>
      <w:spacing w:line="480" w:lineRule="exact"/>
      <w:jc w:val="center"/>
    </w:pPr>
    <w:rPr>
      <w:rFonts w:ascii="Times New Roman" w:hAnsi="Times New Roman" w:eastAsia="仿宋_GB2312" w:cstheme="minorBidi"/>
      <w:b/>
      <w:kern w:val="2"/>
      <w:sz w:val="21"/>
      <w:szCs w:val="22"/>
      <w:lang w:val="en-US" w:eastAsia="zh-CN" w:bidi="ar-SA"/>
    </w:rPr>
  </w:style>
  <w:style w:type="character" w:customStyle="1" w:styleId="50">
    <w:name w:val="font01"/>
    <w:basedOn w:val="21"/>
    <w:qFormat/>
    <w:uiPriority w:val="0"/>
    <w:rPr>
      <w:rFonts w:ascii="Arial" w:hAnsi="Arial" w:cs="Arial"/>
      <w:color w:val="000000"/>
      <w:sz w:val="20"/>
      <w:szCs w:val="20"/>
      <w:u w:val="none"/>
    </w:rPr>
  </w:style>
  <w:style w:type="paragraph" w:customStyle="1" w:styleId="51">
    <w:name w:val="条"/>
    <w:basedOn w:val="4"/>
    <w:qFormat/>
    <w:uiPriority w:val="0"/>
    <w:pPr>
      <w:keepNext w:val="0"/>
      <w:keepLines w:val="0"/>
      <w:numPr>
        <w:ilvl w:val="0"/>
        <w:numId w:val="4"/>
      </w:numPr>
      <w:adjustRightInd w:val="0"/>
      <w:spacing w:before="50" w:after="50" w:line="520" w:lineRule="exact"/>
      <w:ind w:left="0" w:firstLine="200"/>
      <w:textAlignment w:val="center"/>
    </w:pPr>
    <w:rPr>
      <w:rFonts w:eastAsia="楷体"/>
    </w:rPr>
  </w:style>
  <w:style w:type="paragraph" w:customStyle="1" w:styleId="52">
    <w:name w:val="节"/>
    <w:basedOn w:val="3"/>
    <w:qFormat/>
    <w:uiPriority w:val="0"/>
    <w:pPr>
      <w:keepNext w:val="0"/>
      <w:keepLines w:val="0"/>
      <w:spacing w:before="50" w:after="50" w:line="520" w:lineRule="exact"/>
      <w:ind w:firstLine="0" w:firstLineChars="0"/>
      <w:jc w:val="center"/>
    </w:pPr>
    <w:rPr>
      <w:rFonts w:ascii="Times New Roman" w:hAnsi="Times New Roman" w:eastAsia="黑体"/>
    </w:rPr>
  </w:style>
  <w:style w:type="paragraph" w:customStyle="1" w:styleId="53">
    <w:name w:val="00-正文，仿宋小三号"/>
    <w:qFormat/>
    <w:uiPriority w:val="0"/>
    <w:pPr>
      <w:spacing w:line="560" w:lineRule="exact"/>
      <w:ind w:firstLine="600" w:firstLineChars="200"/>
      <w:jc w:val="both"/>
    </w:pPr>
    <w:rPr>
      <w:rFonts w:ascii="仿宋_GB2312" w:hAnsi="Times New Roman" w:eastAsia="仿宋_GB2312" w:cs="Times New Roman"/>
      <w:kern w:val="2"/>
      <w:sz w:val="30"/>
      <w:szCs w:val="30"/>
      <w:lang w:val="en-US" w:eastAsia="zh-CN" w:bidi="en-US"/>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theme" Target="theme/theme1.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145</Pages>
  <Words>73708</Words>
  <Characters>81680</Characters>
  <Lines>0</Lines>
  <Paragraphs>0</Paragraphs>
  <TotalTime>1</TotalTime>
  <ScaleCrop>false</ScaleCrop>
  <LinksUpToDate>false</LinksUpToDate>
  <CharactersWithSpaces>82865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2023-09-26T12:36:00Z</dcterms:created>
  <dc:creator>Administrator</dc:creator>
  <cp:lastModifiedBy>LessISmorE</cp:lastModifiedBy>
  <dcterms:modified xsi:type="dcterms:W3CDTF">2026-01-14T03:50:51Z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1030333AF4144B42AD2E572A8AD8A973_13</vt:lpwstr>
  </property>
  <property fmtid="{D5CDD505-2E9C-101B-9397-08002B2CF9AE}" pid="4" name="KSOTemplateDocerSaveRecord">
    <vt:lpwstr>eyJoZGlkIjoiMTgyYWVmYmY1YWVlMjE3YmU3ZDExYmU3YjA0ZmVjYTYiLCJ1c2VySWQiOiI4NDc3NDk3NjkifQ==</vt:lpwstr>
  </property>
</Properties>
</file>