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r>
        <w:rPr>
          <w:rFonts w:ascii="宋体" w:hAnsi="宋体"/>
        </w:rPr>
        <w:pict>
          <v:shape id="艺术字 11" o:spid="_x0000_s1026" o:spt="136" type="#_x0000_t136" style="position:absolute;left:0pt;margin-left:3.5pt;margin-top:0pt;height:61.2pt;width:419.5pt;z-index:251660288;mso-width-relative:page;mso-height-relative:page;" fillcolor="#FF0000" filled="t" stroked="t" coordsize="21600,21600">
            <v:path/>
            <v:fill on="t" focussize="0,0"/>
            <v:stroke weight="2pt" color="#FF0000"/>
            <v:imagedata o:title=""/>
            <o:lock v:ext="edit"/>
            <v:textpath on="t" fitshape="t" fitpath="t" trim="t" xscale="f" string="上犹县人民政府办公室文件" style="font-family:华文中宋;font-size:36pt;v-rotate-letters:f;v-same-letter-heights:f;v-text-align:letter-justify;"/>
          </v:shape>
        </w:pict>
      </w:r>
    </w:p>
    <w:p>
      <w:pPr>
        <w:rPr>
          <w:rFonts w:ascii="宋体" w:hAnsi="宋体"/>
        </w:rPr>
      </w:pPr>
    </w:p>
    <w:p>
      <w:pPr>
        <w:rPr>
          <w:rFonts w:ascii="宋体" w:hAnsi="宋体"/>
        </w:rPr>
      </w:pPr>
    </w:p>
    <w:p>
      <w:pPr>
        <w:rPr>
          <w:rFonts w:ascii="宋体" w:hAnsi="宋体"/>
        </w:rPr>
      </w:pPr>
    </w:p>
    <w:p>
      <w:pPr>
        <w:rPr>
          <w:rFonts w:ascii="宋体" w:hAnsi="宋体"/>
        </w:rPr>
      </w:pPr>
    </w:p>
    <w:p>
      <w:pPr>
        <w:rPr>
          <w:rFonts w:hint="eastAsia" w:ascii="宋体" w:hAnsi="宋体"/>
        </w:rPr>
      </w:pPr>
    </w:p>
    <w:p>
      <w:pPr>
        <w:rPr>
          <w:rFonts w:hint="eastAsia" w:ascii="宋体" w:hAnsi="宋体"/>
        </w:rPr>
      </w:pPr>
    </w:p>
    <w:p>
      <w:pPr>
        <w:rPr>
          <w:rFonts w:hint="eastAsia" w:ascii="宋体" w:hAnsi="宋体"/>
        </w:rPr>
      </w:pPr>
    </w:p>
    <w:p>
      <w:pPr>
        <w:tabs>
          <w:tab w:val="left" w:pos="3645"/>
        </w:tabs>
        <w:jc w:val="center"/>
        <w:rPr>
          <w:rFonts w:hint="eastAsia" w:ascii="宋体" w:hAnsi="宋体" w:eastAsia="仿宋_GB2312"/>
          <w:sz w:val="32"/>
          <w:szCs w:val="32"/>
        </w:rPr>
      </w:pPr>
      <w:r>
        <w:rPr>
          <w:rFonts w:hint="eastAsia" w:ascii="宋体" w:hAnsi="宋体" w:eastAsia="仿宋_GB2312"/>
          <w:sz w:val="32"/>
          <w:szCs w:val="32"/>
        </w:rPr>
        <w:t>上府办发〔2022〕50号</w:t>
      </w:r>
    </w:p>
    <w:p>
      <w:pPr>
        <w:tabs>
          <w:tab w:val="left" w:pos="3645"/>
        </w:tabs>
        <w:spacing w:line="540" w:lineRule="exact"/>
        <w:jc w:val="center"/>
        <w:rPr>
          <w:rFonts w:hint="eastAsia" w:ascii="宋体" w:hAnsi="宋体" w:eastAsia="仿宋_GB2312"/>
          <w:sz w:val="32"/>
          <w:szCs w:val="32"/>
        </w:rPr>
      </w:pPr>
      <w:r>
        <w:rPr>
          <w:rFonts w:hint="eastAsia" w:ascii="宋体" w:hAnsi="宋体" w:eastAsia="仿宋_GB2312"/>
          <w:sz w:val="32"/>
          <w:szCs w:val="32"/>
        </w:rPr>
        <w:pict>
          <v:line id="直线 4" o:spid="_x0000_s1027" o:spt="20" style="position:absolute;left:0pt;margin-top:0pt;height:0pt;width:453.55pt;mso-position-horizontal:center;z-index:251659264;mso-width-relative:page;mso-height-relative:page;" filled="f" stroked="t" coordsize="21600,21600">
            <v:path arrowok="t"/>
            <v:fill on="f" focussize="0,0"/>
            <v:stroke weight="2.5pt" color="#FF0000"/>
            <v:imagedata o:title=""/>
            <o:lock v:ext="edit"/>
          </v:line>
        </w:pict>
      </w:r>
    </w:p>
    <w:p>
      <w:pPr>
        <w:tabs>
          <w:tab w:val="left" w:pos="3645"/>
        </w:tabs>
        <w:spacing w:line="540" w:lineRule="exact"/>
        <w:jc w:val="center"/>
        <w:rPr>
          <w:rFonts w:hint="eastAsia" w:ascii="宋体" w:hAnsi="宋体" w:eastAsia="仿宋_GB2312"/>
          <w:sz w:val="32"/>
          <w:szCs w:val="32"/>
        </w:rPr>
      </w:pPr>
    </w:p>
    <w:p>
      <w:pPr>
        <w:spacing w:line="560" w:lineRule="exact"/>
        <w:ind w:left="440" w:hanging="440" w:hangingChars="100"/>
        <w:jc w:val="center"/>
        <w:rPr>
          <w:rFonts w:ascii="宋体" w:hAnsi="宋体" w:eastAsia="方正小标宋简体"/>
          <w:sz w:val="44"/>
          <w:szCs w:val="44"/>
        </w:rPr>
      </w:pPr>
      <w:r>
        <w:rPr>
          <w:rFonts w:hint="eastAsia" w:ascii="宋体" w:hAnsi="宋体" w:eastAsia="方正小标宋简体"/>
          <w:sz w:val="44"/>
          <w:szCs w:val="44"/>
        </w:rPr>
        <w:t>上犹县人民政府办公室</w:t>
      </w:r>
    </w:p>
    <w:p>
      <w:pPr>
        <w:spacing w:line="560" w:lineRule="exact"/>
        <w:jc w:val="center"/>
        <w:rPr>
          <w:rFonts w:hint="eastAsia" w:ascii="宋体" w:hAnsi="宋体" w:eastAsia="方正小标宋简体"/>
          <w:sz w:val="44"/>
          <w:szCs w:val="44"/>
        </w:rPr>
      </w:pPr>
      <w:r>
        <w:rPr>
          <w:rFonts w:hint="eastAsia" w:ascii="宋体" w:hAnsi="宋体" w:eastAsia="方正小标宋简体"/>
          <w:sz w:val="44"/>
          <w:szCs w:val="44"/>
        </w:rPr>
        <w:t>关于印发《</w:t>
      </w:r>
      <w:r>
        <w:rPr>
          <w:rFonts w:hint="eastAsia" w:ascii="宋体" w:hAnsi="宋体" w:eastAsia="方正小标宋简体" w:cs="宋体"/>
          <w:bCs/>
          <w:sz w:val="44"/>
          <w:szCs w:val="44"/>
        </w:rPr>
        <w:t>上犹县促进商贸消费提质扩容三年行动方案（2022-2024年）</w:t>
      </w:r>
      <w:r>
        <w:rPr>
          <w:rFonts w:hint="eastAsia" w:ascii="宋体" w:hAnsi="宋体" w:eastAsia="方正小标宋简体"/>
          <w:sz w:val="44"/>
          <w:szCs w:val="44"/>
        </w:rPr>
        <w:t>》的通知</w:t>
      </w:r>
    </w:p>
    <w:p>
      <w:pPr>
        <w:spacing w:line="560" w:lineRule="exact"/>
        <w:rPr>
          <w:rFonts w:hint="eastAsia" w:ascii="宋体" w:hAnsi="宋体" w:eastAsia="仿宋"/>
          <w:sz w:val="32"/>
          <w:szCs w:val="32"/>
        </w:rPr>
      </w:pPr>
    </w:p>
    <w:p>
      <w:pPr>
        <w:rPr>
          <w:rFonts w:hint="eastAsia" w:ascii="宋体" w:hAnsi="宋体" w:eastAsia="仿宋_GB2312" w:cs="仿宋_GB2312"/>
          <w:sz w:val="32"/>
          <w:szCs w:val="32"/>
        </w:rPr>
      </w:pPr>
      <w:r>
        <w:rPr>
          <w:rFonts w:hint="eastAsia" w:ascii="宋体" w:hAnsi="宋体" w:eastAsia="仿宋_GB2312" w:cs="仿宋_GB2312"/>
          <w:sz w:val="32"/>
          <w:szCs w:val="32"/>
        </w:rPr>
        <w:t>各乡（镇）人民政府，县政府有关部门，县属、驻县有关单位：</w:t>
      </w:r>
    </w:p>
    <w:p>
      <w:pPr>
        <w:rPr>
          <w:rFonts w:hint="eastAsia" w:ascii="宋体" w:hAnsi="宋体" w:eastAsia="仿宋_GB2312" w:cs="仿宋_GB2312"/>
          <w:sz w:val="32"/>
          <w:szCs w:val="32"/>
        </w:rPr>
      </w:pPr>
      <w:r>
        <w:rPr>
          <w:rFonts w:hint="eastAsia" w:ascii="宋体" w:hAnsi="宋体" w:eastAsia="仿宋_GB2312" w:cs="仿宋_GB2312"/>
          <w:sz w:val="32"/>
          <w:szCs w:val="32"/>
        </w:rPr>
        <w:t xml:space="preserve">    经县政府同意，现将《上犹县促进商贸消费提质扩容三年行动方案（2022-2024年）》印发给你们，请遵照执行。</w:t>
      </w:r>
    </w:p>
    <w:p>
      <w:pPr>
        <w:pStyle w:val="8"/>
        <w:spacing w:line="500" w:lineRule="exact"/>
        <w:rPr>
          <w:rFonts w:hint="eastAsia" w:ascii="宋体" w:hAnsi="宋体" w:cs="仿宋_GB2312"/>
          <w:sz w:val="32"/>
          <w:szCs w:val="32"/>
        </w:rPr>
      </w:pPr>
    </w:p>
    <w:p>
      <w:pPr>
        <w:pStyle w:val="8"/>
        <w:spacing w:line="500" w:lineRule="exact"/>
        <w:rPr>
          <w:rFonts w:hint="eastAsia" w:ascii="宋体" w:hAnsi="宋体" w:cs="仿宋_GB2312"/>
          <w:sz w:val="32"/>
          <w:szCs w:val="32"/>
        </w:rPr>
      </w:pPr>
    </w:p>
    <w:p>
      <w:pPr>
        <w:pStyle w:val="8"/>
        <w:spacing w:line="500" w:lineRule="exact"/>
        <w:rPr>
          <w:rFonts w:hint="eastAsia" w:ascii="宋体" w:hAnsi="宋体" w:cs="仿宋_GB2312"/>
          <w:sz w:val="32"/>
          <w:szCs w:val="32"/>
        </w:rPr>
      </w:pPr>
    </w:p>
    <w:p>
      <w:pPr>
        <w:pStyle w:val="8"/>
        <w:spacing w:line="500" w:lineRule="exact"/>
        <w:rPr>
          <w:rFonts w:hint="eastAsia" w:ascii="宋体" w:hAnsi="宋体" w:cs="仿宋_GB2312"/>
          <w:sz w:val="32"/>
          <w:szCs w:val="32"/>
        </w:rPr>
      </w:pPr>
    </w:p>
    <w:p>
      <w:pPr>
        <w:pStyle w:val="8"/>
        <w:spacing w:line="500" w:lineRule="exact"/>
        <w:ind w:firstLine="4160" w:firstLineChars="1300"/>
        <w:rPr>
          <w:rFonts w:hint="eastAsia"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上犹县人民政府</w:t>
      </w:r>
    </w:p>
    <w:p>
      <w:pPr>
        <w:pStyle w:val="8"/>
        <w:spacing w:line="500" w:lineRule="exact"/>
        <w:ind w:firstLine="4160" w:firstLineChars="1300"/>
        <w:rPr>
          <w:rFonts w:hint="default"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2022年8月8日</w:t>
      </w:r>
    </w:p>
    <w:p>
      <w:pPr>
        <w:spacing w:line="560" w:lineRule="exact"/>
        <w:jc w:val="both"/>
        <w:rPr>
          <w:rFonts w:hint="eastAsia" w:ascii="宋体" w:hAnsi="宋体" w:eastAsia="方正小标宋简体" w:cs="宋体"/>
          <w:bCs/>
          <w:spacing w:val="-7"/>
          <w:sz w:val="44"/>
          <w:szCs w:val="44"/>
        </w:rPr>
      </w:pPr>
    </w:p>
    <w:p>
      <w:pPr>
        <w:spacing w:line="560" w:lineRule="exact"/>
        <w:jc w:val="center"/>
        <w:rPr>
          <w:rFonts w:hint="eastAsia" w:ascii="宋体" w:hAnsi="宋体" w:eastAsia="方正小标宋简体" w:cs="宋体"/>
          <w:bCs/>
          <w:spacing w:val="-7"/>
          <w:sz w:val="44"/>
          <w:szCs w:val="44"/>
        </w:rPr>
      </w:pPr>
      <w:r>
        <w:rPr>
          <w:rFonts w:hint="eastAsia" w:ascii="宋体" w:hAnsi="宋体" w:eastAsia="方正小标宋简体" w:cs="宋体"/>
          <w:bCs/>
          <w:spacing w:val="-7"/>
          <w:sz w:val="44"/>
          <w:szCs w:val="44"/>
        </w:rPr>
        <w:t>上犹县促进商贸消费提质扩容三年</w:t>
      </w:r>
    </w:p>
    <w:p>
      <w:pPr>
        <w:spacing w:line="560" w:lineRule="exact"/>
        <w:jc w:val="center"/>
        <w:rPr>
          <w:rFonts w:hint="eastAsia" w:ascii="宋体" w:hAnsi="宋体" w:eastAsia="方正小标宋简体" w:cs="宋体"/>
          <w:bCs/>
          <w:sz w:val="44"/>
          <w:szCs w:val="44"/>
        </w:rPr>
      </w:pPr>
      <w:r>
        <w:rPr>
          <w:rFonts w:hint="eastAsia" w:ascii="宋体" w:hAnsi="宋体" w:eastAsia="方正小标宋简体" w:cs="宋体"/>
          <w:bCs/>
          <w:spacing w:val="-7"/>
          <w:sz w:val="44"/>
          <w:szCs w:val="44"/>
        </w:rPr>
        <w:t>行动方案</w:t>
      </w:r>
      <w:r>
        <w:rPr>
          <w:rFonts w:hint="eastAsia" w:ascii="宋体" w:hAnsi="宋体" w:eastAsia="方正小标宋简体" w:cs="宋体"/>
          <w:bCs/>
          <w:sz w:val="44"/>
          <w:szCs w:val="44"/>
        </w:rPr>
        <w:t>（2022-2024年）</w:t>
      </w:r>
    </w:p>
    <w:p>
      <w:pPr>
        <w:pStyle w:val="2"/>
        <w:spacing w:line="560" w:lineRule="exact"/>
        <w:rPr>
          <w:rFonts w:hint="eastAsia" w:ascii="宋体" w:hAnsi="宋体"/>
        </w:rPr>
      </w:pPr>
    </w:p>
    <w:p>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为深入贯彻落实党中央、国务院、省委、省政府和市委、市政府关于扩大内需和促进消费的决策部署和省市县党代会精神，进一步释放居民消费潜力，推动商贸消费提质扩容，助推全县经济高质量发展，根据《江西省促进商贸消费提质扩容三年行动方案（2022－2024年）》（赣府厅字〔2022〕43号）、《赣州市促进商贸消费建设区域性消费中心城市三年行动方案（2022－2024年）》（赣市府办字〔2022〕63号）要求，结合我县实际，制定本方案。</w:t>
      </w:r>
    </w:p>
    <w:p>
      <w:pPr>
        <w:spacing w:line="560" w:lineRule="exact"/>
        <w:ind w:firstLine="640" w:firstLineChars="200"/>
        <w:rPr>
          <w:rFonts w:hint="eastAsia" w:ascii="宋体" w:hAnsi="宋体" w:eastAsia="黑体" w:cs="黑体"/>
          <w:sz w:val="32"/>
          <w:szCs w:val="32"/>
        </w:rPr>
      </w:pPr>
      <w:r>
        <w:rPr>
          <w:rFonts w:hint="eastAsia" w:ascii="宋体" w:hAnsi="宋体" w:eastAsia="黑体" w:cs="黑体"/>
          <w:sz w:val="32"/>
          <w:szCs w:val="32"/>
        </w:rPr>
        <w:t>一、总体要求</w:t>
      </w:r>
    </w:p>
    <w:p>
      <w:pPr>
        <w:spacing w:line="560" w:lineRule="exact"/>
        <w:ind w:firstLine="642" w:firstLineChars="200"/>
        <w:rPr>
          <w:rFonts w:hint="eastAsia" w:ascii="宋体" w:hAnsi="宋体" w:eastAsia="楷体_GB2312"/>
          <w:b/>
          <w:sz w:val="32"/>
          <w:szCs w:val="32"/>
        </w:rPr>
      </w:pPr>
      <w:r>
        <w:rPr>
          <w:rFonts w:hint="eastAsia" w:ascii="宋体" w:hAnsi="宋体" w:eastAsia="楷体_GB2312"/>
          <w:b/>
          <w:sz w:val="32"/>
          <w:szCs w:val="32"/>
        </w:rPr>
        <w:t>（一）指导思想</w:t>
      </w:r>
    </w:p>
    <w:p>
      <w:pPr>
        <w:spacing w:line="560" w:lineRule="exact"/>
        <w:ind w:firstLine="640" w:firstLineChars="200"/>
        <w:rPr>
          <w:rFonts w:ascii="宋体" w:hAnsi="宋体" w:eastAsia="仿宋_GB2312"/>
          <w:sz w:val="32"/>
          <w:szCs w:val="32"/>
        </w:rPr>
      </w:pPr>
      <w:r>
        <w:rPr>
          <w:rFonts w:hint="eastAsia" w:ascii="宋体" w:hAnsi="宋体" w:eastAsia="仿宋_GB2312"/>
          <w:sz w:val="32"/>
          <w:szCs w:val="32"/>
        </w:rPr>
        <w:t>坚持以习近平新时代中国特色社会主义思想为指导，全面贯彻党的十九大、十九届历次全会精神和习近平总书记视察江西和赣州重要讲话精神，立足新发展阶段，完整、准确、全面贯彻新发展理念，服务和融入新发展格局，牢牢把握扩大内需这个战略基点，借助国家大力发展绿色消费的契机，依托上犹优质农产品、工业消费品以及深厚历史文化底蕴等优势，丰富优化商品和服务供给，完善提升城乡商贸流通体系，更好地适应居民消费升级提质需求，进一步增强消费对经济增长的基础性作用，突出创新驱动、绿色发展、品质优先、实干兴县，全力打造“五个区”、提升“两个指数”，为绘就美丽幸福上犹新画卷作出更大贡献。</w:t>
      </w:r>
    </w:p>
    <w:p>
      <w:pPr>
        <w:spacing w:line="560" w:lineRule="exact"/>
        <w:ind w:firstLine="642" w:firstLineChars="200"/>
        <w:rPr>
          <w:rFonts w:hint="eastAsia" w:ascii="宋体" w:hAnsi="宋体" w:eastAsia="楷体_GB2312"/>
          <w:b/>
          <w:sz w:val="32"/>
          <w:szCs w:val="32"/>
        </w:rPr>
      </w:pPr>
      <w:r>
        <w:rPr>
          <w:rFonts w:hint="eastAsia" w:ascii="宋体" w:hAnsi="宋体" w:eastAsia="楷体_GB2312"/>
          <w:b/>
          <w:sz w:val="32"/>
          <w:szCs w:val="32"/>
        </w:rPr>
        <w:t>（二）主要目标</w:t>
      </w:r>
    </w:p>
    <w:p>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力争通过3年努力，商贸消费提质扩容取得显著成效，商贸流通体系更加完善，消费市场能级不断跃升，商品和服务品质明显提升，数字商贸和新业态、新模式蓬勃发展。到2024年，全县社会消费品零售总额年均增长9 %以上，确保实现50亿元，力争年均增长11%以上，突破60亿元，提前一年完成全县“十四五”规划目标；网络零售额超25亿元,年均增长30%以上；餐饮业营业额超5亿元，年均增长5%左右；限额以上商贸流通企业超90家，年均新增15家以上。</w:t>
      </w:r>
    </w:p>
    <w:p>
      <w:pPr>
        <w:spacing w:line="560" w:lineRule="exact"/>
        <w:ind w:firstLine="640" w:firstLineChars="200"/>
        <w:rPr>
          <w:rFonts w:hint="eastAsia" w:ascii="宋体" w:hAnsi="宋体" w:eastAsia="黑体"/>
          <w:sz w:val="32"/>
          <w:szCs w:val="32"/>
        </w:rPr>
      </w:pPr>
      <w:r>
        <w:rPr>
          <w:rFonts w:hint="eastAsia" w:ascii="宋体" w:hAnsi="宋体" w:eastAsia="黑体"/>
          <w:sz w:val="32"/>
          <w:szCs w:val="32"/>
        </w:rPr>
        <w:t>二、重点工作</w:t>
      </w:r>
    </w:p>
    <w:p>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大力培育引进更具竞争力的市场主体，全力增加更优质的消费供给，着力建设更高质量的流通体系，努力营造更浓厚的消费氛围，加快推动全县商贸消费提质扩容。</w:t>
      </w:r>
    </w:p>
    <w:p>
      <w:pPr>
        <w:pStyle w:val="2"/>
        <w:spacing w:line="560" w:lineRule="exact"/>
        <w:ind w:firstLine="643"/>
        <w:rPr>
          <w:rFonts w:ascii="宋体" w:hAnsi="宋体" w:eastAsia="仿宋_GB2312"/>
          <w:sz w:val="32"/>
          <w:szCs w:val="32"/>
        </w:rPr>
      </w:pPr>
      <w:r>
        <w:rPr>
          <w:rFonts w:hint="eastAsia" w:ascii="宋体" w:hAnsi="宋体" w:eastAsia="楷体" w:cs="楷体"/>
          <w:b/>
          <w:bCs/>
          <w:sz w:val="32"/>
          <w:szCs w:val="32"/>
        </w:rPr>
        <w:t>（一）实施品质商圈打造行动。</w:t>
      </w:r>
      <w:r>
        <w:rPr>
          <w:rFonts w:hint="eastAsia" w:ascii="宋体" w:hAnsi="宋体" w:eastAsia="仿宋_GB2312"/>
          <w:sz w:val="32"/>
          <w:szCs w:val="32"/>
        </w:rPr>
        <w:t>以建设知名商圈、集聚消费资源、培育时尚业态、繁荣夜间经济、创新消费模式、优化消费环境为重点,着力扩大品质消费、时尚消费。采取丰富业态种类、完善配套设施、提升服务功能，以正和广场、商贸城、玉龙湾、西亭等商圈为重点，布局综合消费节点，提供餐饮购物、亲子体验、文化娱乐、体育健身等综合服务功能。支持阳明天沐拾乐汤街、陡水风情街等景区打造高品质文旅商贸核心商圈，支持各乡（镇）立足现有条件，结合圩镇改造提升等工程，提升商圈智慧化水平和消费供给品质。〔责任单位：县商务局、县发改委、县城管局、县市场监督管理局、县文广新旅局、县财政局、县生态环境局、各乡（镇）〕</w:t>
      </w:r>
    </w:p>
    <w:p>
      <w:pPr>
        <w:pStyle w:val="2"/>
        <w:spacing w:line="560" w:lineRule="exact"/>
        <w:ind w:firstLine="643"/>
        <w:rPr>
          <w:rFonts w:hint="eastAsia" w:ascii="宋体" w:hAnsi="宋体" w:eastAsia="仿宋_GB2312"/>
          <w:sz w:val="32"/>
          <w:szCs w:val="32"/>
        </w:rPr>
      </w:pPr>
      <w:r>
        <w:rPr>
          <w:rFonts w:hint="eastAsia" w:ascii="宋体" w:hAnsi="宋体" w:eastAsia="楷体" w:cs="楷体"/>
          <w:b/>
          <w:bCs/>
          <w:sz w:val="32"/>
          <w:szCs w:val="32"/>
        </w:rPr>
        <w:t>（二）实施消费场景提升行动。</w:t>
      </w:r>
      <w:r>
        <w:rPr>
          <w:rFonts w:hint="eastAsia" w:ascii="宋体" w:hAnsi="宋体" w:eastAsia="仿宋_GB2312"/>
          <w:sz w:val="32"/>
          <w:szCs w:val="32"/>
        </w:rPr>
        <w:t>推进商业街区改造，支持翡翠湾步行街、粮食大院步行街、阳明天沐拾乐汤街、商贸城步行街、陡水镇风情美食街、沿江南路、犹江北路、胜利路、健康路改造提升示范建设。推进夜间街区品质提升，丰富“夜购”“夜宴”“夜娱”“夜游”“夜健”等消费供给，到2024年，至少打造1条市级以上高品质夜间经济街区，1个市级以上夜间文旅消费集聚区。推进社区便民业态发展，建设“5分钟便利店+10分钟农贸市场+15分钟超市”的社区生活服务圈。到2024年，力争创建绿色商场1个。〔责任单位：县商务局、县城管局、县市场监督管理局、县文广新旅局、县财政局、城市社区管委会、陡水镇〕</w:t>
      </w:r>
    </w:p>
    <w:p>
      <w:pPr>
        <w:spacing w:line="560" w:lineRule="exact"/>
        <w:ind w:firstLine="642" w:firstLineChars="200"/>
        <w:rPr>
          <w:rFonts w:ascii="宋体" w:hAnsi="宋体" w:eastAsia="仿宋_GB2312"/>
          <w:sz w:val="32"/>
          <w:szCs w:val="32"/>
        </w:rPr>
      </w:pPr>
      <w:r>
        <w:rPr>
          <w:rFonts w:hint="eastAsia" w:ascii="宋体" w:hAnsi="宋体" w:eastAsia="楷体" w:cs="楷体"/>
          <w:b/>
          <w:bCs/>
          <w:sz w:val="32"/>
          <w:szCs w:val="32"/>
        </w:rPr>
        <w:t>（三）实施县域商业建设行动。</w:t>
      </w:r>
      <w:r>
        <w:rPr>
          <w:rFonts w:hint="eastAsia" w:ascii="宋体" w:hAnsi="宋体" w:eastAsia="仿宋_GB2312"/>
          <w:sz w:val="32"/>
          <w:szCs w:val="32"/>
        </w:rPr>
        <w:t>建立健全以县城为中心、乡（镇）为重点、村为基础的农村商业体系，加快规划建设一批城乡融合新型消费网络节点。挖潜农村消费，深入实施乡村振兴战略，优化农村消费环境。以农村传统的“逢圩”为依托，通过改造市场设施、加强活动组织、丰富消费选择等措施，繁荣农村消费市场。积极向上争取县域商业体系建设资金，大力推进县乡村三级商业设施改造提升，提升乡村传统商业网点，继续把农贸市场建设改造工作列入政府民生工程，到2024年，改造提升1个以上县城综合商贸服务中心和1个以上县级物流配送中心，在具备条件的乡（镇）和行政村至少建设改造1个乡（镇）商贸中心和1个村级服务网点。力争到2024年乡镇商贸中心改造提升覆盖率达到90%，全面对具备条件的乡（镇）完成室内结构的农贸市场建设改造工作。〔责任单位：县商务局、县农业农村局、县乡村振兴局、县供销社、县邮政公司、县城管局、县市场监督管理局、县自然资源局、县住建局、县财政局、城市社区管委会、各乡（镇）〕</w:t>
      </w:r>
    </w:p>
    <w:p>
      <w:pPr>
        <w:spacing w:line="560" w:lineRule="exact"/>
        <w:ind w:firstLine="642" w:firstLineChars="200"/>
        <w:rPr>
          <w:rFonts w:ascii="宋体" w:hAnsi="宋体" w:eastAsia="仿宋_GB2312"/>
          <w:sz w:val="32"/>
          <w:szCs w:val="32"/>
        </w:rPr>
      </w:pPr>
      <w:r>
        <w:rPr>
          <w:rFonts w:hint="eastAsia" w:ascii="宋体" w:hAnsi="宋体" w:eastAsia="楷体" w:cs="楷体"/>
          <w:b/>
          <w:bCs/>
          <w:sz w:val="32"/>
          <w:szCs w:val="32"/>
        </w:rPr>
        <w:t>（四）实施品牌消费提质行动。</w:t>
      </w:r>
      <w:r>
        <w:rPr>
          <w:rFonts w:hint="eastAsia" w:ascii="宋体" w:hAnsi="宋体" w:eastAsia="仿宋_GB2312"/>
          <w:sz w:val="32"/>
          <w:szCs w:val="32"/>
        </w:rPr>
        <w:t>鼓励引进知名品牌，招引集聚国际知名品牌、总部企业在上犹设立第一家门店，力争到2024年引进1家国内外知名连锁零售企业或知名便利店品牌门店在我县设立法人公司。支持县内企业参加进博会、消博会、绿博会、广交会等重要商品展销活动。推进以富硒生态茶为主打品牌的农产品，扩大上犹绿茶、油茶、脐橙、竹产品等“一县一品”特色产品消费商圈。提升玻纤复材、头盔等特色工业品品质，优化本地高品质产品供给。开展老字号品牌挖掘和申报，鼓励老字号企业创新传统工艺，研发新品和服务，力争到2024年完成“江西老字号”和“赣州老字号”企业各1家。引导外贸企业精准对接市场需求，生产同线同标同质的优质消费品，积极拓展境内市场，走内外贸一体化经营道路。加快推进犹江国际酒店、陡水零碳民宿小镇、京明度假村等重点项目建设，招引规划建设一批知名企业参与运营管理，提升旅游服务品质，推进全域旅游示范区建设，提升旅游接待档次和能力，积极争创梅水乡全国乡村旅游重点乡镇和园村5A乡村旅游点。力争到2024年，将阳明湖景区打造为国家级旅游度假区，全县4A景区达到2个，四星级旅游饭店实现零的突破。推进以旅游康养为龙头的幸福产业，加快文旅、医养融合，发展养生养老消费。大力发展体育健身、竞赛表演等消费业态，完善水上运动基地建设，提升赛事举办水平。〔责任单位：县农业农村局、县文广新旅局、县工信局、县商务局、县市场监督管理局、县教科体局、县财政局、县工业园区管委会、县犹江实业公司、各乡（镇）〕</w:t>
      </w:r>
    </w:p>
    <w:p>
      <w:pPr>
        <w:spacing w:line="560" w:lineRule="exact"/>
        <w:ind w:firstLine="642" w:firstLineChars="200"/>
        <w:rPr>
          <w:rFonts w:hint="eastAsia" w:ascii="宋体" w:hAnsi="宋体" w:eastAsia="仿宋_GB2312"/>
          <w:sz w:val="32"/>
          <w:szCs w:val="32"/>
        </w:rPr>
      </w:pPr>
      <w:r>
        <w:rPr>
          <w:rFonts w:hint="eastAsia" w:ascii="宋体" w:hAnsi="宋体" w:eastAsia="楷体" w:cs="楷体"/>
          <w:b/>
          <w:bCs/>
          <w:sz w:val="32"/>
          <w:szCs w:val="32"/>
        </w:rPr>
        <w:t>（五）实施餐饮菜系推广行动。</w:t>
      </w:r>
      <w:r>
        <w:rPr>
          <w:rFonts w:hint="eastAsia" w:ascii="宋体" w:hAnsi="宋体" w:eastAsia="仿宋_GB2312"/>
          <w:sz w:val="32"/>
          <w:szCs w:val="32"/>
        </w:rPr>
        <w:t>持续打造上犹特色菜肴和名小吃品牌。借助全省大力打造赣菜品牌契机，挖掘、开发上犹鱼宴、包米果、冲天炮等一批特色民俗美食，打造以“全鱼宴”“九狮拜象宴”“上犹客家宴”等特色菜肴为主的“一县一桌”。开展美食推广活动，推动上犹美食进机场、进星级酒店、进景区。积极策应省、市“十大名菜”“十大名小吃”美食评选，组织参加中国米粉节和赣菜美食文化节等活动，促进餐饮行业交流合作，不断提升上犹菜肴知名度、美誉度和影响力。着力推广特色餐饮名店，引导有实力的餐饮企业连锁化、品牌化经营。积极发展中央厨房、无接触式配送等新模式新业态，全面提升餐饮行业竞争力，力争到2024年，年营业额500万元以上的餐饮企业超5家。〔责任单位：县文广新旅局、县商务局、县财政局、县委宣传部、县市场监督管理局、县农业农村局〕</w:t>
      </w:r>
    </w:p>
    <w:p>
      <w:pPr>
        <w:spacing w:line="560" w:lineRule="exact"/>
        <w:ind w:firstLine="642" w:firstLineChars="200"/>
        <w:rPr>
          <w:rFonts w:hint="eastAsia" w:ascii="宋体" w:hAnsi="宋体" w:eastAsia="仿宋_GB2312"/>
          <w:sz w:val="32"/>
          <w:szCs w:val="32"/>
        </w:rPr>
      </w:pPr>
      <w:r>
        <w:rPr>
          <w:rFonts w:hint="eastAsia" w:ascii="宋体" w:hAnsi="宋体" w:eastAsia="楷体_GB2312" w:cs="楷体_GB2312"/>
          <w:b/>
          <w:bCs/>
          <w:sz w:val="32"/>
          <w:szCs w:val="32"/>
        </w:rPr>
        <w:t>（六）实施消费活动促进行动。</w:t>
      </w:r>
      <w:r>
        <w:rPr>
          <w:rFonts w:hint="eastAsia" w:ascii="宋体" w:hAnsi="宋体" w:eastAsia="仿宋_GB2312"/>
          <w:sz w:val="32"/>
          <w:szCs w:val="32"/>
        </w:rPr>
        <w:t>坚持“政府搭台、企业唱戏、上下联动、全民共享”，围绕重要节假日、重点消费领域，创新举办“迎春消费季”“金秋购物消费季”“消费促进月”“赣品网上行”“老字号嘉年华”“百日百县、百城百夜文旅消费季”等重点促消费活动，鼓励举办节庆、店庆、网购节、年货节、直播节、汽车节、家装节、旅游节、文化节、音乐节、啤酒节、采摘节等内容丰富、形式多样的主题购物节会。唱响“美丽幸福上犹”旅游品牌，精心策划好、举办好茶香旅游季、路亚黄金联赛、漂流嬉水节、赏枫露营节、阳明文化旅游节等节庆活动。构建节庆促销政银企互动机制，以“政府补贴一点，商家让利一点，平台配套一点”的形式整合各方资源发放电子消费券，引领带动商户企业让利参与，争取大型商超、金融机构、平台企业配套节庆促销资源，政银企联动提升消费者获得感。加大促销活动宣传，发挥官方媒体纾困惠企作用，提升商贸文旅消费领域创意设计、广告宣传、流量投放等配套服务，引导商户和企业用好用足新媒体传播工具。到2024年至少举办20场大型消费促销活动。〔责任单位：县商务局、县文广新旅局、县住建局、县城管局、县市场监督管理局、县公安局、县财政局、县委宣传部、各乡（镇）〕</w:t>
      </w:r>
    </w:p>
    <w:p>
      <w:pPr>
        <w:pStyle w:val="11"/>
        <w:spacing w:before="0" w:beforeAutospacing="0" w:after="0" w:afterAutospacing="0" w:line="560" w:lineRule="exact"/>
        <w:ind w:firstLine="578" w:firstLineChars="180"/>
        <w:jc w:val="both"/>
        <w:rPr>
          <w:rFonts w:ascii="宋体" w:hAnsi="宋体" w:eastAsia="仿宋_GB2312"/>
          <w:kern w:val="2"/>
          <w:sz w:val="32"/>
          <w:szCs w:val="32"/>
        </w:rPr>
      </w:pPr>
      <w:r>
        <w:rPr>
          <w:rFonts w:hint="eastAsia" w:ascii="宋体" w:hAnsi="宋体" w:eastAsia="楷体" w:cs="楷体"/>
          <w:b/>
          <w:bCs/>
          <w:kern w:val="2"/>
          <w:sz w:val="32"/>
          <w:szCs w:val="32"/>
        </w:rPr>
        <w:t>（七）实施商贸主体壮大行动。</w:t>
      </w:r>
      <w:r>
        <w:rPr>
          <w:rFonts w:hint="eastAsia" w:ascii="宋体" w:hAnsi="宋体" w:eastAsia="仿宋_GB2312"/>
          <w:kern w:val="2"/>
          <w:sz w:val="32"/>
          <w:szCs w:val="32"/>
        </w:rPr>
        <w:t>鼓励各类商贸流通骨干企业开展连锁化、品牌化经营，向多行业、多业态拓展，通过参控股、并购、托管和特许经营等方式，逐步扩大经营规模。到2024年，全县净增限额以上商贸流通企业30家，力争年销售额亿元以上的企业达到2家以上。强化商贸领域招商引资，利用对接粤港澳大湾区经贸合作活动等重大招商活动，洽谈落地一批强而大的商贸项目，引进国内外大型商贸企业在我县设立地区总部、采购中心、物流配送中心或品牌连锁门店等，力争到2024年新引进投资10亿元以上商贸项目2个。〔责任单位：县商务局、县市场监督管理局、县统计局、县财政局、县税务局，各乡（镇）〕</w:t>
      </w:r>
    </w:p>
    <w:p>
      <w:pPr>
        <w:pStyle w:val="11"/>
        <w:spacing w:before="0" w:beforeAutospacing="0" w:after="0" w:afterAutospacing="0" w:line="560" w:lineRule="exact"/>
        <w:ind w:firstLine="578" w:firstLineChars="180"/>
        <w:jc w:val="both"/>
        <w:rPr>
          <w:rFonts w:hint="eastAsia" w:ascii="宋体" w:hAnsi="宋体" w:eastAsia="仿宋_GB2312"/>
          <w:kern w:val="2"/>
          <w:sz w:val="32"/>
          <w:szCs w:val="32"/>
        </w:rPr>
      </w:pPr>
      <w:r>
        <w:rPr>
          <w:rFonts w:hint="eastAsia" w:ascii="宋体" w:hAnsi="宋体" w:eastAsia="楷体" w:cs="楷体"/>
          <w:b/>
          <w:bCs/>
          <w:kern w:val="2"/>
          <w:sz w:val="32"/>
          <w:szCs w:val="32"/>
        </w:rPr>
        <w:t>（八）实施数字商贸提速行动。</w:t>
      </w:r>
      <w:r>
        <w:rPr>
          <w:rFonts w:hint="eastAsia" w:ascii="宋体" w:hAnsi="宋体" w:eastAsia="仿宋_GB2312"/>
          <w:kern w:val="2"/>
          <w:sz w:val="32"/>
          <w:szCs w:val="32"/>
        </w:rPr>
        <w:t>加快推动实体商业电商化、数字经济转型升级，推进传统商场、超市、农贸市场线上线下融合发展。推动电子商务服务体系及电子商务平台建设，高标准建设数字经济产业园，积极培训网红、电商新农人等电商人才，稳步发展直播电商、社交电商等新业态，培育一批网红打卡消费地。围绕上犹特色农产品、手工艺品，持续开展“赣品网上行”“双品网购节”“线上年货节”等系列网销活动。积极组织参加赣南脐橙网络博览会等品牌网货展销会。加快推进跨境电商出口业务发展，突出政策落实，增添企业发展新活力。推动电商高质量发展，到2024年电商领域培育市级以上示范基地或企业5家。〔责任单位：县发改委、县商务局、县农业农村局、县工信局、县城管局、县住建局、县财政局、县工业园区管委会〕</w:t>
      </w:r>
    </w:p>
    <w:p>
      <w:pPr>
        <w:pStyle w:val="11"/>
        <w:spacing w:before="0" w:beforeAutospacing="0" w:after="0" w:afterAutospacing="0" w:line="560" w:lineRule="exact"/>
        <w:ind w:firstLine="642" w:firstLineChars="200"/>
        <w:jc w:val="both"/>
        <w:rPr>
          <w:rFonts w:ascii="宋体" w:hAnsi="宋体" w:eastAsia="仿宋_GB2312"/>
          <w:kern w:val="2"/>
          <w:sz w:val="32"/>
          <w:szCs w:val="32"/>
        </w:rPr>
      </w:pPr>
      <w:r>
        <w:rPr>
          <w:rFonts w:hint="eastAsia" w:ascii="宋体" w:hAnsi="宋体" w:eastAsia="楷体" w:cs="楷体"/>
          <w:b/>
          <w:bCs/>
          <w:kern w:val="2"/>
          <w:sz w:val="32"/>
          <w:szCs w:val="32"/>
        </w:rPr>
        <w:t>（九）实施商贸物流提效行动。</w:t>
      </w:r>
      <w:r>
        <w:rPr>
          <w:rFonts w:hint="eastAsia" w:ascii="宋体" w:hAnsi="宋体" w:eastAsia="仿宋_GB2312"/>
          <w:kern w:val="2"/>
          <w:sz w:val="32"/>
          <w:szCs w:val="32"/>
        </w:rPr>
        <w:t>依托县级物流配送中心、乡镇配送站、乡村配送网点等配送网络体系，建立完善便捷、智能、高效的现代商贸物流网络。完善“互联网+第四方物流”创新模式，深入实施邮政“快递下乡”工程和供销冷链骨干网建设，到2024年基本实现“县有物流配送中心、乡乡有物流中转站、村村通快递”，切实解决好工业品下乡“最后一公里”、农产品进城“最初一公里”的问题，降低全县商贸物流成本，提升我县商贸物流运行效率和服务水平。引进知名物流企业，加快推动冷链电商物流产业园项目建设，大力发展冷链共同配送、“生鲜电商+冷链宅配”等物流模式。〔责任单位：县交通运输局、县商务局、县邮政公司、县发改委、县供销社、县财政局、县农业农村局、县市场监督管理局、城市社区管委会、各乡（镇）〕</w:t>
      </w:r>
    </w:p>
    <w:p>
      <w:pPr>
        <w:pStyle w:val="11"/>
        <w:spacing w:before="0" w:beforeAutospacing="0" w:after="0" w:afterAutospacing="0" w:line="560" w:lineRule="exact"/>
        <w:ind w:firstLine="672" w:firstLineChars="200"/>
        <w:jc w:val="both"/>
        <w:rPr>
          <w:rFonts w:hint="eastAsia" w:ascii="宋体" w:hAnsi="宋体" w:eastAsia="黑体" w:cs="黑体"/>
          <w:color w:val="222222"/>
          <w:spacing w:val="8"/>
          <w:sz w:val="32"/>
          <w:szCs w:val="32"/>
        </w:rPr>
      </w:pPr>
      <w:r>
        <w:rPr>
          <w:rFonts w:hint="eastAsia" w:ascii="宋体" w:hAnsi="宋体" w:eastAsia="黑体" w:cs="黑体"/>
          <w:color w:val="222222"/>
          <w:spacing w:val="8"/>
          <w:sz w:val="32"/>
          <w:szCs w:val="32"/>
        </w:rPr>
        <w:t>三、保障措施</w:t>
      </w:r>
    </w:p>
    <w:p>
      <w:pPr>
        <w:pStyle w:val="11"/>
        <w:spacing w:before="0" w:beforeAutospacing="0" w:after="0" w:afterAutospacing="0" w:line="560" w:lineRule="exact"/>
        <w:ind w:firstLine="578" w:firstLineChars="180"/>
        <w:jc w:val="both"/>
        <w:rPr>
          <w:rFonts w:hint="eastAsia" w:ascii="宋体" w:hAnsi="宋体" w:eastAsia="仿宋"/>
          <w:sz w:val="32"/>
          <w:szCs w:val="32"/>
        </w:rPr>
      </w:pPr>
      <w:r>
        <w:rPr>
          <w:rFonts w:hint="eastAsia" w:ascii="宋体" w:hAnsi="宋体" w:eastAsia="楷体" w:cs="楷体"/>
          <w:b/>
          <w:bCs/>
          <w:kern w:val="2"/>
          <w:sz w:val="32"/>
          <w:szCs w:val="32"/>
        </w:rPr>
        <w:t>（一）强化组织领导。</w:t>
      </w:r>
      <w:r>
        <w:rPr>
          <w:rFonts w:hint="eastAsia" w:ascii="宋体" w:hAnsi="宋体" w:eastAsia="仿宋_GB2312"/>
          <w:kern w:val="2"/>
          <w:sz w:val="32"/>
          <w:szCs w:val="32"/>
        </w:rPr>
        <w:t>将全县促进商贸消费升级工作领导小组更名为全县促进商贸消费提质扩容工作领导小组，领导小组办公室设在县商务局，负责日常推进、督查、评估工作。县直有关部门要各司其职，密切配合，合力推进。</w:t>
      </w:r>
    </w:p>
    <w:p>
      <w:pPr>
        <w:pStyle w:val="11"/>
        <w:spacing w:before="0" w:beforeAutospacing="0" w:after="0" w:afterAutospacing="0" w:line="560" w:lineRule="exact"/>
        <w:ind w:firstLine="578" w:firstLineChars="180"/>
        <w:jc w:val="both"/>
        <w:rPr>
          <w:rFonts w:hint="eastAsia" w:ascii="宋体" w:hAnsi="宋体" w:eastAsia="仿宋_GB2312"/>
          <w:kern w:val="2"/>
          <w:sz w:val="32"/>
          <w:szCs w:val="32"/>
        </w:rPr>
      </w:pPr>
      <w:r>
        <w:rPr>
          <w:rFonts w:hint="eastAsia" w:ascii="宋体" w:hAnsi="宋体" w:eastAsia="楷体" w:cs="楷体"/>
          <w:b/>
          <w:bCs/>
          <w:kern w:val="2"/>
          <w:sz w:val="32"/>
          <w:szCs w:val="32"/>
        </w:rPr>
        <w:t>（二）强化政策支持。</w:t>
      </w:r>
      <w:r>
        <w:rPr>
          <w:rFonts w:hint="eastAsia" w:ascii="宋体" w:hAnsi="宋体" w:eastAsia="仿宋_GB2312"/>
          <w:kern w:val="2"/>
          <w:sz w:val="32"/>
          <w:szCs w:val="32"/>
        </w:rPr>
        <w:t>统筹用好中央、省级、市级、县级相关财政资金,加大对商圈改造提升、引进知名品牌、壮大龙头企业、发展夜间经济、促进大宗消费、举办促销活动的支持力度。金融机构要加强对批零住餐等行业融资支持，对符合政策要求的根据企业申请予以延期或续贷，并适当下调贷款利率。全面贯彻落实国家和省、市、县层面已出台的减税降费、用能用地、房屋租金等方面的政策措施，优化和简化对商贸企业装修等事项审批，进一步放宽户外促销、户外广告设置等限制。</w:t>
      </w:r>
    </w:p>
    <w:p>
      <w:pPr>
        <w:pStyle w:val="11"/>
        <w:spacing w:before="0" w:beforeAutospacing="0" w:after="0" w:afterAutospacing="0" w:line="560" w:lineRule="exact"/>
        <w:ind w:firstLine="578" w:firstLineChars="180"/>
        <w:jc w:val="both"/>
        <w:rPr>
          <w:rFonts w:hint="eastAsia" w:ascii="宋体" w:hAnsi="宋体" w:eastAsia="仿宋_GB2312"/>
          <w:kern w:val="2"/>
          <w:sz w:val="32"/>
          <w:szCs w:val="32"/>
        </w:rPr>
      </w:pPr>
      <w:r>
        <w:rPr>
          <w:rFonts w:hint="eastAsia" w:ascii="宋体" w:hAnsi="宋体" w:eastAsia="楷体" w:cs="楷体"/>
          <w:b/>
          <w:bCs/>
          <w:kern w:val="2"/>
          <w:sz w:val="32"/>
          <w:szCs w:val="32"/>
        </w:rPr>
        <w:t>（三）加强统计监测。</w:t>
      </w:r>
      <w:r>
        <w:rPr>
          <w:rFonts w:hint="eastAsia" w:ascii="宋体" w:hAnsi="宋体" w:eastAsia="仿宋_GB2312"/>
          <w:kern w:val="2"/>
          <w:sz w:val="32"/>
          <w:szCs w:val="32"/>
        </w:rPr>
        <w:t>加强消费领域统计监测，加大商贸企业入规入统力度，对全县贸易类企业进行全面摸排，对符合入规条件的企业及时纳入统计范围，严格落实商贸企业入规入统奖励政策及规上企业统计人员统计补贴政策，对有可能达限企业建立好准达限企业名录库，做好重点</w:t>
      </w:r>
      <w:r>
        <w:rPr>
          <w:rFonts w:hint="eastAsia" w:ascii="宋体" w:hAnsi="宋体" w:eastAsia="仿宋_GB2312"/>
          <w:kern w:val="2"/>
          <w:sz w:val="32"/>
          <w:szCs w:val="32"/>
          <w:lang w:eastAsia="zh-CN"/>
        </w:rPr>
        <w:t>跟踪</w:t>
      </w:r>
      <w:bookmarkStart w:id="0" w:name="_GoBack"/>
      <w:bookmarkEnd w:id="0"/>
      <w:r>
        <w:rPr>
          <w:rFonts w:hint="eastAsia" w:ascii="宋体" w:hAnsi="宋体" w:eastAsia="仿宋_GB2312"/>
          <w:kern w:val="2"/>
          <w:sz w:val="32"/>
          <w:szCs w:val="32"/>
        </w:rPr>
        <w:t>关注以及培育支持工作。</w:t>
      </w:r>
    </w:p>
    <w:p>
      <w:pPr>
        <w:pStyle w:val="11"/>
        <w:spacing w:before="0" w:beforeAutospacing="0" w:after="0" w:afterAutospacing="0" w:line="560" w:lineRule="exact"/>
        <w:ind w:firstLine="578" w:firstLineChars="180"/>
        <w:jc w:val="both"/>
        <w:rPr>
          <w:rFonts w:hint="eastAsia" w:ascii="宋体" w:hAnsi="宋体" w:eastAsia="仿宋_GB2312"/>
          <w:kern w:val="2"/>
          <w:sz w:val="32"/>
          <w:szCs w:val="32"/>
        </w:rPr>
      </w:pPr>
      <w:r>
        <w:rPr>
          <w:rFonts w:hint="eastAsia" w:ascii="宋体" w:hAnsi="宋体" w:eastAsia="楷体" w:cs="楷体"/>
          <w:b/>
          <w:bCs/>
          <w:kern w:val="2"/>
          <w:sz w:val="32"/>
          <w:szCs w:val="32"/>
        </w:rPr>
        <w:t>（四）营造良好氛围。</w:t>
      </w:r>
      <w:r>
        <w:rPr>
          <w:rFonts w:hint="eastAsia" w:ascii="宋体" w:hAnsi="宋体" w:eastAsia="仿宋_GB2312"/>
          <w:kern w:val="2"/>
          <w:sz w:val="32"/>
          <w:szCs w:val="32"/>
        </w:rPr>
        <w:t>持续优化消费环境，完善举报投诉服务体系，畅通12315等维权渠道，实施跨部门协同监管和联合惩戒，依法严厉打击制售假冒伪劣商品、虚假宣传、侵害消费者个人信息安全等违法行为，维护商贸企业和消费者合法权益。强化宣传引导，加强政策解读宣传，推广先进做法和典型经验，营造促进商贸消费提质扩容的良好舆论氛围。</w:t>
      </w:r>
    </w:p>
    <w:p>
      <w:pPr>
        <w:spacing w:line="560" w:lineRule="exact"/>
        <w:ind w:firstLine="640" w:firstLineChars="200"/>
        <w:rPr>
          <w:rFonts w:hint="eastAsia" w:ascii="宋体" w:hAnsi="宋体" w:eastAsia="仿宋" w:cs="仿宋"/>
          <w:b/>
          <w:bCs/>
          <w:sz w:val="32"/>
          <w:szCs w:val="32"/>
        </w:rPr>
      </w:pPr>
    </w:p>
    <w:p>
      <w:pPr>
        <w:tabs>
          <w:tab w:val="left" w:pos="3645"/>
        </w:tabs>
        <w:ind w:firstLine="4960" w:firstLineChars="1550"/>
        <w:rPr>
          <w:rFonts w:hint="eastAsia" w:ascii="宋体" w:hAnsi="宋体" w:eastAsia="仿宋_GB2312" w:cs="宋体"/>
          <w:sz w:val="32"/>
          <w:szCs w:val="32"/>
        </w:rPr>
      </w:pPr>
    </w:p>
    <w:p>
      <w:pPr>
        <w:pStyle w:val="2"/>
        <w:rPr>
          <w:rFonts w:hint="eastAsia" w:ascii="宋体" w:hAnsi="宋体" w:eastAsia="仿宋_GB2312" w:cs="宋体"/>
          <w:sz w:val="32"/>
          <w:szCs w:val="32"/>
        </w:rPr>
      </w:pPr>
    </w:p>
    <w:p>
      <w:pPr>
        <w:rPr>
          <w:rFonts w:hint="eastAsia" w:ascii="宋体" w:hAnsi="宋体" w:eastAsia="仿宋_GB2312" w:cs="宋体"/>
          <w:sz w:val="32"/>
          <w:szCs w:val="32"/>
        </w:rPr>
      </w:pPr>
    </w:p>
    <w:p>
      <w:pPr>
        <w:pStyle w:val="2"/>
        <w:rPr>
          <w:rFonts w:hint="eastAsia" w:ascii="宋体" w:hAnsi="宋体" w:eastAsia="仿宋_GB2312" w:cs="宋体"/>
          <w:sz w:val="32"/>
          <w:szCs w:val="32"/>
        </w:rPr>
      </w:pPr>
    </w:p>
    <w:p>
      <w:pPr>
        <w:rPr>
          <w:rFonts w:hint="eastAsia" w:ascii="宋体" w:hAnsi="宋体" w:eastAsia="仿宋_GB2312" w:cs="宋体"/>
          <w:sz w:val="32"/>
          <w:szCs w:val="32"/>
        </w:rPr>
      </w:pPr>
    </w:p>
    <w:p>
      <w:pPr>
        <w:pStyle w:val="2"/>
        <w:rPr>
          <w:rFonts w:hint="eastAsia" w:ascii="宋体" w:hAnsi="宋体" w:eastAsia="仿宋_GB2312" w:cs="宋体"/>
          <w:sz w:val="32"/>
          <w:szCs w:val="32"/>
        </w:rPr>
      </w:pPr>
    </w:p>
    <w:p>
      <w:pPr>
        <w:rPr>
          <w:rFonts w:hint="eastAsia" w:ascii="宋体" w:hAnsi="宋体" w:eastAsia="仿宋_GB2312" w:cs="宋体"/>
          <w:sz w:val="32"/>
          <w:szCs w:val="32"/>
        </w:rPr>
      </w:pPr>
    </w:p>
    <w:p>
      <w:pPr>
        <w:pStyle w:val="2"/>
        <w:rPr>
          <w:rFonts w:hint="eastAsia" w:ascii="宋体" w:hAnsi="宋体" w:eastAsia="仿宋_GB2312" w:cs="宋体"/>
          <w:sz w:val="32"/>
          <w:szCs w:val="32"/>
        </w:rPr>
      </w:pPr>
    </w:p>
    <w:p>
      <w:pPr>
        <w:rPr>
          <w:rFonts w:hint="eastAsia" w:ascii="宋体" w:hAnsi="宋体" w:eastAsia="仿宋_GB2312" w:cs="宋体"/>
          <w:sz w:val="32"/>
          <w:szCs w:val="32"/>
        </w:rPr>
      </w:pPr>
    </w:p>
    <w:p>
      <w:pPr>
        <w:pStyle w:val="2"/>
        <w:rPr>
          <w:rFonts w:hint="eastAsia" w:ascii="宋体" w:hAnsi="宋体" w:eastAsia="仿宋_GB2312" w:cs="宋体"/>
          <w:sz w:val="32"/>
          <w:szCs w:val="32"/>
        </w:rPr>
      </w:pPr>
    </w:p>
    <w:p>
      <w:pPr>
        <w:rPr>
          <w:rFonts w:hint="eastAsia" w:ascii="宋体" w:hAnsi="宋体" w:eastAsia="仿宋_GB2312" w:cs="宋体"/>
          <w:sz w:val="32"/>
          <w:szCs w:val="32"/>
        </w:rPr>
      </w:pPr>
    </w:p>
    <w:p>
      <w:pPr>
        <w:pStyle w:val="2"/>
        <w:rPr>
          <w:rFonts w:hint="eastAsia" w:ascii="宋体" w:hAnsi="宋体" w:eastAsia="仿宋_GB2312" w:cs="宋体"/>
          <w:sz w:val="32"/>
          <w:szCs w:val="32"/>
        </w:rPr>
      </w:pPr>
    </w:p>
    <w:p>
      <w:pPr>
        <w:rPr>
          <w:rFonts w:hint="eastAsia"/>
        </w:rPr>
      </w:pPr>
    </w:p>
    <w:p>
      <w:pPr>
        <w:tabs>
          <w:tab w:val="left" w:pos="3645"/>
        </w:tabs>
        <w:rPr>
          <w:rFonts w:hint="eastAsia" w:ascii="宋体" w:hAnsi="宋体" w:eastAsia="仿宋_GB2312" w:cs="宋体"/>
          <w:sz w:val="32"/>
          <w:szCs w:val="32"/>
        </w:rPr>
      </w:pPr>
      <w:r>
        <w:rPr>
          <w:rFonts w:ascii="宋体" w:hAnsi="宋体"/>
          <w:lang w:bidi="ar"/>
        </w:rPr>
        <w:pict>
          <v:line id="_x0000_s1029" o:spid="_x0000_s1029" o:spt="20" style="position:absolute;left:0pt;margin-left:0.95pt;margin-top:29.45pt;height:0pt;width:432pt;z-index:251661312;mso-width-relative:page;mso-height-relative:page;" coordsize="21600,21600" o:gfxdata="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QpF7P1QAA&#10;AAcBAAAPAAAAAAAAAAEAIAAAACIAAABkcnMvZG93bnJldi54bWxQSwECFAAUAAAACACHTuJApRui&#10;8egBAADcAwAADgAAAAAAAAABACAAAAAkAQAAZHJzL2Uyb0RvYy54bWxQSwUGAAAAAAYABgBZAQAA&#10;fgUAAAAA&#10;">
            <v:path arrowok="t"/>
            <v:fill focussize="0,0"/>
            <v:stroke weight="1.25pt"/>
            <v:imagedata o:title=""/>
            <o:lock v:ext="edit"/>
          </v:line>
        </w:pict>
      </w:r>
    </w:p>
    <w:p>
      <w:pPr>
        <w:tabs>
          <w:tab w:val="left" w:pos="3645"/>
        </w:tabs>
        <w:jc w:val="center"/>
        <w:rPr>
          <w:rFonts w:hint="eastAsia" w:ascii="宋体" w:hAnsi="宋体" w:eastAsia="仿宋_GB2312"/>
          <w:sz w:val="28"/>
          <w:szCs w:val="28"/>
        </w:rPr>
      </w:pPr>
      <w:r>
        <w:rPr>
          <w:rFonts w:hint="eastAsia" w:ascii="宋体" w:hAnsi="宋体" w:eastAsia="仿宋_GB2312"/>
          <w:sz w:val="28"/>
          <w:szCs w:val="28"/>
          <w:lang w:bidi="ar"/>
        </w:rPr>
        <w:pict>
          <v:line id="_x0000_s1030" o:spid="_x0000_s1030" o:spt="20" style="position:absolute;left:0pt;margin-left:-0.65pt;margin-top:28.75pt;height:0pt;width:432pt;z-index:251662336;mso-width-relative:page;mso-height-relative:page;" coordsize="21600,21600" o:gfxdata="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1Ag2&#10;2AAAAAgBAAAPAAAAAAAAAAEAIAAAACIAAABkcnMvZG93bnJldi54bWxQSwECFAAUAAAACACHTuJA&#10;Iklue+gBAADcAwAADgAAAAAAAAABACAAAAAnAQAAZHJzL2Uyb0RvYy54bWxQSwUGAAAAAAYABgBZ&#10;AQAAgQUAAAAA&#10;">
            <v:path arrowok="t"/>
            <v:fill focussize="0,0"/>
            <v:stroke weight="1.25pt"/>
            <v:imagedata o:title=""/>
            <o:lock v:ext="edit"/>
          </v:line>
        </w:pict>
      </w:r>
      <w:r>
        <w:rPr>
          <w:rFonts w:hint="eastAsia" w:ascii="宋体" w:hAnsi="宋体" w:eastAsia="仿宋_GB2312"/>
          <w:sz w:val="28"/>
          <w:szCs w:val="28"/>
          <w:lang w:bidi="ar"/>
        </w:rPr>
        <w:t>上犹县人民政府办公室</w:t>
      </w:r>
      <w:r>
        <w:rPr>
          <w:rFonts w:hint="eastAsia" w:ascii="宋体" w:hAnsi="宋体" w:eastAsia="仿宋_GB2312" w:cs="宋体"/>
          <w:sz w:val="28"/>
          <w:szCs w:val="28"/>
          <w:lang w:bidi="ar"/>
        </w:rPr>
        <w:t xml:space="preserve">                    2022</w:t>
      </w:r>
      <w:r>
        <w:rPr>
          <w:rFonts w:hint="eastAsia" w:ascii="宋体" w:hAnsi="宋体" w:eastAsia="仿宋_GB2312"/>
          <w:sz w:val="28"/>
          <w:szCs w:val="28"/>
          <w:lang w:bidi="ar"/>
        </w:rPr>
        <w:t>年8月8日印发</w:t>
      </w:r>
    </w:p>
    <w:p>
      <w:pPr>
        <w:rPr>
          <w:rFonts w:hint="eastAsia"/>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ingLiU">
    <w:altName w:val="宋体"/>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宋体-PUA">
    <w:panose1 w:val="02010600030101010101"/>
    <w:charset w:val="86"/>
    <w:family w:val="auto"/>
    <w:pitch w:val="default"/>
    <w:sig w:usb0="00000000" w:usb1="1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6"/>
        <w:rFonts w:ascii="宋体" w:hAnsi="宋体"/>
        <w:sz w:val="28"/>
        <w:szCs w:val="28"/>
      </w:rPr>
    </w:pPr>
    <w:r>
      <w:rPr>
        <w:rStyle w:val="16"/>
        <w:rFonts w:hint="eastAsia" w:ascii="宋体" w:hAnsi="宋体"/>
        <w:sz w:val="28"/>
        <w:szCs w:val="28"/>
      </w:rPr>
      <w:t xml:space="preserve">— </w:t>
    </w: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10</w:t>
    </w:r>
    <w:r>
      <w:rPr>
        <w:rStyle w:val="16"/>
        <w:rFonts w:ascii="宋体" w:hAnsi="宋体"/>
        <w:sz w:val="28"/>
        <w:szCs w:val="28"/>
      </w:rPr>
      <w:fldChar w:fldCharType="end"/>
    </w:r>
    <w:r>
      <w:rPr>
        <w:rStyle w:val="16"/>
        <w:rFonts w:hint="eastAsia" w:ascii="宋体" w:hAnsi="宋体"/>
        <w:sz w:val="28"/>
        <w:szCs w:val="28"/>
      </w:rPr>
      <w:t xml:space="preserve"> —</w:t>
    </w:r>
  </w:p>
  <w:p>
    <w:pPr>
      <w:pStyle w:val="8"/>
      <w:ind w:right="360" w:firstLine="36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ZDhlZGE4ZmIwNDk0NmQwOWY0NDAyMWNmZWEzZmYifQ=="/>
  </w:docVars>
  <w:rsids>
    <w:rsidRoot w:val="000E018E"/>
    <w:rsid w:val="000513AD"/>
    <w:rsid w:val="0005576D"/>
    <w:rsid w:val="000640D5"/>
    <w:rsid w:val="0007389A"/>
    <w:rsid w:val="00073FF0"/>
    <w:rsid w:val="000B79D6"/>
    <w:rsid w:val="000E018E"/>
    <w:rsid w:val="0010057C"/>
    <w:rsid w:val="00195C84"/>
    <w:rsid w:val="001A4744"/>
    <w:rsid w:val="001A5C31"/>
    <w:rsid w:val="001B11F8"/>
    <w:rsid w:val="00281801"/>
    <w:rsid w:val="002A16AF"/>
    <w:rsid w:val="002A1D51"/>
    <w:rsid w:val="002C55BA"/>
    <w:rsid w:val="0030781C"/>
    <w:rsid w:val="003577D8"/>
    <w:rsid w:val="00363944"/>
    <w:rsid w:val="003941C1"/>
    <w:rsid w:val="004618DD"/>
    <w:rsid w:val="005006A7"/>
    <w:rsid w:val="005325C5"/>
    <w:rsid w:val="005670E6"/>
    <w:rsid w:val="00574FC3"/>
    <w:rsid w:val="00585A60"/>
    <w:rsid w:val="005933B6"/>
    <w:rsid w:val="005B50E7"/>
    <w:rsid w:val="005E2F01"/>
    <w:rsid w:val="005F6689"/>
    <w:rsid w:val="00607E0C"/>
    <w:rsid w:val="00610451"/>
    <w:rsid w:val="00610B01"/>
    <w:rsid w:val="00693816"/>
    <w:rsid w:val="006F2A00"/>
    <w:rsid w:val="007314F3"/>
    <w:rsid w:val="00747375"/>
    <w:rsid w:val="0076703F"/>
    <w:rsid w:val="007C204C"/>
    <w:rsid w:val="007E1A03"/>
    <w:rsid w:val="008205BE"/>
    <w:rsid w:val="00825F28"/>
    <w:rsid w:val="00841A3C"/>
    <w:rsid w:val="0091068F"/>
    <w:rsid w:val="009125E9"/>
    <w:rsid w:val="009A7EDC"/>
    <w:rsid w:val="009E096E"/>
    <w:rsid w:val="009F5250"/>
    <w:rsid w:val="00A10996"/>
    <w:rsid w:val="00AA1C72"/>
    <w:rsid w:val="00AB3D6B"/>
    <w:rsid w:val="00AC7F6E"/>
    <w:rsid w:val="00AF7BA1"/>
    <w:rsid w:val="00B10B1F"/>
    <w:rsid w:val="00B1112E"/>
    <w:rsid w:val="00B70790"/>
    <w:rsid w:val="00BB11EE"/>
    <w:rsid w:val="00BC74AF"/>
    <w:rsid w:val="00BE2F1C"/>
    <w:rsid w:val="00C22212"/>
    <w:rsid w:val="00C43F25"/>
    <w:rsid w:val="00C72F67"/>
    <w:rsid w:val="00D0093D"/>
    <w:rsid w:val="00D01503"/>
    <w:rsid w:val="00D82720"/>
    <w:rsid w:val="00DA222A"/>
    <w:rsid w:val="00E014F6"/>
    <w:rsid w:val="00E063FB"/>
    <w:rsid w:val="00E07FCE"/>
    <w:rsid w:val="00E67B1B"/>
    <w:rsid w:val="00EB3CA5"/>
    <w:rsid w:val="00EC0926"/>
    <w:rsid w:val="00EE7093"/>
    <w:rsid w:val="00F11021"/>
    <w:rsid w:val="00F1731D"/>
    <w:rsid w:val="00F25478"/>
    <w:rsid w:val="00F457F6"/>
    <w:rsid w:val="00FC59C4"/>
    <w:rsid w:val="01002D63"/>
    <w:rsid w:val="0121693E"/>
    <w:rsid w:val="01BA7323"/>
    <w:rsid w:val="01CA5E8E"/>
    <w:rsid w:val="026C0579"/>
    <w:rsid w:val="027D55FC"/>
    <w:rsid w:val="02B20C36"/>
    <w:rsid w:val="030635BF"/>
    <w:rsid w:val="03135DD0"/>
    <w:rsid w:val="03E82C11"/>
    <w:rsid w:val="0428311F"/>
    <w:rsid w:val="04534FBF"/>
    <w:rsid w:val="045A2302"/>
    <w:rsid w:val="049F6DC9"/>
    <w:rsid w:val="04A934E2"/>
    <w:rsid w:val="04C53395"/>
    <w:rsid w:val="04CD6D6B"/>
    <w:rsid w:val="05304992"/>
    <w:rsid w:val="056471DB"/>
    <w:rsid w:val="058429EC"/>
    <w:rsid w:val="05D22745"/>
    <w:rsid w:val="06CD33EA"/>
    <w:rsid w:val="07204A04"/>
    <w:rsid w:val="07892802"/>
    <w:rsid w:val="078C55D1"/>
    <w:rsid w:val="07C3797F"/>
    <w:rsid w:val="07F371E1"/>
    <w:rsid w:val="08457E9F"/>
    <w:rsid w:val="08674270"/>
    <w:rsid w:val="089B2C62"/>
    <w:rsid w:val="08B71E79"/>
    <w:rsid w:val="08C82B4B"/>
    <w:rsid w:val="08ED552A"/>
    <w:rsid w:val="0919472C"/>
    <w:rsid w:val="09240554"/>
    <w:rsid w:val="093114D4"/>
    <w:rsid w:val="09347853"/>
    <w:rsid w:val="09831A43"/>
    <w:rsid w:val="0992553C"/>
    <w:rsid w:val="09AB1E19"/>
    <w:rsid w:val="09D2753D"/>
    <w:rsid w:val="0A2C664C"/>
    <w:rsid w:val="0A3363B6"/>
    <w:rsid w:val="0A3570B9"/>
    <w:rsid w:val="0A4020E5"/>
    <w:rsid w:val="0A565816"/>
    <w:rsid w:val="0ABB45B1"/>
    <w:rsid w:val="0AC76AE2"/>
    <w:rsid w:val="0B526DBC"/>
    <w:rsid w:val="0B5365A7"/>
    <w:rsid w:val="0BAE77EE"/>
    <w:rsid w:val="0BC21FEE"/>
    <w:rsid w:val="0BCF3659"/>
    <w:rsid w:val="0BCF6DAE"/>
    <w:rsid w:val="0BD60B7F"/>
    <w:rsid w:val="0C5B418A"/>
    <w:rsid w:val="0C726E32"/>
    <w:rsid w:val="0C886EAB"/>
    <w:rsid w:val="0CAD7FE3"/>
    <w:rsid w:val="0CB76D9E"/>
    <w:rsid w:val="0CEE31B2"/>
    <w:rsid w:val="0D074274"/>
    <w:rsid w:val="0D40613C"/>
    <w:rsid w:val="0D835873"/>
    <w:rsid w:val="0DA574AC"/>
    <w:rsid w:val="0DB12149"/>
    <w:rsid w:val="0DDD12F1"/>
    <w:rsid w:val="0DE86199"/>
    <w:rsid w:val="0DE91235"/>
    <w:rsid w:val="0E172295"/>
    <w:rsid w:val="0E527D97"/>
    <w:rsid w:val="0E5832BA"/>
    <w:rsid w:val="0E5C06AC"/>
    <w:rsid w:val="0E854581"/>
    <w:rsid w:val="0EB83A78"/>
    <w:rsid w:val="0ECE4404"/>
    <w:rsid w:val="0EDB6C3C"/>
    <w:rsid w:val="0F5A5F0C"/>
    <w:rsid w:val="0FC53FF3"/>
    <w:rsid w:val="0FDE292C"/>
    <w:rsid w:val="10380DC0"/>
    <w:rsid w:val="107B1D8A"/>
    <w:rsid w:val="10D946E2"/>
    <w:rsid w:val="110D35BB"/>
    <w:rsid w:val="113D57FD"/>
    <w:rsid w:val="116E0304"/>
    <w:rsid w:val="11E9280F"/>
    <w:rsid w:val="11EC604F"/>
    <w:rsid w:val="12094EC7"/>
    <w:rsid w:val="12420737"/>
    <w:rsid w:val="125255DA"/>
    <w:rsid w:val="125C296C"/>
    <w:rsid w:val="12686556"/>
    <w:rsid w:val="12781BBC"/>
    <w:rsid w:val="12821FD4"/>
    <w:rsid w:val="129B4EBC"/>
    <w:rsid w:val="12BF6A2E"/>
    <w:rsid w:val="12D00059"/>
    <w:rsid w:val="12D051A0"/>
    <w:rsid w:val="13110016"/>
    <w:rsid w:val="131825F8"/>
    <w:rsid w:val="132813A3"/>
    <w:rsid w:val="13767C30"/>
    <w:rsid w:val="13A46DEA"/>
    <w:rsid w:val="13AB5EE2"/>
    <w:rsid w:val="13AF6FC7"/>
    <w:rsid w:val="14252315"/>
    <w:rsid w:val="145A737F"/>
    <w:rsid w:val="145F5381"/>
    <w:rsid w:val="147F7A5C"/>
    <w:rsid w:val="149F478D"/>
    <w:rsid w:val="14BE0662"/>
    <w:rsid w:val="14D46AD1"/>
    <w:rsid w:val="14E467CF"/>
    <w:rsid w:val="15250DFF"/>
    <w:rsid w:val="153732FA"/>
    <w:rsid w:val="15380402"/>
    <w:rsid w:val="155B566E"/>
    <w:rsid w:val="15744470"/>
    <w:rsid w:val="15B03D42"/>
    <w:rsid w:val="15BA2F08"/>
    <w:rsid w:val="15D57AEF"/>
    <w:rsid w:val="15DC76C6"/>
    <w:rsid w:val="15FC4E95"/>
    <w:rsid w:val="165F05EB"/>
    <w:rsid w:val="16644A0F"/>
    <w:rsid w:val="16AB3EB1"/>
    <w:rsid w:val="16BE21D6"/>
    <w:rsid w:val="16E25FE2"/>
    <w:rsid w:val="172171ED"/>
    <w:rsid w:val="1756731D"/>
    <w:rsid w:val="17760E26"/>
    <w:rsid w:val="17807D3E"/>
    <w:rsid w:val="179B1CAD"/>
    <w:rsid w:val="17BE2D13"/>
    <w:rsid w:val="17C358AF"/>
    <w:rsid w:val="17D70B5E"/>
    <w:rsid w:val="17DB7CA0"/>
    <w:rsid w:val="186306F6"/>
    <w:rsid w:val="18AE1A47"/>
    <w:rsid w:val="18CF2550"/>
    <w:rsid w:val="18D074FF"/>
    <w:rsid w:val="19271341"/>
    <w:rsid w:val="19385DC1"/>
    <w:rsid w:val="19816397"/>
    <w:rsid w:val="19C46D11"/>
    <w:rsid w:val="19E24B6F"/>
    <w:rsid w:val="19E42FA7"/>
    <w:rsid w:val="1A3D2229"/>
    <w:rsid w:val="1A4472AD"/>
    <w:rsid w:val="1A452C7A"/>
    <w:rsid w:val="1A755C3E"/>
    <w:rsid w:val="1A973FB0"/>
    <w:rsid w:val="1AD31FEC"/>
    <w:rsid w:val="1AD43618"/>
    <w:rsid w:val="1B5756E3"/>
    <w:rsid w:val="1B7E24FB"/>
    <w:rsid w:val="1B8F3595"/>
    <w:rsid w:val="1BB96B92"/>
    <w:rsid w:val="1BD437B2"/>
    <w:rsid w:val="1C024584"/>
    <w:rsid w:val="1C2F2D4B"/>
    <w:rsid w:val="1C80794C"/>
    <w:rsid w:val="1C8847AF"/>
    <w:rsid w:val="1C89629E"/>
    <w:rsid w:val="1CC74293"/>
    <w:rsid w:val="1D3E4D25"/>
    <w:rsid w:val="1D6E7632"/>
    <w:rsid w:val="1D920149"/>
    <w:rsid w:val="1DBC0A78"/>
    <w:rsid w:val="1DC21E96"/>
    <w:rsid w:val="1E3B4AE7"/>
    <w:rsid w:val="1EA40134"/>
    <w:rsid w:val="1F4575B8"/>
    <w:rsid w:val="1FA55746"/>
    <w:rsid w:val="1FF23DB0"/>
    <w:rsid w:val="201C373B"/>
    <w:rsid w:val="202C7E22"/>
    <w:rsid w:val="2043516B"/>
    <w:rsid w:val="20574327"/>
    <w:rsid w:val="20941E01"/>
    <w:rsid w:val="20977E89"/>
    <w:rsid w:val="20DB53A4"/>
    <w:rsid w:val="20FB235E"/>
    <w:rsid w:val="212C613D"/>
    <w:rsid w:val="213F3B84"/>
    <w:rsid w:val="21470C47"/>
    <w:rsid w:val="215414D9"/>
    <w:rsid w:val="21E72436"/>
    <w:rsid w:val="21F86094"/>
    <w:rsid w:val="21FE6712"/>
    <w:rsid w:val="221668E9"/>
    <w:rsid w:val="221C2F24"/>
    <w:rsid w:val="22255BAF"/>
    <w:rsid w:val="227F0CF2"/>
    <w:rsid w:val="228E37C8"/>
    <w:rsid w:val="22927E0A"/>
    <w:rsid w:val="23351496"/>
    <w:rsid w:val="234E4553"/>
    <w:rsid w:val="235A0363"/>
    <w:rsid w:val="2405108A"/>
    <w:rsid w:val="2459647F"/>
    <w:rsid w:val="246505B5"/>
    <w:rsid w:val="24674555"/>
    <w:rsid w:val="246E29A5"/>
    <w:rsid w:val="24A55AB9"/>
    <w:rsid w:val="25056BAC"/>
    <w:rsid w:val="2536661F"/>
    <w:rsid w:val="256B1AC4"/>
    <w:rsid w:val="25DD4793"/>
    <w:rsid w:val="26D16910"/>
    <w:rsid w:val="26D315B7"/>
    <w:rsid w:val="270E64D3"/>
    <w:rsid w:val="275953D0"/>
    <w:rsid w:val="278D4AF2"/>
    <w:rsid w:val="27FA58CE"/>
    <w:rsid w:val="281E5183"/>
    <w:rsid w:val="282310F5"/>
    <w:rsid w:val="28970A3C"/>
    <w:rsid w:val="28A74AA6"/>
    <w:rsid w:val="28B41AD9"/>
    <w:rsid w:val="28F51B6F"/>
    <w:rsid w:val="2900009D"/>
    <w:rsid w:val="295232B8"/>
    <w:rsid w:val="29797B6C"/>
    <w:rsid w:val="29E912EC"/>
    <w:rsid w:val="2A3A7B9F"/>
    <w:rsid w:val="2A671BD7"/>
    <w:rsid w:val="2A7D4D8F"/>
    <w:rsid w:val="2A875389"/>
    <w:rsid w:val="2AF07C9E"/>
    <w:rsid w:val="2B31728D"/>
    <w:rsid w:val="2B3A2162"/>
    <w:rsid w:val="2B6A61D8"/>
    <w:rsid w:val="2BB061E0"/>
    <w:rsid w:val="2BD211A8"/>
    <w:rsid w:val="2BDE47CA"/>
    <w:rsid w:val="2C1B71BA"/>
    <w:rsid w:val="2C374C9C"/>
    <w:rsid w:val="2CBF5E84"/>
    <w:rsid w:val="2CCD6572"/>
    <w:rsid w:val="2CF81C4B"/>
    <w:rsid w:val="2D1513FC"/>
    <w:rsid w:val="2D361E38"/>
    <w:rsid w:val="2D505B8A"/>
    <w:rsid w:val="2D5552E2"/>
    <w:rsid w:val="2D6A0411"/>
    <w:rsid w:val="2DA06ABA"/>
    <w:rsid w:val="2DAF79D7"/>
    <w:rsid w:val="2E117E4D"/>
    <w:rsid w:val="2E310CF9"/>
    <w:rsid w:val="2E6F2A6A"/>
    <w:rsid w:val="2E734741"/>
    <w:rsid w:val="2EE71131"/>
    <w:rsid w:val="2EFC09FF"/>
    <w:rsid w:val="2F797FDC"/>
    <w:rsid w:val="2FA51391"/>
    <w:rsid w:val="2FAF454C"/>
    <w:rsid w:val="2FDF2DE7"/>
    <w:rsid w:val="2FF4259E"/>
    <w:rsid w:val="30007057"/>
    <w:rsid w:val="302125CB"/>
    <w:rsid w:val="30237B9A"/>
    <w:rsid w:val="304B42F4"/>
    <w:rsid w:val="30815AC4"/>
    <w:rsid w:val="30E07BE5"/>
    <w:rsid w:val="317948CA"/>
    <w:rsid w:val="31844A94"/>
    <w:rsid w:val="318B06EE"/>
    <w:rsid w:val="32711CDC"/>
    <w:rsid w:val="329C2244"/>
    <w:rsid w:val="32A334AE"/>
    <w:rsid w:val="32A425B7"/>
    <w:rsid w:val="32A777DC"/>
    <w:rsid w:val="32BA2128"/>
    <w:rsid w:val="32C91F09"/>
    <w:rsid w:val="32EC49D7"/>
    <w:rsid w:val="32FE0FE8"/>
    <w:rsid w:val="3327280D"/>
    <w:rsid w:val="338224D5"/>
    <w:rsid w:val="341B41A0"/>
    <w:rsid w:val="34874042"/>
    <w:rsid w:val="34900546"/>
    <w:rsid w:val="34D415BB"/>
    <w:rsid w:val="35173387"/>
    <w:rsid w:val="355C1DB3"/>
    <w:rsid w:val="35FC50A3"/>
    <w:rsid w:val="360A7ED4"/>
    <w:rsid w:val="362033CC"/>
    <w:rsid w:val="3668408A"/>
    <w:rsid w:val="367756E0"/>
    <w:rsid w:val="367D50F4"/>
    <w:rsid w:val="368B5341"/>
    <w:rsid w:val="369C6EF8"/>
    <w:rsid w:val="36C5508E"/>
    <w:rsid w:val="36F10E10"/>
    <w:rsid w:val="371D131A"/>
    <w:rsid w:val="37217650"/>
    <w:rsid w:val="37C06C67"/>
    <w:rsid w:val="37CB6940"/>
    <w:rsid w:val="37CF5226"/>
    <w:rsid w:val="37CF7A9C"/>
    <w:rsid w:val="37DD325F"/>
    <w:rsid w:val="37E50E2B"/>
    <w:rsid w:val="37E90AE0"/>
    <w:rsid w:val="37F93D33"/>
    <w:rsid w:val="3813537C"/>
    <w:rsid w:val="38325CED"/>
    <w:rsid w:val="3840782C"/>
    <w:rsid w:val="388F2CEF"/>
    <w:rsid w:val="388F47C6"/>
    <w:rsid w:val="38A95F0E"/>
    <w:rsid w:val="390931EE"/>
    <w:rsid w:val="393B2E45"/>
    <w:rsid w:val="39555A43"/>
    <w:rsid w:val="39723CB0"/>
    <w:rsid w:val="39A00CC8"/>
    <w:rsid w:val="3A9E457A"/>
    <w:rsid w:val="3B210AAF"/>
    <w:rsid w:val="3B755D94"/>
    <w:rsid w:val="3BA4722C"/>
    <w:rsid w:val="3BB267B3"/>
    <w:rsid w:val="3BB9613A"/>
    <w:rsid w:val="3BE70771"/>
    <w:rsid w:val="3BF86456"/>
    <w:rsid w:val="3BFF780E"/>
    <w:rsid w:val="3C07575C"/>
    <w:rsid w:val="3C4468A3"/>
    <w:rsid w:val="3C6D11C0"/>
    <w:rsid w:val="3CF7052A"/>
    <w:rsid w:val="3CFF76B2"/>
    <w:rsid w:val="3D052DF7"/>
    <w:rsid w:val="3D5C4E15"/>
    <w:rsid w:val="3D6502B4"/>
    <w:rsid w:val="3D752228"/>
    <w:rsid w:val="3D92766A"/>
    <w:rsid w:val="3D9B3975"/>
    <w:rsid w:val="3DF751B5"/>
    <w:rsid w:val="3E2B2E41"/>
    <w:rsid w:val="3E726EF0"/>
    <w:rsid w:val="3EAA7A5C"/>
    <w:rsid w:val="3F0708FD"/>
    <w:rsid w:val="3F4E031F"/>
    <w:rsid w:val="3F702DE0"/>
    <w:rsid w:val="3F747425"/>
    <w:rsid w:val="3FB782B8"/>
    <w:rsid w:val="3FBA60F7"/>
    <w:rsid w:val="3FD92E34"/>
    <w:rsid w:val="4012585E"/>
    <w:rsid w:val="403F72A5"/>
    <w:rsid w:val="40532D51"/>
    <w:rsid w:val="406E75BA"/>
    <w:rsid w:val="40800DD0"/>
    <w:rsid w:val="40A7040E"/>
    <w:rsid w:val="40D40245"/>
    <w:rsid w:val="414B7207"/>
    <w:rsid w:val="416527BB"/>
    <w:rsid w:val="41864C22"/>
    <w:rsid w:val="41FD211E"/>
    <w:rsid w:val="421D5070"/>
    <w:rsid w:val="421E6FEC"/>
    <w:rsid w:val="4228042F"/>
    <w:rsid w:val="423E2E77"/>
    <w:rsid w:val="42862F6A"/>
    <w:rsid w:val="428A4DC0"/>
    <w:rsid w:val="42A76C14"/>
    <w:rsid w:val="42DA5B2C"/>
    <w:rsid w:val="431B64C2"/>
    <w:rsid w:val="43433A64"/>
    <w:rsid w:val="43471BD5"/>
    <w:rsid w:val="436D6B6D"/>
    <w:rsid w:val="43962830"/>
    <w:rsid w:val="44416044"/>
    <w:rsid w:val="446D07AB"/>
    <w:rsid w:val="44712EBA"/>
    <w:rsid w:val="4499582C"/>
    <w:rsid w:val="44D962FC"/>
    <w:rsid w:val="44FF3481"/>
    <w:rsid w:val="452F6C24"/>
    <w:rsid w:val="45311ED6"/>
    <w:rsid w:val="455320EE"/>
    <w:rsid w:val="45A419E2"/>
    <w:rsid w:val="45D22D98"/>
    <w:rsid w:val="464B34DB"/>
    <w:rsid w:val="46830F18"/>
    <w:rsid w:val="4691567A"/>
    <w:rsid w:val="46CC1098"/>
    <w:rsid w:val="46F014DD"/>
    <w:rsid w:val="471F0391"/>
    <w:rsid w:val="47614D8B"/>
    <w:rsid w:val="47697C6D"/>
    <w:rsid w:val="476B30BD"/>
    <w:rsid w:val="479576B9"/>
    <w:rsid w:val="47D500C4"/>
    <w:rsid w:val="47D64967"/>
    <w:rsid w:val="47F05989"/>
    <w:rsid w:val="482D2CFF"/>
    <w:rsid w:val="48311D67"/>
    <w:rsid w:val="485B1C5F"/>
    <w:rsid w:val="48824A94"/>
    <w:rsid w:val="4885538B"/>
    <w:rsid w:val="48897607"/>
    <w:rsid w:val="490D6BCF"/>
    <w:rsid w:val="49557340"/>
    <w:rsid w:val="496E18CA"/>
    <w:rsid w:val="49983FB2"/>
    <w:rsid w:val="49E87DD4"/>
    <w:rsid w:val="4A2A40D7"/>
    <w:rsid w:val="4A437A06"/>
    <w:rsid w:val="4A485568"/>
    <w:rsid w:val="4AB368C6"/>
    <w:rsid w:val="4AFB093B"/>
    <w:rsid w:val="4B214262"/>
    <w:rsid w:val="4BD75BD6"/>
    <w:rsid w:val="4BE56586"/>
    <w:rsid w:val="4BF45066"/>
    <w:rsid w:val="4C0C15A6"/>
    <w:rsid w:val="4C8E678E"/>
    <w:rsid w:val="4C911CBE"/>
    <w:rsid w:val="4CC67849"/>
    <w:rsid w:val="4CD80101"/>
    <w:rsid w:val="4D0F1FE4"/>
    <w:rsid w:val="4D2B4AD7"/>
    <w:rsid w:val="4D2E21CB"/>
    <w:rsid w:val="4D751481"/>
    <w:rsid w:val="4D7D3503"/>
    <w:rsid w:val="4DE541EF"/>
    <w:rsid w:val="4E006AFF"/>
    <w:rsid w:val="4E556BF8"/>
    <w:rsid w:val="4ECB3BEE"/>
    <w:rsid w:val="4FA9473B"/>
    <w:rsid w:val="50232F43"/>
    <w:rsid w:val="503711F2"/>
    <w:rsid w:val="505343BD"/>
    <w:rsid w:val="50593A6B"/>
    <w:rsid w:val="509E64A8"/>
    <w:rsid w:val="50B404CE"/>
    <w:rsid w:val="510821A9"/>
    <w:rsid w:val="51153CD2"/>
    <w:rsid w:val="511C0115"/>
    <w:rsid w:val="51285C28"/>
    <w:rsid w:val="512B293B"/>
    <w:rsid w:val="51717740"/>
    <w:rsid w:val="51A05EFF"/>
    <w:rsid w:val="51A17CF1"/>
    <w:rsid w:val="51B40D06"/>
    <w:rsid w:val="51D816AE"/>
    <w:rsid w:val="52016C5B"/>
    <w:rsid w:val="520F67F1"/>
    <w:rsid w:val="524D4AC5"/>
    <w:rsid w:val="529010A5"/>
    <w:rsid w:val="53261D47"/>
    <w:rsid w:val="539717E3"/>
    <w:rsid w:val="53AA654D"/>
    <w:rsid w:val="53B9389D"/>
    <w:rsid w:val="544212BC"/>
    <w:rsid w:val="5445439A"/>
    <w:rsid w:val="5457772B"/>
    <w:rsid w:val="54965DEE"/>
    <w:rsid w:val="54B97A88"/>
    <w:rsid w:val="54BD0A95"/>
    <w:rsid w:val="551A7950"/>
    <w:rsid w:val="55A41F89"/>
    <w:rsid w:val="55C61A3E"/>
    <w:rsid w:val="562A5BAB"/>
    <w:rsid w:val="563A28EA"/>
    <w:rsid w:val="56547E24"/>
    <w:rsid w:val="565C5367"/>
    <w:rsid w:val="56610BEB"/>
    <w:rsid w:val="56C9056E"/>
    <w:rsid w:val="57261C9C"/>
    <w:rsid w:val="572E1CED"/>
    <w:rsid w:val="57694058"/>
    <w:rsid w:val="57C47726"/>
    <w:rsid w:val="57D50AEB"/>
    <w:rsid w:val="581818BD"/>
    <w:rsid w:val="584E353D"/>
    <w:rsid w:val="587C609F"/>
    <w:rsid w:val="58BB2D63"/>
    <w:rsid w:val="58D945FD"/>
    <w:rsid w:val="58DF6FCF"/>
    <w:rsid w:val="59166AC6"/>
    <w:rsid w:val="591C3005"/>
    <w:rsid w:val="595A7DF4"/>
    <w:rsid w:val="59942BED"/>
    <w:rsid w:val="59F14D15"/>
    <w:rsid w:val="5A1A1FA8"/>
    <w:rsid w:val="5AA5722C"/>
    <w:rsid w:val="5AE71CA3"/>
    <w:rsid w:val="5AF43099"/>
    <w:rsid w:val="5B1F2139"/>
    <w:rsid w:val="5B270246"/>
    <w:rsid w:val="5B7B03EF"/>
    <w:rsid w:val="5BA30291"/>
    <w:rsid w:val="5BC653BF"/>
    <w:rsid w:val="5C245F8F"/>
    <w:rsid w:val="5C4E7496"/>
    <w:rsid w:val="5CB75E47"/>
    <w:rsid w:val="5CDE1637"/>
    <w:rsid w:val="5D2B18E9"/>
    <w:rsid w:val="5D704046"/>
    <w:rsid w:val="5DC616DA"/>
    <w:rsid w:val="5DE35A58"/>
    <w:rsid w:val="5DED1994"/>
    <w:rsid w:val="5E5869DE"/>
    <w:rsid w:val="5E623342"/>
    <w:rsid w:val="5E641432"/>
    <w:rsid w:val="5E6A1028"/>
    <w:rsid w:val="5EFD6A13"/>
    <w:rsid w:val="5F1404DD"/>
    <w:rsid w:val="5FA76F3B"/>
    <w:rsid w:val="5FAC2418"/>
    <w:rsid w:val="5FCE5E80"/>
    <w:rsid w:val="600F3714"/>
    <w:rsid w:val="604B2F1F"/>
    <w:rsid w:val="604B7F57"/>
    <w:rsid w:val="60657CB0"/>
    <w:rsid w:val="60C828B8"/>
    <w:rsid w:val="60EF57ED"/>
    <w:rsid w:val="611E725F"/>
    <w:rsid w:val="61535DA6"/>
    <w:rsid w:val="615B57BB"/>
    <w:rsid w:val="61A57624"/>
    <w:rsid w:val="61B27A0B"/>
    <w:rsid w:val="621D2DE9"/>
    <w:rsid w:val="62223F30"/>
    <w:rsid w:val="62435FEB"/>
    <w:rsid w:val="624446A1"/>
    <w:rsid w:val="62515C18"/>
    <w:rsid w:val="62971CCF"/>
    <w:rsid w:val="62B15989"/>
    <w:rsid w:val="632D3E48"/>
    <w:rsid w:val="63596DC9"/>
    <w:rsid w:val="637349E6"/>
    <w:rsid w:val="6396448A"/>
    <w:rsid w:val="63A16619"/>
    <w:rsid w:val="63B17290"/>
    <w:rsid w:val="63DB042D"/>
    <w:rsid w:val="640C6C97"/>
    <w:rsid w:val="642F1618"/>
    <w:rsid w:val="6474046E"/>
    <w:rsid w:val="64F54CAF"/>
    <w:rsid w:val="65087EB5"/>
    <w:rsid w:val="650F7152"/>
    <w:rsid w:val="65294B01"/>
    <w:rsid w:val="659622F9"/>
    <w:rsid w:val="65962D4B"/>
    <w:rsid w:val="65C7226E"/>
    <w:rsid w:val="65F72B81"/>
    <w:rsid w:val="660D7D1C"/>
    <w:rsid w:val="66177934"/>
    <w:rsid w:val="661C580F"/>
    <w:rsid w:val="66295ABB"/>
    <w:rsid w:val="663A1619"/>
    <w:rsid w:val="66807D87"/>
    <w:rsid w:val="672747FF"/>
    <w:rsid w:val="672F6DA4"/>
    <w:rsid w:val="674C3B35"/>
    <w:rsid w:val="675F41C5"/>
    <w:rsid w:val="67C34F71"/>
    <w:rsid w:val="67E46975"/>
    <w:rsid w:val="68674FF1"/>
    <w:rsid w:val="686C68EE"/>
    <w:rsid w:val="688C61D2"/>
    <w:rsid w:val="68930F57"/>
    <w:rsid w:val="689A69C4"/>
    <w:rsid w:val="68CB4C64"/>
    <w:rsid w:val="68DE0CD5"/>
    <w:rsid w:val="692C7B17"/>
    <w:rsid w:val="693A14B2"/>
    <w:rsid w:val="69460AD7"/>
    <w:rsid w:val="69790B2E"/>
    <w:rsid w:val="6A0E59EB"/>
    <w:rsid w:val="6A2F7EE3"/>
    <w:rsid w:val="6A611CE2"/>
    <w:rsid w:val="6AC504FF"/>
    <w:rsid w:val="6AD93B86"/>
    <w:rsid w:val="6AE31B0E"/>
    <w:rsid w:val="6AF84231"/>
    <w:rsid w:val="6B4C5A44"/>
    <w:rsid w:val="6B5275DD"/>
    <w:rsid w:val="6B646711"/>
    <w:rsid w:val="6B8C6C96"/>
    <w:rsid w:val="6B99671A"/>
    <w:rsid w:val="6BEF5A35"/>
    <w:rsid w:val="6BF81813"/>
    <w:rsid w:val="6C442A73"/>
    <w:rsid w:val="6C4D6722"/>
    <w:rsid w:val="6C5452C9"/>
    <w:rsid w:val="6C58353E"/>
    <w:rsid w:val="6C647275"/>
    <w:rsid w:val="6C843253"/>
    <w:rsid w:val="6D616129"/>
    <w:rsid w:val="6D6B6272"/>
    <w:rsid w:val="6D8C3791"/>
    <w:rsid w:val="6E02474D"/>
    <w:rsid w:val="6E10486D"/>
    <w:rsid w:val="6E3F062B"/>
    <w:rsid w:val="6E9C1C79"/>
    <w:rsid w:val="6F2F2039"/>
    <w:rsid w:val="6F5806DE"/>
    <w:rsid w:val="6FDD7E19"/>
    <w:rsid w:val="705630C5"/>
    <w:rsid w:val="70A401C0"/>
    <w:rsid w:val="70F413D6"/>
    <w:rsid w:val="7100159F"/>
    <w:rsid w:val="71083625"/>
    <w:rsid w:val="714269F5"/>
    <w:rsid w:val="715F7B49"/>
    <w:rsid w:val="71D71745"/>
    <w:rsid w:val="720A0E3D"/>
    <w:rsid w:val="72267B7B"/>
    <w:rsid w:val="72B83720"/>
    <w:rsid w:val="7338325A"/>
    <w:rsid w:val="73C742E7"/>
    <w:rsid w:val="73CE2A96"/>
    <w:rsid w:val="73F73418"/>
    <w:rsid w:val="74022907"/>
    <w:rsid w:val="74563E14"/>
    <w:rsid w:val="74894229"/>
    <w:rsid w:val="74937909"/>
    <w:rsid w:val="74CA40D8"/>
    <w:rsid w:val="74D709C6"/>
    <w:rsid w:val="750252BE"/>
    <w:rsid w:val="754B635A"/>
    <w:rsid w:val="755A5B96"/>
    <w:rsid w:val="756C2B3D"/>
    <w:rsid w:val="75780D57"/>
    <w:rsid w:val="75C70B2B"/>
    <w:rsid w:val="75FF24CA"/>
    <w:rsid w:val="76112CA0"/>
    <w:rsid w:val="76235E6C"/>
    <w:rsid w:val="767F0839"/>
    <w:rsid w:val="76A711C4"/>
    <w:rsid w:val="76FF383A"/>
    <w:rsid w:val="77650CD6"/>
    <w:rsid w:val="776711F3"/>
    <w:rsid w:val="777F10CB"/>
    <w:rsid w:val="77C67BF0"/>
    <w:rsid w:val="77DA076D"/>
    <w:rsid w:val="7811612C"/>
    <w:rsid w:val="7814672C"/>
    <w:rsid w:val="781A1CFC"/>
    <w:rsid w:val="784F3DE2"/>
    <w:rsid w:val="787B7C94"/>
    <w:rsid w:val="78DB46B5"/>
    <w:rsid w:val="78DD7161"/>
    <w:rsid w:val="78FC13B7"/>
    <w:rsid w:val="79165475"/>
    <w:rsid w:val="795A1323"/>
    <w:rsid w:val="79AE151B"/>
    <w:rsid w:val="79D7583F"/>
    <w:rsid w:val="7A250611"/>
    <w:rsid w:val="7A296C72"/>
    <w:rsid w:val="7A345A74"/>
    <w:rsid w:val="7A454A49"/>
    <w:rsid w:val="7A5854F0"/>
    <w:rsid w:val="7A611039"/>
    <w:rsid w:val="7ADF0BF4"/>
    <w:rsid w:val="7AFC5749"/>
    <w:rsid w:val="7AFE2ED4"/>
    <w:rsid w:val="7B0D6C19"/>
    <w:rsid w:val="7B1D7A75"/>
    <w:rsid w:val="7B414636"/>
    <w:rsid w:val="7B7550FA"/>
    <w:rsid w:val="7B7E4B1F"/>
    <w:rsid w:val="7B92405B"/>
    <w:rsid w:val="7C0C386C"/>
    <w:rsid w:val="7C462D99"/>
    <w:rsid w:val="7C534ADE"/>
    <w:rsid w:val="7CB9126A"/>
    <w:rsid w:val="7CC27672"/>
    <w:rsid w:val="7CC40834"/>
    <w:rsid w:val="7CFD385E"/>
    <w:rsid w:val="7D0865D2"/>
    <w:rsid w:val="7D272C9D"/>
    <w:rsid w:val="7D3A3237"/>
    <w:rsid w:val="7D470F6C"/>
    <w:rsid w:val="7D742C0E"/>
    <w:rsid w:val="7D7532DF"/>
    <w:rsid w:val="7DBF6D54"/>
    <w:rsid w:val="7E1B7941"/>
    <w:rsid w:val="7E3A3588"/>
    <w:rsid w:val="7E3D1DA1"/>
    <w:rsid w:val="7E543940"/>
    <w:rsid w:val="7E7F9ACA"/>
    <w:rsid w:val="7EE84759"/>
    <w:rsid w:val="7EFF2EB7"/>
    <w:rsid w:val="7F151267"/>
    <w:rsid w:val="7F3542F7"/>
    <w:rsid w:val="7F5278F0"/>
    <w:rsid w:val="7F727DD6"/>
    <w:rsid w:val="A7F7BFC0"/>
    <w:rsid w:val="ABE94181"/>
    <w:rsid w:val="CF7B1163"/>
    <w:rsid w:val="FE4EB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keepNext/>
      <w:keepLines/>
      <w:spacing w:beforeLines="100" w:beforeAutospacing="0" w:afterLines="100" w:afterAutospacing="0" w:line="580" w:lineRule="exact"/>
      <w:ind w:firstLine="0" w:firstLineChars="0"/>
      <w:jc w:val="center"/>
      <w:outlineLvl w:val="0"/>
    </w:pPr>
    <w:rPr>
      <w:rFonts w:ascii="宋体" w:hAnsi="宋体" w:eastAsia="方正小标宋简体"/>
      <w:b/>
      <w:kern w:val="44"/>
      <w:sz w:val="44"/>
      <w:szCs w:val="44"/>
    </w:rPr>
  </w:style>
  <w:style w:type="paragraph" w:styleId="4">
    <w:name w:val="heading 2"/>
    <w:basedOn w:val="1"/>
    <w:next w:val="1"/>
    <w:semiHidden/>
    <w:unhideWhenUsed/>
    <w:qFormat/>
    <w:uiPriority w:val="0"/>
    <w:pPr>
      <w:keepNext/>
      <w:keepLines/>
      <w:spacing w:beforeAutospacing="0" w:afterAutospacing="0" w:line="240" w:lineRule="auto"/>
      <w:ind w:firstLine="872" w:firstLineChars="200"/>
      <w:outlineLvl w:val="1"/>
    </w:pPr>
    <w:rPr>
      <w:rFonts w:eastAsia="黑体"/>
      <w:b/>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宋体" w:cs="Times New Roman"/>
    </w:rPr>
  </w:style>
  <w:style w:type="paragraph" w:styleId="5">
    <w:name w:val="Body Text"/>
    <w:basedOn w:val="1"/>
    <w:qFormat/>
    <w:uiPriority w:val="1"/>
    <w:rPr>
      <w:rFonts w:ascii="仿宋" w:hAnsi="仿宋" w:eastAsia="仿宋" w:cs="仿宋"/>
      <w:sz w:val="32"/>
      <w:szCs w:val="32"/>
      <w:lang w:val="zh-CN" w:eastAsia="zh-CN" w:bidi="zh-CN"/>
    </w:rPr>
  </w:style>
  <w:style w:type="paragraph" w:styleId="6">
    <w:name w:val="Body Text Indent"/>
    <w:basedOn w:val="1"/>
    <w:next w:val="2"/>
    <w:qFormat/>
    <w:uiPriority w:val="0"/>
    <w:pPr>
      <w:spacing w:after="120"/>
      <w:ind w:left="420" w:leftChars="2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rFonts w:ascii="Times New Roman" w:hAnsi="Times New Roman" w:eastAsia="宋体" w:cs="Times New Roman"/>
      <w:b/>
    </w:rPr>
  </w:style>
  <w:style w:type="character" w:styleId="16">
    <w:name w:val="page number"/>
    <w:basedOn w:val="14"/>
    <w:qFormat/>
    <w:uiPriority w:val="0"/>
    <w:rPr>
      <w:rFonts w:ascii="Times New Roman" w:hAnsi="Times New Roman" w:eastAsia="宋体" w:cs="Times New Roman"/>
    </w:rPr>
  </w:style>
  <w:style w:type="character" w:styleId="17">
    <w:name w:val="Emphasis"/>
    <w:basedOn w:val="14"/>
    <w:qFormat/>
    <w:uiPriority w:val="0"/>
    <w:rPr>
      <w:rFonts w:ascii="Times New Roman" w:hAnsi="Times New Roman" w:eastAsia="宋体" w:cs="Times New Roman"/>
      <w:i/>
    </w:rPr>
  </w:style>
  <w:style w:type="character" w:styleId="18">
    <w:name w:val="Hyperlink"/>
    <w:basedOn w:val="14"/>
    <w:qFormat/>
    <w:uiPriority w:val="0"/>
    <w:rPr>
      <w:rFonts w:ascii="Times New Roman" w:hAnsi="Times New Roman" w:eastAsia="宋体" w:cs="Times New Roman"/>
      <w:color w:val="0000FF"/>
      <w:u w:val="single"/>
    </w:rPr>
  </w:style>
  <w:style w:type="character" w:customStyle="1" w:styleId="19">
    <w:name w:val="font21"/>
    <w:basedOn w:val="14"/>
    <w:qFormat/>
    <w:uiPriority w:val="0"/>
    <w:rPr>
      <w:rFonts w:hint="eastAsia" w:ascii="宋体" w:hAnsi="宋体" w:eastAsia="宋体" w:cs="宋体"/>
      <w:color w:val="000000"/>
      <w:sz w:val="24"/>
      <w:szCs w:val="24"/>
      <w:u w:val="none"/>
    </w:rPr>
  </w:style>
  <w:style w:type="character" w:customStyle="1" w:styleId="20">
    <w:name w:val="font71"/>
    <w:basedOn w:val="14"/>
    <w:qFormat/>
    <w:uiPriority w:val="0"/>
    <w:rPr>
      <w:rFonts w:hint="default" w:ascii="楷体_GB2312" w:hAnsi="Times New Roman" w:eastAsia="楷体_GB2312" w:cs="楷体_GB2312"/>
      <w:color w:val="000000"/>
      <w:sz w:val="24"/>
      <w:szCs w:val="24"/>
      <w:u w:val="none"/>
    </w:rPr>
  </w:style>
  <w:style w:type="paragraph" w:customStyle="1" w:styleId="21">
    <w:name w:val="Body text|1"/>
    <w:basedOn w:val="1"/>
    <w:qFormat/>
    <w:uiPriority w:val="0"/>
    <w:pPr>
      <w:widowControl w:val="0"/>
      <w:shd w:val="clear" w:color="auto" w:fill="FFFFFF"/>
      <w:spacing w:line="446" w:lineRule="auto"/>
      <w:ind w:firstLine="400"/>
    </w:pPr>
    <w:rPr>
      <w:rFonts w:ascii="MingLiU" w:hAnsi="MingLiU" w:eastAsia="MingLiU" w:cs="MingLiU"/>
      <w:sz w:val="20"/>
      <w:szCs w:val="20"/>
      <w:u w:val="none"/>
      <w:lang w:val="ja-JP" w:eastAsia="ja-JP" w:bidi="ja-JP"/>
    </w:rPr>
  </w:style>
  <w:style w:type="paragraph" w:customStyle="1" w:styleId="22">
    <w:name w:val="Normal1"/>
    <w:qFormat/>
    <w:uiPriority w:val="0"/>
    <w:pPr>
      <w:widowControl w:val="0"/>
      <w:jc w:val="both"/>
    </w:pPr>
    <w:rPr>
      <w:rFonts w:ascii="Calibri" w:hAnsi="Calibri" w:eastAsia="宋体" w:cs="Calibri"/>
      <w:kern w:val="2"/>
      <w:sz w:val="21"/>
      <w:szCs w:val="21"/>
      <w:lang w:val="en-US" w:eastAsia="zh-CN" w:bidi="ar-SA"/>
    </w:rPr>
  </w:style>
  <w:style w:type="paragraph" w:customStyle="1" w:styleId="23">
    <w:name w:val="p0"/>
    <w:basedOn w:val="1"/>
    <w:qFormat/>
    <w:uiPriority w:val="0"/>
    <w:pPr>
      <w:widowControl/>
      <w:jc w:val="left"/>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7479</Words>
  <Characters>7731</Characters>
  <Lines>0</Lines>
  <Paragraphs>0</Paragraphs>
  <TotalTime>18</TotalTime>
  <ScaleCrop>false</ScaleCrop>
  <LinksUpToDate>false</LinksUpToDate>
  <CharactersWithSpaces>7781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2022-11-28T17:15:00Z</dcterms:created>
  <dc:creator>Administrator</dc:creator>
  <cp:lastModifiedBy>user</cp:lastModifiedBy>
  <dcterms:modified xsi:type="dcterms:W3CDTF">2023-08-21T16:06:30Z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5D699EC8C10A4E9BBCF83B3169DD63BC</vt:lpwstr>
  </property>
</Properties>
</file>