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仿宋" w:eastAsia="方正小标宋简体" w:cs="仿宋"/>
          <w:b w:val="0"/>
          <w:bCs w:val="0"/>
          <w:sz w:val="44"/>
          <w:szCs w:val="44"/>
        </w:rPr>
        <w:t>关于</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赣州美哲上犹环保材料生产项目</w:t>
      </w:r>
    </w:p>
    <w:p>
      <w:pPr>
        <w:spacing w:line="600" w:lineRule="exact"/>
        <w:jc w:val="center"/>
        <w:rPr>
          <w:rFonts w:ascii="方正小标宋简体" w:hAnsi="仿宋" w:eastAsia="方正小标宋简体" w:cs="仿宋"/>
          <w:b w:val="0"/>
          <w:bCs w:val="0"/>
          <w:sz w:val="44"/>
          <w:szCs w:val="44"/>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环境影响报告表</w:t>
      </w:r>
      <w:r>
        <w:rPr>
          <w:rFonts w:hint="eastAsia" w:ascii="方正小标宋简体" w:hAnsi="仿宋" w:eastAsia="方正小标宋简体" w:cs="仿宋"/>
          <w:b w:val="0"/>
          <w:bCs w:val="0"/>
          <w:sz w:val="44"/>
          <w:szCs w:val="44"/>
        </w:rPr>
        <w:t>的批复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赣州美哲环保材料有限公司</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赣州美哲上犹环保材料生产项目</w:t>
      </w:r>
      <w:r>
        <w:rPr>
          <w:rFonts w:hint="eastAsia" w:ascii="仿宋_GB2312" w:hAnsi="仿宋_GB2312" w:eastAsia="仿宋_GB2312" w:cs="仿宋_GB2312"/>
          <w:kern w:val="0"/>
          <w:sz w:val="32"/>
          <w:szCs w:val="32"/>
        </w:rPr>
        <w:t>环境影响报告表》环评文件及审查申请等有关文件收悉，环</w:t>
      </w:r>
      <w:r>
        <w:rPr>
          <w:rFonts w:hint="eastAsia" w:ascii="仿宋_GB2312" w:hAnsi="仿宋_GB2312" w:eastAsia="仿宋_GB2312" w:cs="仿宋_GB2312"/>
          <w:sz w:val="32"/>
          <w:szCs w:val="32"/>
        </w:rPr>
        <w:t>境影响报告表由</w:t>
      </w:r>
      <w:r>
        <w:rPr>
          <w:rFonts w:hint="eastAsia" w:ascii="仿宋_GB2312" w:hAnsi="仿宋_GB2312" w:eastAsia="仿宋_GB2312" w:cs="仿宋_GB2312"/>
          <w:sz w:val="32"/>
          <w:szCs w:val="32"/>
          <w:lang w:val="en-US" w:eastAsia="zh-CN"/>
        </w:rPr>
        <w:t>江西源华环保有限公司</w:t>
      </w:r>
      <w:r>
        <w:rPr>
          <w:rFonts w:hint="eastAsia" w:ascii="仿宋_GB2312" w:hAnsi="仿宋_GB2312" w:eastAsia="仿宋_GB2312" w:cs="仿宋_GB2312"/>
          <w:sz w:val="32"/>
          <w:szCs w:val="32"/>
        </w:rPr>
        <w:t>编制。</w:t>
      </w:r>
      <w:r>
        <w:rPr>
          <w:rFonts w:hint="eastAsia" w:ascii="仿宋_GB2312" w:hAnsi="仿宋_GB2312" w:eastAsia="仿宋_GB2312" w:cs="仿宋_GB2312"/>
          <w:kern w:val="0"/>
          <w:sz w:val="32"/>
          <w:szCs w:val="32"/>
        </w:rPr>
        <w:t>根据技术评估会专家组意见及技术评估公司的评估意见，经研究，批</w:t>
      </w:r>
      <w:r>
        <w:rPr>
          <w:rFonts w:hint="eastAsia" w:ascii="仿宋_GB2312" w:hAnsi="仿宋_GB2312" w:eastAsia="仿宋_GB2312" w:cs="仿宋_GB2312"/>
          <w:sz w:val="32"/>
          <w:szCs w:val="32"/>
        </w:rPr>
        <w:t>复如下：</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一、项目概况及批复意见</w:t>
      </w:r>
      <w:r>
        <w:rPr>
          <w:rFonts w:hint="eastAsia" w:ascii="仿宋_GB2312" w:hAnsi="仿宋_GB2312" w:eastAsia="仿宋_GB2312" w:cs="仿宋_GB2312"/>
          <w:b/>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赣州美哲上犹环保材料生产项目</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lang w:val="en-US" w:eastAsia="zh-CN"/>
        </w:rPr>
        <w:t>项目代码：2507-360724-04-01-210541）为赣州美哲环保材料有限公司新建项目，行业类别为其他橡胶制品制造和球类制造，位于江西上犹工业园C20-1宗地1#厂房，厂址中心地理坐标为东经</w:t>
      </w:r>
      <w:r>
        <w:rPr>
          <w:rFonts w:hint="default" w:ascii="仿宋_GB2312" w:hAnsi="仿宋_GB2312" w:eastAsia="仿宋_GB2312" w:cs="仿宋_GB2312"/>
          <w:color w:val="000000"/>
          <w:sz w:val="32"/>
          <w:szCs w:val="32"/>
          <w:lang w:val="en-US" w:eastAsia="zh-CN"/>
        </w:rPr>
        <w:t>114°34′2.505″</w:t>
      </w:r>
      <w:r>
        <w:rPr>
          <w:rFonts w:hint="eastAsia" w:ascii="仿宋_GB2312" w:hAnsi="仿宋_GB2312" w:eastAsia="仿宋_GB2312" w:cs="仿宋_GB2312"/>
          <w:color w:val="000000"/>
          <w:sz w:val="32"/>
          <w:szCs w:val="32"/>
          <w:lang w:val="en-US" w:eastAsia="zh-CN"/>
        </w:rPr>
        <w:t>、北纬</w:t>
      </w:r>
      <w:r>
        <w:rPr>
          <w:rFonts w:hint="default" w:ascii="仿宋_GB2312" w:hAnsi="仿宋_GB2312" w:eastAsia="仿宋_GB2312" w:cs="仿宋_GB2312"/>
          <w:color w:val="000000"/>
          <w:sz w:val="32"/>
          <w:szCs w:val="32"/>
          <w:lang w:val="en-US" w:eastAsia="zh-CN"/>
        </w:rPr>
        <w:t>25°46′25.739″</w:t>
      </w:r>
      <w:r>
        <w:rPr>
          <w:rFonts w:hint="eastAsia" w:ascii="仿宋_GB2312" w:hAnsi="仿宋_GB2312" w:eastAsia="仿宋_GB2312" w:cs="仿宋_GB2312"/>
          <w:color w:val="000000"/>
          <w:sz w:val="32"/>
          <w:szCs w:val="32"/>
          <w:lang w:val="en-US" w:eastAsia="zh-CN"/>
        </w:rPr>
        <w:t>，用地面积6666.67m</w:t>
      </w:r>
      <w:r>
        <w:rPr>
          <w:rFonts w:hint="eastAsia" w:ascii="仿宋_GB2312" w:hAnsi="仿宋_GB2312" w:eastAsia="仿宋_GB2312" w:cs="仿宋_GB2312"/>
          <w:color w:val="000000"/>
          <w:sz w:val="32"/>
          <w:szCs w:val="32"/>
          <w:vertAlign w:val="superscript"/>
          <w:lang w:val="en-US" w:eastAsia="zh-CN"/>
        </w:rPr>
        <w:t>2</w:t>
      </w:r>
      <w:r>
        <w:rPr>
          <w:rFonts w:hint="eastAsia" w:ascii="仿宋_GB2312" w:hAnsi="仿宋_GB2312" w:eastAsia="仿宋_GB2312" w:cs="仿宋_GB2312"/>
          <w:color w:val="000000"/>
          <w:sz w:val="32"/>
          <w:szCs w:val="32"/>
          <w:lang w:val="en-US" w:eastAsia="zh-CN"/>
        </w:rPr>
        <w:t>，总投资1000万元，其中环保投资50万元，占总投资的5%。</w:t>
      </w:r>
      <w:r>
        <w:rPr>
          <w:rFonts w:hint="eastAsia" w:ascii="仿宋" w:hAnsi="仿宋" w:eastAsia="仿宋" w:cs="仿宋"/>
          <w:bCs/>
          <w:color w:val="auto"/>
          <w:sz w:val="30"/>
          <w:szCs w:val="30"/>
          <w:lang w:eastAsia="zh-CN"/>
        </w:rPr>
        <w:t>项目用水量为</w:t>
      </w:r>
      <w:r>
        <w:rPr>
          <w:rFonts w:hint="eastAsia" w:ascii="仿宋" w:hAnsi="仿宋" w:eastAsia="仿宋" w:cs="仿宋"/>
          <w:bCs/>
          <w:color w:val="auto"/>
          <w:sz w:val="30"/>
          <w:szCs w:val="30"/>
          <w:lang w:val="en-US" w:eastAsia="zh-CN"/>
        </w:rPr>
        <w:t>660</w:t>
      </w:r>
      <w:r>
        <w:rPr>
          <w:rFonts w:hint="eastAsia" w:ascii="仿宋" w:hAnsi="仿宋" w:eastAsia="仿宋" w:cs="仿宋"/>
          <w:bCs/>
          <w:color w:val="auto"/>
          <w:sz w:val="30"/>
          <w:szCs w:val="30"/>
          <w:lang w:eastAsia="zh-CN"/>
        </w:rPr>
        <w:t>m</w:t>
      </w:r>
      <w:r>
        <w:rPr>
          <w:rFonts w:hint="eastAsia" w:ascii="仿宋" w:hAnsi="仿宋" w:eastAsia="仿宋" w:cs="仿宋"/>
          <w:bCs/>
          <w:color w:val="auto"/>
          <w:sz w:val="30"/>
          <w:szCs w:val="30"/>
          <w:vertAlign w:val="superscript"/>
          <w:lang w:eastAsia="zh-CN"/>
        </w:rPr>
        <w:t>3</w:t>
      </w:r>
      <w:r>
        <w:rPr>
          <w:rFonts w:hint="eastAsia" w:ascii="仿宋" w:hAnsi="仿宋" w:eastAsia="仿宋" w:cs="仿宋"/>
          <w:bCs/>
          <w:color w:val="auto"/>
          <w:sz w:val="30"/>
          <w:szCs w:val="30"/>
          <w:lang w:eastAsia="zh-CN"/>
        </w:rPr>
        <w:t>/a，用电</w:t>
      </w:r>
      <w:r>
        <w:rPr>
          <w:rFonts w:hint="eastAsia" w:ascii="仿宋" w:hAnsi="仿宋" w:eastAsia="仿宋" w:cs="仿宋"/>
          <w:bCs/>
          <w:color w:val="000000"/>
          <w:sz w:val="30"/>
          <w:szCs w:val="30"/>
          <w:lang w:eastAsia="zh-CN"/>
        </w:rPr>
        <w:t>量</w:t>
      </w:r>
      <w:r>
        <w:rPr>
          <w:rFonts w:hint="eastAsia" w:ascii="仿宋" w:hAnsi="仿宋" w:eastAsia="仿宋" w:cs="仿宋"/>
          <w:bCs/>
          <w:color w:val="000000"/>
          <w:sz w:val="30"/>
          <w:szCs w:val="30"/>
          <w:lang w:val="en-US" w:eastAsia="zh-CN"/>
        </w:rPr>
        <w:t>100</w:t>
      </w:r>
      <w:r>
        <w:rPr>
          <w:rFonts w:hint="eastAsia" w:ascii="仿宋" w:hAnsi="仿宋" w:eastAsia="仿宋" w:cs="仿宋"/>
          <w:bCs/>
          <w:color w:val="000000"/>
          <w:sz w:val="30"/>
          <w:szCs w:val="30"/>
          <w:lang w:eastAsia="zh-CN"/>
        </w:rPr>
        <w:t>万</w:t>
      </w:r>
      <w:r>
        <w:rPr>
          <w:rFonts w:hint="eastAsia" w:ascii="仿宋" w:hAnsi="仿宋" w:eastAsia="仿宋" w:cs="仿宋"/>
          <w:bCs/>
          <w:color w:val="auto"/>
          <w:sz w:val="30"/>
          <w:szCs w:val="30"/>
          <w:lang w:eastAsia="zh-CN"/>
        </w:rPr>
        <w:t>kW·h</w:t>
      </w:r>
      <w:r>
        <w:rPr>
          <w:rFonts w:hint="eastAsia" w:ascii="仿宋" w:hAnsi="仿宋" w:eastAsia="仿宋" w:cs="仿宋"/>
          <w:bCs/>
          <w:color w:val="auto"/>
          <w:sz w:val="30"/>
          <w:szCs w:val="30"/>
          <w:lang w:val="en-US" w:eastAsia="zh-CN"/>
        </w:rPr>
        <w:t>/a，</w:t>
      </w:r>
      <w:r>
        <w:rPr>
          <w:rFonts w:hint="eastAsia" w:ascii="仿宋" w:hAnsi="仿宋" w:eastAsia="仿宋" w:cs="仿宋"/>
          <w:color w:val="auto"/>
          <w:sz w:val="30"/>
          <w:szCs w:val="30"/>
          <w:lang w:val="en-US" w:eastAsia="zh-CN"/>
        </w:rPr>
        <w:t>均</w:t>
      </w:r>
      <w:r>
        <w:rPr>
          <w:rFonts w:hint="eastAsia" w:ascii="仿宋" w:hAnsi="仿宋" w:eastAsia="仿宋" w:cs="仿宋"/>
          <w:bCs/>
          <w:color w:val="auto"/>
          <w:sz w:val="30"/>
          <w:szCs w:val="30"/>
        </w:rPr>
        <w:t>由</w:t>
      </w:r>
      <w:r>
        <w:rPr>
          <w:rFonts w:hint="eastAsia" w:ascii="仿宋" w:hAnsi="仿宋" w:eastAsia="仿宋" w:cs="仿宋"/>
          <w:bCs/>
          <w:color w:val="auto"/>
          <w:sz w:val="30"/>
          <w:szCs w:val="30"/>
          <w:lang w:eastAsia="zh-CN"/>
        </w:rPr>
        <w:t>工业</w:t>
      </w:r>
      <w:r>
        <w:rPr>
          <w:rFonts w:hint="eastAsia" w:ascii="仿宋" w:hAnsi="仿宋" w:eastAsia="仿宋" w:cs="仿宋"/>
          <w:bCs/>
          <w:color w:val="auto"/>
          <w:sz w:val="30"/>
          <w:szCs w:val="30"/>
        </w:rPr>
        <w:t>园区公用工程供应</w:t>
      </w:r>
      <w:r>
        <w:rPr>
          <w:rFonts w:hint="eastAsia" w:ascii="仿宋" w:hAnsi="仿宋" w:eastAsia="仿宋" w:cs="仿宋"/>
          <w:bCs/>
          <w:color w:val="auto"/>
          <w:sz w:val="30"/>
          <w:szCs w:val="30"/>
          <w:lang w:eastAsia="zh-CN"/>
        </w:rPr>
        <w:t>，</w:t>
      </w:r>
      <w:r>
        <w:rPr>
          <w:rFonts w:hint="eastAsia" w:ascii="仿宋_GB2312" w:hAnsi="仿宋_GB2312" w:eastAsia="仿宋_GB2312" w:cs="仿宋_GB2312"/>
          <w:color w:val="000000"/>
          <w:sz w:val="32"/>
          <w:szCs w:val="32"/>
          <w:lang w:val="en-US" w:eastAsia="zh-CN"/>
        </w:rPr>
        <w:t>项目建成后</w:t>
      </w:r>
      <w:r>
        <w:rPr>
          <w:rFonts w:hint="eastAsia" w:ascii="仿宋_GB2312" w:hAnsi="仿宋_GB2312" w:eastAsia="仿宋_GB2312" w:cs="仿宋_GB2312"/>
          <w:color w:val="000000"/>
          <w:sz w:val="32"/>
          <w:szCs w:val="32"/>
          <w:lang w:eastAsia="zh-CN"/>
        </w:rPr>
        <w:t>年产界面型聚氨酯橡胶隔声垫32万m</w:t>
      </w:r>
      <w:r>
        <w:rPr>
          <w:rFonts w:hint="eastAsia" w:ascii="仿宋_GB2312" w:hAnsi="仿宋_GB2312" w:eastAsia="仿宋_GB2312" w:cs="仿宋_GB2312"/>
          <w:color w:val="000000"/>
          <w:sz w:val="32"/>
          <w:szCs w:val="32"/>
          <w:vertAlign w:val="superscript"/>
          <w:lang w:eastAsia="zh-CN"/>
        </w:rPr>
        <w:t>2</w:t>
      </w:r>
      <w:r>
        <w:rPr>
          <w:rFonts w:hint="eastAsia" w:ascii="仿宋_GB2312" w:hAnsi="仿宋_GB2312" w:eastAsia="仿宋_GB2312" w:cs="仿宋_GB2312"/>
          <w:color w:val="000000"/>
          <w:sz w:val="32"/>
          <w:szCs w:val="32"/>
          <w:lang w:eastAsia="zh-CN"/>
        </w:rPr>
        <w:t>、橡胶健身地垫18万m</w:t>
      </w:r>
      <w:r>
        <w:rPr>
          <w:rFonts w:hint="eastAsia" w:ascii="仿宋_GB2312" w:hAnsi="仿宋_GB2312" w:eastAsia="仿宋_GB2312" w:cs="仿宋_GB2312"/>
          <w:color w:val="000000"/>
          <w:sz w:val="32"/>
          <w:szCs w:val="32"/>
          <w:vertAlign w:val="superscript"/>
          <w:lang w:eastAsia="zh-CN"/>
        </w:rPr>
        <w:t>2</w:t>
      </w:r>
      <w:r>
        <w:rPr>
          <w:rFonts w:hint="eastAsia" w:ascii="仿宋_GB2312" w:hAnsi="仿宋_GB2312" w:eastAsia="仿宋_GB2312" w:cs="仿宋_GB2312"/>
          <w:color w:val="000000"/>
          <w:sz w:val="32"/>
          <w:szCs w:val="32"/>
          <w:lang w:eastAsia="zh-CN"/>
        </w:rPr>
        <w:t>，棒球50万件</w:t>
      </w:r>
      <w:r>
        <w:rPr>
          <w:rFonts w:hint="eastAsia" w:ascii="仿宋_GB2312" w:hAnsi="仿宋_GB2312" w:eastAsia="仿宋_GB2312" w:cs="仿宋_GB2312"/>
          <w:color w:val="00000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color w:val="000000"/>
          <w:sz w:val="32"/>
          <w:szCs w:val="32"/>
          <w:lang w:val="en-US" w:eastAsia="zh-CN"/>
        </w:rPr>
        <w:t>该项目建设内容包括1栋生产车间、1栋办公楼以及1栋仓库等工程及其他配套设施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购置搅拌机、圆成型模、空压机等设备以及合成橡胶、聚氨酯型粘合剂等原辅料进行生产。</w:t>
      </w:r>
      <w:r>
        <w:rPr>
          <w:rFonts w:hint="eastAsia" w:ascii="仿宋_GB2312" w:hAnsi="仿宋_GB2312" w:eastAsia="仿宋_GB2312" w:cs="仿宋_GB2312"/>
          <w:color w:val="000000"/>
          <w:sz w:val="32"/>
          <w:szCs w:val="32"/>
          <w:lang w:eastAsia="zh-CN"/>
        </w:rPr>
        <w:t>界面型聚氨酯橡胶隔声垫和棒球生产工艺为原料、破碎、混合搅拌、热压成型、半成品、切割成型、收卷、贴合、冲压成型</w:t>
      </w:r>
      <w:bookmarkStart w:id="0" w:name="OLE_LINK1"/>
      <w:r>
        <w:rPr>
          <w:rFonts w:hint="eastAsia" w:ascii="仿宋_GB2312" w:hAnsi="仿宋_GB2312" w:eastAsia="仿宋_GB2312" w:cs="仿宋_GB2312"/>
          <w:color w:val="000000"/>
          <w:sz w:val="32"/>
          <w:szCs w:val="32"/>
          <w:lang w:eastAsia="zh-CN"/>
        </w:rPr>
        <w:t>、包装入库</w:t>
      </w:r>
      <w:bookmarkEnd w:id="0"/>
      <w:r>
        <w:rPr>
          <w:rFonts w:hint="eastAsia" w:ascii="仿宋_GB2312" w:hAnsi="仿宋_GB2312" w:eastAsia="仿宋_GB2312" w:cs="仿宋_GB2312"/>
          <w:color w:val="000000"/>
          <w:sz w:val="32"/>
          <w:szCs w:val="32"/>
          <w:lang w:eastAsia="zh-CN"/>
        </w:rPr>
        <w:t>；橡胶健身地垫生产工艺为原料（</w:t>
      </w:r>
      <w:r>
        <w:rPr>
          <w:rFonts w:hint="eastAsia" w:ascii="仿宋_GB2312" w:hAnsi="仿宋_GB2312" w:eastAsia="仿宋_GB2312" w:cs="仿宋_GB2312"/>
          <w:color w:val="auto"/>
          <w:sz w:val="32"/>
          <w:szCs w:val="32"/>
          <w:lang w:eastAsia="zh-CN"/>
        </w:rPr>
        <w:t>边角料及不合格品</w:t>
      </w:r>
      <w:r>
        <w:rPr>
          <w:rFonts w:hint="eastAsia" w:ascii="仿宋_GB2312" w:hAnsi="仿宋_GB2312" w:eastAsia="仿宋_GB2312" w:cs="仿宋_GB2312"/>
          <w:color w:val="000000"/>
          <w:sz w:val="32"/>
          <w:szCs w:val="32"/>
          <w:lang w:eastAsia="zh-CN"/>
        </w:rPr>
        <w:t>）、破碎、混合搅拌、模具、热压成型、包装入库</w:t>
      </w:r>
      <w:r>
        <w:rPr>
          <w:rFonts w:hint="eastAsia" w:ascii="仿宋_GB2312" w:hAnsi="仿宋_GB2312" w:eastAsia="仿宋_GB2312" w:cs="仿宋_GB2312"/>
          <w:color w:val="00000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lang w:val="en-US" w:eastAsia="zh-CN"/>
        </w:rPr>
        <w:t>你公司应在项目建设及运营过程中，严格落实环境影响报告表提出的各项生态环境保护措施。我局原则上同意环境影响报告表所列建设项目的性质、规模、地点、工艺和环境保护对策措施。</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二、项目运营管理中应重点做好以下工作：</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项目在工程设计、建设和运行过程中应认真落实环境影响报告表提出的各项环境保护措施和要求。重点做好以下工作：</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（一）严格落实环境影响报告表要求。</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做好运营期的各项污染防治工作，确保各类污染物达标排放及妥善处置</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（二）严格落实大气环境保护措施</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有组织废气：</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破碎粉尘经集气罩收集后由袋式除尘器处理，通过20m高排气筒（DA001）排放；搅拌、热压成型、贴合、冲压成型废气和投料粉尘经集气罩收集后由三级活性炭吸附处理，投料粉尘经集气罩收集后由袋式除尘器处理，两股废气再统一由20m高排气筒（DA002）排放。</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无组织废气：</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上述未收集废气通过加强车间通风，提高生产中操作和管理水平，定期检查废气收集及处理装置的密闭性、加强设备的日常维护和保养等措施后以无组织形式排放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（三）严格落实各项水污染防治措施。</w:t>
      </w:r>
      <w:r>
        <w:rPr>
          <w:rFonts w:hint="eastAsia" w:ascii="仿宋_GB2312" w:hAnsi="仿宋_GB2312" w:eastAsia="仿宋_GB2312" w:cs="仿宋_GB2312"/>
          <w:bCs/>
          <w:color w:val="000000"/>
          <w:sz w:val="32"/>
          <w:szCs w:val="32"/>
          <w:lang w:eastAsia="zh-CN"/>
        </w:rPr>
        <w:t>项</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目生活污水经化粪池处理后通过园区污水管网排入江西上犹工业园污水处理厂深度处理</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（四）严格落实声环境保护措施。</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项目噪声主要为搅拌机、破碎机、修边机、</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璇切机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、开片机、复合机、过胶机、压台、冲压机、地砖热压机、空压机及风机等设备运行过程中产生的噪声。通过选用低噪声设备，合理布局，加强维护，采取基础减振、隔声等降噪措施，以降低噪声的传播和干扰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eastAsia" w:ascii="仿宋_GB2312" w:hAnsi="仿宋_GB2312" w:eastAsia="仿宋_GB2312" w:cs="仿宋_GB2312"/>
          <w:kern w:val="0"/>
          <w:sz w:val="32"/>
          <w:szCs w:val="32"/>
          <w:lang w:val="en-GB" w:eastAsia="zh-CN" w:bidi="ar"/>
        </w:rPr>
      </w:pPr>
      <w:r>
        <w:rPr>
          <w:rFonts w:hint="eastAsia" w:ascii="仿宋_GB2312" w:hAnsi="仿宋_GB2312" w:eastAsia="仿宋_GB2312" w:cs="仿宋_GB2312"/>
          <w:b/>
          <w:bCs/>
          <w:sz w:val="32"/>
          <w:szCs w:val="32"/>
        </w:rPr>
        <w:t>（五）严格落实固体废物污染防治措施。</w:t>
      </w:r>
      <w:r>
        <w:rPr>
          <w:rFonts w:hint="eastAsia" w:ascii="仿宋_GB2312" w:hAnsi="仿宋_GB2312" w:eastAsia="仿宋_GB2312" w:cs="仿宋_GB2312"/>
          <w:b w:val="0"/>
          <w:bCs w:val="0"/>
          <w:color w:val="000000"/>
          <w:sz w:val="32"/>
          <w:szCs w:val="32"/>
          <w:lang w:eastAsia="zh-CN"/>
        </w:rPr>
        <w:t>拟建设</w:t>
      </w:r>
      <w:r>
        <w:rPr>
          <w:rFonts w:hint="eastAsia" w:ascii="仿宋_GB2312" w:hAnsi="仿宋_GB2312" w:eastAsia="仿宋_GB2312" w:cs="仿宋_GB2312"/>
          <w:b w:val="0"/>
          <w:bCs w:val="0"/>
          <w:color w:val="000000"/>
          <w:sz w:val="32"/>
          <w:szCs w:val="32"/>
          <w:lang w:val="en-US" w:eastAsia="zh-CN"/>
        </w:rPr>
        <w:t>一般固废暂存间，</w:t>
      </w:r>
      <w:r>
        <w:rPr>
          <w:rFonts w:hint="eastAsia" w:ascii="仿宋_GB2312" w:hAnsi="仿宋_GB2312" w:eastAsia="仿宋_GB2312" w:cs="仿宋_GB2312"/>
          <w:color w:val="000000"/>
          <w:sz w:val="32"/>
          <w:szCs w:val="32"/>
          <w:lang w:val="en-US"/>
        </w:rPr>
        <w:t>占地面积为</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val="en-US"/>
        </w:rPr>
        <w:t>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，一般固废暂存间按《一般工业固体废物贮存和填埋污染控制标准》（GB18</w:t>
      </w:r>
      <w:r>
        <w:rPr>
          <w:rFonts w:hint="eastAsia" w:ascii="仿宋_GB2312" w:hAnsi="仿宋_GB2312" w:eastAsia="仿宋_GB2312" w:cs="仿宋_GB2312"/>
          <w:kern w:val="0"/>
          <w:sz w:val="32"/>
          <w:szCs w:val="32"/>
          <w:lang w:val="en-US" w:eastAsia="zh-CN" w:bidi="ar"/>
        </w:rPr>
        <w:t>599-2020）要求执行，落实好相应防渗漏、防雨淋、防扬尘等环境保护要求。</w:t>
      </w:r>
      <w:r>
        <w:rPr>
          <w:rFonts w:hint="eastAsia" w:ascii="仿宋_GB2312" w:hAnsi="仿宋_GB2312" w:eastAsia="仿宋_GB2312" w:cs="仿宋_GB2312"/>
          <w:kern w:val="0"/>
          <w:sz w:val="32"/>
          <w:szCs w:val="32"/>
          <w:lang w:val="en-GB" w:eastAsia="zh-CN" w:bidi="ar"/>
        </w:rPr>
        <w:t>一般工业固体废物处理措施：</w:t>
      </w:r>
      <w:r>
        <w:rPr>
          <w:rFonts w:hint="eastAsia" w:ascii="仿宋_GB2312" w:hAnsi="仿宋_GB2312" w:eastAsia="仿宋_GB2312" w:cs="仿宋_GB2312"/>
          <w:color w:val="auto"/>
          <w:kern w:val="0"/>
          <w:sz w:val="32"/>
          <w:szCs w:val="32"/>
          <w:lang w:val="en-GB" w:eastAsia="zh-CN" w:bidi="ar"/>
        </w:rPr>
        <w:t>橡胶边角料、</w:t>
      </w:r>
      <w:r>
        <w:rPr>
          <w:rFonts w:hint="eastAsia" w:ascii="仿宋_GB2312" w:hAnsi="仿宋_GB2312" w:eastAsia="仿宋_GB2312" w:cs="仿宋_GB2312"/>
          <w:kern w:val="0"/>
          <w:sz w:val="32"/>
          <w:szCs w:val="32"/>
          <w:lang w:val="en-GB" w:eastAsia="zh-CN" w:bidi="ar"/>
        </w:rPr>
        <w:t>布袋除尘器粉尘、除尘废布袋、废包装材料集中收集暂存于</w:t>
      </w:r>
      <w:bookmarkStart w:id="1" w:name="OLE_LINK18"/>
      <w:r>
        <w:rPr>
          <w:rFonts w:hint="eastAsia" w:ascii="仿宋_GB2312" w:hAnsi="仿宋_GB2312" w:eastAsia="仿宋_GB2312" w:cs="仿宋_GB2312"/>
          <w:kern w:val="0"/>
          <w:sz w:val="32"/>
          <w:szCs w:val="32"/>
          <w:lang w:val="en-GB" w:eastAsia="zh-CN" w:bidi="ar"/>
        </w:rPr>
        <w:t>一般固废暂存间，定期</w:t>
      </w:r>
      <w:bookmarkEnd w:id="1"/>
      <w:r>
        <w:rPr>
          <w:rFonts w:hint="eastAsia" w:ascii="仿宋_GB2312" w:hAnsi="仿宋_GB2312" w:eastAsia="仿宋_GB2312" w:cs="仿宋_GB2312"/>
          <w:kern w:val="0"/>
          <w:sz w:val="32"/>
          <w:szCs w:val="32"/>
          <w:lang w:val="en-GB" w:eastAsia="zh-CN" w:bidi="ar"/>
        </w:rPr>
        <w:t>外售综合利用，其中废筒芯返回</w:t>
      </w:r>
      <w:r>
        <w:rPr>
          <w:rFonts w:hint="eastAsia" w:ascii="仿宋_GB2312" w:hAnsi="仿宋_GB2312" w:eastAsia="仿宋_GB2312" w:cs="仿宋_GB2312"/>
          <w:kern w:val="0"/>
          <w:sz w:val="32"/>
          <w:szCs w:val="32"/>
          <w:lang w:val="en-US" w:eastAsia="zh-CN" w:bidi="ar"/>
        </w:rPr>
        <w:t>厂家回收利用</w:t>
      </w:r>
      <w:r>
        <w:rPr>
          <w:rFonts w:hint="eastAsia" w:ascii="仿宋_GB2312" w:hAnsi="仿宋_GB2312" w:eastAsia="仿宋_GB2312" w:cs="仿宋_GB2312"/>
          <w:kern w:val="0"/>
          <w:sz w:val="32"/>
          <w:szCs w:val="32"/>
          <w:lang w:val="en-GB" w:eastAsia="zh-CN" w:bidi="ar"/>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000000"/>
          <w:spacing w:val="4"/>
          <w:kern w:val="18"/>
          <w:sz w:val="32"/>
          <w:szCs w:val="32"/>
          <w:lang w:val="en-US" w:eastAsia="zh-CN" w:bidi="ar-SA"/>
        </w:rPr>
      </w:pPr>
      <w:r>
        <w:rPr>
          <w:rFonts w:hint="eastAsia" w:ascii="仿宋_GB2312" w:hAnsi="仿宋_GB2312" w:eastAsia="仿宋_GB2312" w:cs="仿宋_GB2312"/>
          <w:kern w:val="0"/>
          <w:sz w:val="32"/>
          <w:szCs w:val="32"/>
          <w:lang w:val="en-US" w:eastAsia="zh-CN" w:bidi="ar"/>
        </w:rPr>
        <w:t>拟建设危险废物暂存间，占地面积为20m</w:t>
      </w:r>
      <w:r>
        <w:rPr>
          <w:rFonts w:hint="eastAsia" w:ascii="仿宋_GB2312" w:hAnsi="仿宋_GB2312" w:eastAsia="仿宋_GB2312" w:cs="仿宋_GB2312"/>
          <w:kern w:val="0"/>
          <w:sz w:val="32"/>
          <w:szCs w:val="32"/>
          <w:vertAlign w:val="superscript"/>
          <w:lang w:val="en-US" w:eastAsia="zh-CN" w:bidi="ar"/>
        </w:rPr>
        <w:t>2</w:t>
      </w:r>
      <w:r>
        <w:rPr>
          <w:rFonts w:hint="eastAsia" w:ascii="仿宋_GB2312" w:hAnsi="仿宋_GB2312" w:eastAsia="仿宋_GB2312" w:cs="仿宋_GB2312"/>
          <w:kern w:val="0"/>
          <w:sz w:val="32"/>
          <w:szCs w:val="32"/>
          <w:lang w:val="en-US" w:eastAsia="zh-CN" w:bidi="ar"/>
        </w:rPr>
        <w:t>。危废暂存间严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格按《危险废物贮存污染控制标准》（GB18597-2023）中的贮存设施设计原则、危废堆放规范等相关要求进行设计、建造和管理，各类危废采用容器盛装后分区堆放。</w:t>
      </w:r>
      <w:r>
        <w:rPr>
          <w:rFonts w:hint="eastAsia" w:ascii="仿宋_GB2312" w:hAnsi="仿宋_GB2312" w:eastAsia="仿宋_GB2312" w:cs="仿宋_GB2312"/>
          <w:color w:val="000000" w:themeColor="text1"/>
          <w:kern w:val="0"/>
          <w:sz w:val="32"/>
          <w:szCs w:val="32"/>
          <w:lang w:val="en-GB" w:eastAsia="zh-CN" w:bidi="ar"/>
          <w14:textFill>
            <w14:solidFill>
              <w14:schemeClr w14:val="tx1"/>
            </w14:solidFill>
          </w14:textFill>
        </w:rPr>
        <w:t>危险废物安全处置措施：废含油手套、废含油抹布、废机油、废机油桶、废活性炭、废粘合剂桶收集后暂存于危废暂存间，定期交由有资质单位处置</w:t>
      </w:r>
      <w:r>
        <w:rPr>
          <w:rFonts w:hint="eastAsia" w:ascii="仿宋_GB2312" w:hAnsi="仿宋_GB2312" w:eastAsia="仿宋_GB2312" w:cs="仿宋_GB2312"/>
          <w:color w:val="000000"/>
          <w:spacing w:val="4"/>
          <w:kern w:val="18"/>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rPr>
        <w:t>（六）严格落实地下水、土壤污染防治措施。</w:t>
      </w:r>
      <w:r>
        <w:rPr>
          <w:rFonts w:hint="eastAsia" w:ascii="仿宋_GB2312" w:hAnsi="仿宋_GB2312" w:eastAsia="仿宋_GB2312" w:cs="仿宋_GB2312"/>
          <w:kern w:val="0"/>
          <w:sz w:val="32"/>
          <w:szCs w:val="32"/>
          <w:lang w:val="en-US" w:eastAsia="zh-CN" w:bidi="ar"/>
        </w:rPr>
        <w:t>做好源头控制，</w:t>
      </w:r>
      <w:r>
        <w:rPr>
          <w:rFonts w:hint="eastAsia" w:ascii="仿宋_GB2312" w:hAnsi="仿宋_GB2312" w:eastAsia="仿宋_GB2312" w:cs="仿宋_GB2312"/>
          <w:kern w:val="0"/>
          <w:sz w:val="32"/>
          <w:szCs w:val="32"/>
          <w:lang w:val="en-GB" w:eastAsia="zh-CN" w:bidi="ar"/>
        </w:rPr>
        <w:t>对</w:t>
      </w:r>
      <w:r>
        <w:rPr>
          <w:rFonts w:hint="eastAsia" w:ascii="仿宋_GB2312" w:hAnsi="仿宋_GB2312" w:eastAsia="仿宋_GB2312" w:cs="仿宋_GB2312"/>
          <w:kern w:val="0"/>
          <w:sz w:val="32"/>
          <w:szCs w:val="32"/>
          <w:lang w:val="en-US" w:eastAsia="zh-CN" w:bidi="ar"/>
        </w:rPr>
        <w:t>危废暂存场所等</w:t>
      </w:r>
      <w:r>
        <w:rPr>
          <w:rFonts w:hint="eastAsia" w:ascii="仿宋_GB2312" w:hAnsi="仿宋_GB2312" w:eastAsia="仿宋_GB2312" w:cs="仿宋_GB2312"/>
          <w:kern w:val="0"/>
          <w:sz w:val="32"/>
          <w:szCs w:val="32"/>
          <w:lang w:val="en-GB" w:eastAsia="zh-CN" w:bidi="ar"/>
        </w:rPr>
        <w:t>采取相应的防护措施，防止污染物跑、冒、滴、漏，将污染物泄漏的环境风险事故降到最低程度</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kinsoku/>
        <w:wordWrap/>
        <w:overflowPunct/>
        <w:topLinePunct w:val="0"/>
        <w:autoSpaceDE/>
        <w:autoSpaceDN/>
        <w:bidi w:val="0"/>
        <w:spacing w:line="620" w:lineRule="exact"/>
        <w:ind w:firstLine="602"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 w:hAnsi="仿宋" w:eastAsia="仿宋" w:cs="仿宋"/>
          <w:b/>
          <w:bCs/>
          <w:color w:val="000000"/>
          <w:kern w:val="0"/>
          <w:sz w:val="30"/>
          <w:szCs w:val="30"/>
          <w:lang w:eastAsia="zh-CN"/>
        </w:rPr>
        <w:t>做好</w:t>
      </w:r>
      <w:r>
        <w:rPr>
          <w:rFonts w:hint="eastAsia" w:ascii="仿宋" w:hAnsi="仿宋" w:eastAsia="仿宋" w:cs="仿宋"/>
          <w:b/>
          <w:bCs/>
          <w:color w:val="000000"/>
          <w:kern w:val="0"/>
          <w:sz w:val="30"/>
          <w:szCs w:val="30"/>
        </w:rPr>
        <w:t>分区防控</w:t>
      </w:r>
      <w:r>
        <w:rPr>
          <w:rFonts w:hint="eastAsia" w:ascii="仿宋" w:hAnsi="仿宋" w:eastAsia="仿宋" w:cs="仿宋"/>
          <w:b/>
          <w:bCs/>
          <w:color w:val="000000"/>
          <w:kern w:val="0"/>
          <w:sz w:val="30"/>
          <w:szCs w:val="30"/>
          <w:lang w:eastAsia="zh-CN"/>
        </w:rPr>
        <w:t>，</w:t>
      </w:r>
      <w:r>
        <w:rPr>
          <w:rFonts w:hint="eastAsia" w:ascii="仿宋" w:hAnsi="仿宋" w:eastAsia="仿宋" w:cs="仿宋"/>
          <w:color w:val="000000"/>
          <w:kern w:val="0"/>
          <w:sz w:val="30"/>
          <w:szCs w:val="30"/>
        </w:rPr>
        <w:t>重</w:t>
      </w:r>
      <w:r>
        <w:rPr>
          <w:rFonts w:hint="eastAsia" w:ascii="仿宋_GB2312" w:hAnsi="仿宋_GB2312" w:eastAsia="仿宋_GB2312" w:cs="仿宋_GB2312"/>
          <w:kern w:val="0"/>
          <w:sz w:val="32"/>
          <w:szCs w:val="32"/>
          <w:lang w:val="en-GB" w:eastAsia="zh-CN" w:bidi="ar"/>
        </w:rPr>
        <w:t>点防渗区</w:t>
      </w:r>
      <w:r>
        <w:rPr>
          <w:rFonts w:hint="eastAsia" w:ascii="仿宋_GB2312" w:hAnsi="仿宋_GB2312" w:eastAsia="仿宋_GB2312" w:cs="仿宋_GB2312"/>
          <w:kern w:val="0"/>
          <w:sz w:val="32"/>
          <w:szCs w:val="32"/>
          <w:lang w:val="en-US" w:eastAsia="zh-CN" w:bidi="ar"/>
        </w:rPr>
        <w:t>为危废暂存间，</w:t>
      </w:r>
      <w:r>
        <w:rPr>
          <w:rFonts w:hint="eastAsia" w:ascii="仿宋_GB2312" w:hAnsi="仿宋_GB2312" w:eastAsia="仿宋_GB2312" w:cs="仿宋_GB2312"/>
          <w:kern w:val="0"/>
          <w:sz w:val="32"/>
          <w:szCs w:val="32"/>
          <w:lang w:val="en-GB" w:eastAsia="zh-CN" w:bidi="ar"/>
        </w:rPr>
        <w:t>满足等效黏土防渗层Mb≥</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val="en-GB" w:eastAsia="zh-CN" w:bidi="ar"/>
        </w:rPr>
        <w:t>m，渗透系数≤10</w:t>
      </w:r>
      <w:r>
        <w:rPr>
          <w:rFonts w:hint="eastAsia" w:ascii="仿宋_GB2312" w:hAnsi="仿宋_GB2312" w:eastAsia="仿宋_GB2312" w:cs="仿宋_GB2312"/>
          <w:kern w:val="0"/>
          <w:sz w:val="32"/>
          <w:szCs w:val="32"/>
          <w:highlight w:val="none"/>
          <w:vertAlign w:val="superscript"/>
          <w:lang w:val="en-GB" w:eastAsia="zh-CN" w:bidi="ar"/>
        </w:rPr>
        <w:t>-</w:t>
      </w:r>
      <w:r>
        <w:rPr>
          <w:rFonts w:hint="eastAsia" w:ascii="仿宋_GB2312" w:hAnsi="仿宋_GB2312" w:eastAsia="仿宋_GB2312" w:cs="仿宋_GB2312"/>
          <w:kern w:val="0"/>
          <w:sz w:val="32"/>
          <w:szCs w:val="32"/>
          <w:vertAlign w:val="superscript"/>
          <w:lang w:val="en-GB" w:eastAsia="zh-CN" w:bidi="ar"/>
        </w:rPr>
        <w:t>7</w:t>
      </w:r>
      <w:r>
        <w:rPr>
          <w:rFonts w:hint="eastAsia" w:ascii="仿宋_GB2312" w:hAnsi="仿宋_GB2312" w:eastAsia="仿宋_GB2312" w:cs="仿宋_GB2312"/>
          <w:kern w:val="0"/>
          <w:sz w:val="32"/>
          <w:szCs w:val="32"/>
          <w:lang w:val="en-GB" w:eastAsia="zh-CN" w:bidi="ar"/>
        </w:rPr>
        <w:t>cm/s的防渗性能要求；一般防渗区</w:t>
      </w:r>
      <w:r>
        <w:rPr>
          <w:rFonts w:hint="eastAsia" w:ascii="仿宋_GB2312" w:hAnsi="仿宋_GB2312" w:eastAsia="仿宋_GB2312" w:cs="仿宋_GB2312"/>
          <w:kern w:val="0"/>
          <w:sz w:val="32"/>
          <w:szCs w:val="32"/>
          <w:lang w:val="en-US" w:eastAsia="zh-CN" w:bidi="ar"/>
        </w:rPr>
        <w:t>为一般固废暂存间、生产厂房、仓库</w:t>
      </w:r>
      <w:r>
        <w:rPr>
          <w:rFonts w:hint="eastAsia" w:ascii="仿宋_GB2312" w:hAnsi="仿宋_GB2312" w:eastAsia="仿宋_GB2312" w:cs="仿宋_GB2312"/>
          <w:kern w:val="0"/>
          <w:sz w:val="32"/>
          <w:szCs w:val="32"/>
          <w:lang w:val="en-GB" w:eastAsia="zh-CN" w:bidi="ar"/>
        </w:rPr>
        <w:t>等，满足等效黏土防渗层Mb≥</w:t>
      </w:r>
      <w:r>
        <w:rPr>
          <w:rFonts w:hint="eastAsia" w:ascii="仿宋_GB2312" w:hAnsi="仿宋_GB2312" w:eastAsia="仿宋_GB2312" w:cs="仿宋_GB2312"/>
          <w:kern w:val="0"/>
          <w:sz w:val="32"/>
          <w:szCs w:val="32"/>
          <w:lang w:val="en-US" w:eastAsia="zh-CN" w:bidi="ar"/>
        </w:rPr>
        <w:t>1.5</w:t>
      </w:r>
      <w:r>
        <w:rPr>
          <w:rFonts w:hint="eastAsia" w:ascii="仿宋_GB2312" w:hAnsi="仿宋_GB2312" w:eastAsia="仿宋_GB2312" w:cs="仿宋_GB2312"/>
          <w:kern w:val="0"/>
          <w:sz w:val="32"/>
          <w:szCs w:val="32"/>
          <w:lang w:val="en-GB" w:eastAsia="zh-CN" w:bidi="ar"/>
        </w:rPr>
        <w:t>m，渗透系数≤10</w:t>
      </w:r>
      <w:bookmarkStart w:id="2" w:name="_GoBack"/>
      <w:r>
        <w:rPr>
          <w:rFonts w:hint="eastAsia" w:ascii="仿宋_GB2312" w:hAnsi="仿宋_GB2312" w:eastAsia="仿宋_GB2312" w:cs="仿宋_GB2312"/>
          <w:kern w:val="0"/>
          <w:sz w:val="32"/>
          <w:szCs w:val="32"/>
          <w:highlight w:val="none"/>
          <w:vertAlign w:val="superscript"/>
          <w:lang w:val="en-GB" w:eastAsia="zh-CN" w:bidi="ar"/>
        </w:rPr>
        <w:t>-</w:t>
      </w:r>
      <w:bookmarkEnd w:id="2"/>
      <w:r>
        <w:rPr>
          <w:rFonts w:hint="eastAsia" w:ascii="仿宋_GB2312" w:hAnsi="仿宋_GB2312" w:eastAsia="仿宋_GB2312" w:cs="仿宋_GB2312"/>
          <w:kern w:val="0"/>
          <w:sz w:val="32"/>
          <w:szCs w:val="32"/>
          <w:vertAlign w:val="superscript"/>
          <w:lang w:val="en-GB" w:eastAsia="zh-CN" w:bidi="ar"/>
        </w:rPr>
        <w:t>7</w:t>
      </w:r>
      <w:r>
        <w:rPr>
          <w:rFonts w:hint="eastAsia" w:ascii="仿宋_GB2312" w:hAnsi="仿宋_GB2312" w:eastAsia="仿宋_GB2312" w:cs="仿宋_GB2312"/>
          <w:kern w:val="0"/>
          <w:sz w:val="32"/>
          <w:szCs w:val="32"/>
          <w:lang w:val="en-GB" w:eastAsia="zh-CN" w:bidi="ar"/>
        </w:rPr>
        <w:t>cm/s的防渗性能要求；简单防渗区</w:t>
      </w:r>
      <w:r>
        <w:rPr>
          <w:rFonts w:hint="eastAsia" w:ascii="仿宋_GB2312" w:hAnsi="仿宋_GB2312" w:eastAsia="仿宋_GB2312" w:cs="仿宋_GB2312"/>
          <w:kern w:val="0"/>
          <w:sz w:val="32"/>
          <w:szCs w:val="32"/>
          <w:lang w:val="en-US" w:eastAsia="zh-CN" w:bidi="ar"/>
        </w:rPr>
        <w:t>为办公区</w:t>
      </w:r>
      <w:r>
        <w:rPr>
          <w:rFonts w:hint="eastAsia" w:ascii="仿宋_GB2312" w:hAnsi="仿宋_GB2312" w:eastAsia="仿宋_GB2312" w:cs="仿宋_GB2312"/>
          <w:kern w:val="0"/>
          <w:sz w:val="32"/>
          <w:szCs w:val="32"/>
          <w:lang w:val="en-GB" w:eastAsia="zh-CN" w:bidi="ar"/>
        </w:rPr>
        <w:t>等，地面进行水泥硬化处理</w:t>
      </w:r>
      <w:r>
        <w:rPr>
          <w:rFonts w:hint="eastAsia" w:ascii="仿宋_GB2312" w:hAnsi="仿宋_GB2312" w:eastAsia="仿宋_GB2312" w:cs="仿宋_GB2312"/>
          <w:spacing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59" w:firstLineChars="200"/>
        <w:textAlignment w:val="auto"/>
        <w:rPr>
          <w:rFonts w:hint="eastAsia" w:ascii="仿宋_GB2312" w:hAnsi="仿宋_GB2312" w:eastAsia="仿宋_GB2312" w:cs="仿宋_GB2312"/>
          <w:kern w:val="0"/>
          <w:sz w:val="32"/>
          <w:szCs w:val="32"/>
          <w:lang w:val="en-GB"/>
        </w:rPr>
      </w:pPr>
      <w:r>
        <w:rPr>
          <w:rFonts w:hint="eastAsia" w:ascii="仿宋_GB2312" w:hAnsi="仿宋_GB2312" w:eastAsia="仿宋_GB2312" w:cs="仿宋_GB2312"/>
          <w:b/>
          <w:bCs/>
          <w:spacing w:val="4"/>
          <w:kern w:val="18"/>
          <w:sz w:val="32"/>
          <w:szCs w:val="32"/>
          <w:lang w:val="en-US" w:eastAsia="zh-CN" w:bidi="ar-SA"/>
        </w:rPr>
        <w:t>（七）严格落实环境风险防范措施。</w:t>
      </w:r>
      <w:r>
        <w:rPr>
          <w:rFonts w:hint="eastAsia" w:ascii="仿宋_GB2312" w:hAnsi="仿宋_GB2312" w:eastAsia="仿宋_GB2312" w:cs="仿宋_GB2312"/>
          <w:kern w:val="0"/>
          <w:sz w:val="32"/>
          <w:szCs w:val="32"/>
          <w:lang w:val="en-GB" w:eastAsia="zh-CN" w:bidi="ar"/>
        </w:rPr>
        <w:t>项目的危险单元主要为危废暂存间和</w:t>
      </w:r>
      <w:r>
        <w:rPr>
          <w:rFonts w:hint="eastAsia" w:ascii="仿宋_GB2312" w:hAnsi="仿宋_GB2312" w:eastAsia="仿宋_GB2312" w:cs="仿宋_GB2312"/>
          <w:kern w:val="0"/>
          <w:sz w:val="32"/>
          <w:szCs w:val="32"/>
          <w:lang w:val="en-US" w:eastAsia="zh-CN" w:bidi="ar"/>
        </w:rPr>
        <w:t>原料堆放区</w:t>
      </w:r>
      <w:r>
        <w:rPr>
          <w:rFonts w:hint="eastAsia" w:ascii="仿宋_GB2312" w:hAnsi="仿宋_GB2312" w:eastAsia="仿宋_GB2312" w:cs="仿宋_GB2312"/>
          <w:kern w:val="0"/>
          <w:sz w:val="32"/>
          <w:szCs w:val="32"/>
          <w:lang w:val="en-GB" w:eastAsia="zh-CN" w:bidi="ar"/>
        </w:rPr>
        <w:t>，涉及的危险物质有</w:t>
      </w:r>
      <w:r>
        <w:rPr>
          <w:rFonts w:hint="eastAsia" w:ascii="仿宋_GB2312" w:hAnsi="仿宋_GB2312" w:eastAsia="仿宋_GB2312" w:cs="仿宋_GB2312"/>
          <w:kern w:val="0"/>
          <w:sz w:val="32"/>
          <w:szCs w:val="32"/>
          <w:lang w:val="en-US" w:eastAsia="zh-CN" w:bidi="ar"/>
        </w:rPr>
        <w:t>废机油、粘合剂</w:t>
      </w:r>
      <w:r>
        <w:rPr>
          <w:rFonts w:hint="eastAsia" w:ascii="仿宋_GB2312" w:hAnsi="仿宋_GB2312" w:eastAsia="仿宋_GB2312" w:cs="仿宋_GB2312"/>
          <w:kern w:val="0"/>
          <w:sz w:val="32"/>
          <w:szCs w:val="32"/>
          <w:lang w:val="en-GB" w:eastAsia="zh-CN" w:bidi="ar"/>
        </w:rPr>
        <w:t>等。项目通过相应的原料泄漏风险防范、</w:t>
      </w:r>
      <w:r>
        <w:rPr>
          <w:rFonts w:hint="eastAsia" w:ascii="仿宋_GB2312" w:hAnsi="仿宋_GB2312" w:eastAsia="仿宋_GB2312" w:cs="仿宋_GB2312"/>
          <w:kern w:val="0"/>
          <w:sz w:val="32"/>
          <w:szCs w:val="32"/>
          <w:lang w:val="en-US" w:eastAsia="zh-CN" w:bidi="ar"/>
        </w:rPr>
        <w:t>火灾</w:t>
      </w:r>
      <w:r>
        <w:rPr>
          <w:rFonts w:hint="eastAsia" w:ascii="仿宋_GB2312" w:hAnsi="仿宋_GB2312" w:eastAsia="仿宋_GB2312" w:cs="仿宋_GB2312"/>
          <w:kern w:val="0"/>
          <w:sz w:val="32"/>
          <w:szCs w:val="32"/>
          <w:lang w:val="en-GB" w:eastAsia="zh-CN" w:bidi="ar"/>
        </w:rPr>
        <w:t>爆炸风险防范和事故排放</w:t>
      </w:r>
      <w:r>
        <w:rPr>
          <w:rFonts w:hint="eastAsia" w:ascii="仿宋_GB2312" w:hAnsi="仿宋_GB2312" w:eastAsia="仿宋_GB2312" w:cs="仿宋_GB2312"/>
          <w:kern w:val="0"/>
          <w:sz w:val="32"/>
          <w:szCs w:val="32"/>
          <w:lang w:val="en-US" w:eastAsia="zh-CN" w:bidi="ar"/>
        </w:rPr>
        <w:t>风险防范</w:t>
      </w:r>
      <w:r>
        <w:rPr>
          <w:rFonts w:hint="eastAsia" w:ascii="仿宋_GB2312" w:hAnsi="仿宋_GB2312" w:eastAsia="仿宋_GB2312" w:cs="仿宋_GB2312"/>
          <w:kern w:val="0"/>
          <w:sz w:val="32"/>
          <w:szCs w:val="32"/>
          <w:lang w:val="en-GB" w:eastAsia="zh-CN" w:bidi="ar"/>
        </w:rPr>
        <w:t>等措施，设置事故池（</w:t>
      </w:r>
      <w:r>
        <w:rPr>
          <w:rFonts w:hint="eastAsia" w:ascii="仿宋_GB2312" w:hAnsi="仿宋_GB2312" w:eastAsia="仿宋_GB2312" w:cs="仿宋_GB2312"/>
          <w:kern w:val="0"/>
          <w:sz w:val="32"/>
          <w:szCs w:val="32"/>
          <w:lang w:val="en-US" w:eastAsia="zh-CN" w:bidi="ar"/>
        </w:rPr>
        <w:t>3m</w:t>
      </w:r>
      <w:r>
        <w:rPr>
          <w:rFonts w:hint="eastAsia" w:ascii="仿宋_GB2312" w:hAnsi="仿宋_GB2312" w:eastAsia="仿宋_GB2312" w:cs="仿宋_GB2312"/>
          <w:kern w:val="0"/>
          <w:sz w:val="32"/>
          <w:szCs w:val="32"/>
          <w:vertAlign w:val="superscript"/>
          <w:lang w:val="en-US" w:eastAsia="zh-CN" w:bidi="ar"/>
        </w:rPr>
        <w:t>3</w:t>
      </w:r>
      <w:r>
        <w:rPr>
          <w:rFonts w:hint="eastAsia" w:ascii="仿宋_GB2312" w:hAnsi="仿宋_GB2312" w:eastAsia="仿宋_GB2312" w:cs="仿宋_GB2312"/>
          <w:kern w:val="0"/>
          <w:sz w:val="32"/>
          <w:szCs w:val="32"/>
          <w:lang w:val="en-GB" w:eastAsia="zh-CN" w:bidi="ar"/>
        </w:rPr>
        <w:t>），制定完善、有效的环境风险突发事件应急预案，可有效防控环境风险</w:t>
      </w:r>
      <w:r>
        <w:rPr>
          <w:rFonts w:hint="eastAsia" w:ascii="仿宋_GB2312" w:hAnsi="仿宋_GB2312" w:eastAsia="仿宋_GB2312" w:cs="仿宋_GB2312"/>
          <w:kern w:val="2"/>
          <w:sz w:val="32"/>
          <w:szCs w:val="32"/>
          <w:lang w:val="en-GB"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b/>
          <w:bCs/>
          <w:kern w:val="2"/>
          <w:sz w:val="32"/>
          <w:szCs w:val="32"/>
          <w:lang w:val="en-US" w:eastAsia="zh-CN" w:bidi="ar-SA"/>
        </w:rPr>
        <w:t>（八）严格落实卫生防护距离。</w:t>
      </w:r>
      <w:r>
        <w:rPr>
          <w:rFonts w:hint="eastAsia" w:ascii="仿宋_GB2312" w:hAnsi="仿宋_GB2312" w:eastAsia="仿宋_GB2312" w:cs="仿宋_GB2312"/>
          <w:color w:val="000000" w:themeColor="text1"/>
          <w:spacing w:val="0"/>
          <w:kern w:val="0"/>
          <w:sz w:val="32"/>
          <w:szCs w:val="32"/>
          <w:highlight w:val="none"/>
          <w:lang w:val="en-US" w:eastAsia="zh-CN" w:bidi="ar"/>
          <w14:textFill>
            <w14:solidFill>
              <w14:schemeClr w14:val="tx1"/>
            </w14:solidFill>
          </w14:textFill>
        </w:rPr>
        <w:t>项</w:t>
      </w:r>
      <w:r>
        <w:rPr>
          <w:rFonts w:hint="eastAsia" w:ascii="仿宋_GB2312" w:hAnsi="仿宋_GB2312" w:eastAsia="仿宋_GB2312" w:cs="仿宋_GB2312"/>
          <w:kern w:val="0"/>
          <w:sz w:val="32"/>
          <w:szCs w:val="32"/>
          <w:lang w:val="en-GB" w:eastAsia="zh-CN" w:bidi="ar"/>
        </w:rPr>
        <w:t>目卫生防护距离以</w:t>
      </w:r>
      <w:r>
        <w:rPr>
          <w:rFonts w:hint="eastAsia" w:ascii="仿宋_GB2312" w:hAnsi="仿宋_GB2312" w:eastAsia="仿宋_GB2312" w:cs="仿宋_GB2312"/>
          <w:kern w:val="0"/>
          <w:sz w:val="32"/>
          <w:szCs w:val="32"/>
          <w:lang w:val="en-US" w:eastAsia="zh-CN" w:bidi="ar"/>
        </w:rPr>
        <w:t>生产车间</w:t>
      </w:r>
      <w:r>
        <w:rPr>
          <w:rFonts w:hint="eastAsia" w:ascii="仿宋_GB2312" w:hAnsi="仿宋_GB2312" w:eastAsia="仿宋_GB2312" w:cs="仿宋_GB2312"/>
          <w:kern w:val="0"/>
          <w:sz w:val="32"/>
          <w:szCs w:val="32"/>
          <w:lang w:val="en-GB" w:eastAsia="zh-CN" w:bidi="ar"/>
        </w:rPr>
        <w:t>边界为起点向外延伸50m范围。根据</w:t>
      </w:r>
      <w:r>
        <w:rPr>
          <w:rFonts w:hint="eastAsia" w:ascii="仿宋_GB2312" w:hAnsi="仿宋_GB2312" w:eastAsia="仿宋_GB2312" w:cs="仿宋_GB2312"/>
          <w:kern w:val="0"/>
          <w:sz w:val="32"/>
          <w:szCs w:val="32"/>
          <w:lang w:val="en-US" w:eastAsia="zh-CN" w:bidi="ar"/>
        </w:rPr>
        <w:t>现场踏勘</w:t>
      </w:r>
      <w:r>
        <w:rPr>
          <w:rFonts w:hint="eastAsia" w:ascii="仿宋_GB2312" w:hAnsi="仿宋_GB2312" w:eastAsia="仿宋_GB2312" w:cs="仿宋_GB2312"/>
          <w:kern w:val="0"/>
          <w:sz w:val="32"/>
          <w:szCs w:val="32"/>
          <w:lang w:val="en-GB" w:eastAsia="zh-CN" w:bidi="ar"/>
        </w:rPr>
        <w:t>，卫生防护距离内无居民、学校以及医院等</w:t>
      </w:r>
      <w:r>
        <w:rPr>
          <w:rFonts w:hint="eastAsia" w:ascii="仿宋_GB2312" w:hAnsi="仿宋_GB2312" w:eastAsia="仿宋_GB2312" w:cs="仿宋_GB2312"/>
          <w:kern w:val="0"/>
          <w:sz w:val="32"/>
          <w:szCs w:val="32"/>
          <w:lang w:val="en-US" w:eastAsia="zh-CN" w:bidi="ar"/>
        </w:rPr>
        <w:t>对大气污染比较敏感的区域</w:t>
      </w:r>
      <w:r>
        <w:rPr>
          <w:rFonts w:hint="eastAsia" w:ascii="仿宋_GB2312" w:hAnsi="仿宋_GB2312" w:eastAsia="仿宋_GB2312" w:cs="仿宋_GB2312"/>
          <w:kern w:val="0"/>
          <w:sz w:val="32"/>
          <w:szCs w:val="32"/>
          <w:lang w:val="en-GB" w:eastAsia="zh-CN" w:bidi="ar"/>
        </w:rPr>
        <w:t>，满足卫生防护距离的要求</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）提高管理和运营水平，加强非正常工况的生态环境保护工作。</w:t>
      </w:r>
      <w:r>
        <w:rPr>
          <w:rFonts w:hint="eastAsia" w:ascii="仿宋_GB2312" w:hAnsi="仿宋_GB2312" w:eastAsia="仿宋_GB2312" w:cs="仿宋_GB2312"/>
          <w:sz w:val="32"/>
          <w:szCs w:val="32"/>
        </w:rPr>
        <w:t>定期对环保处理设施进行检查、维护，加强设备管理，认真做好设备、管道、阀门的检查工作，降低非正常工况发生频次及污染物排放量。</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）严格落实污染源和生态环境监测计划。</w:t>
      </w:r>
      <w:r>
        <w:rPr>
          <w:rFonts w:hint="eastAsia" w:ascii="仿宋_GB2312" w:hAnsi="仿宋_GB2312" w:eastAsia="仿宋_GB2312" w:cs="仿宋_GB2312"/>
          <w:sz w:val="32"/>
          <w:szCs w:val="32"/>
        </w:rPr>
        <w:t>按照相关标准和规定要求，开展长期环境监测，保存原始监测记录，定期向公众公布污染物排放监测结果。</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三、其他要求</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（一）项目建设须严格执行配套的环境保护设施与主体工程“三同时”制度。</w:t>
      </w:r>
      <w:r>
        <w:rPr>
          <w:rFonts w:hint="eastAsia" w:ascii="仿宋_GB2312" w:hAnsi="仿宋_GB2312" w:eastAsia="仿宋_GB2312" w:cs="仿宋_GB2312"/>
          <w:sz w:val="32"/>
          <w:szCs w:val="32"/>
        </w:rPr>
        <w:t>按规定程序开展环境保护设施竣工自主验收，合格后方可正式投入运行。加强重点环保设备设计、施工、运行安全管理。环</w:t>
      </w:r>
      <w:r>
        <w:rPr>
          <w:rFonts w:hint="eastAsia" w:ascii="仿宋_GB2312" w:hAnsi="仿宋_GB2312" w:eastAsia="仿宋_GB2312" w:cs="仿宋_GB2312"/>
          <w:color w:val="000000" w:themeColor="text1"/>
          <w:sz w:val="32"/>
          <w:szCs w:val="32"/>
          <w14:textFill>
            <w14:solidFill>
              <w14:schemeClr w14:val="tx1"/>
            </w14:solidFill>
          </w14:textFill>
        </w:rPr>
        <w:t>境影响报告表经批准后，项目的性质、规模、地点、工艺或环境保护措施发生重大变动，应当重新报批环境影响报告表。自批准之日起超过五年后方开工建设的，环境影响报告表应当报审批部门重</w:t>
      </w:r>
      <w:r>
        <w:rPr>
          <w:rFonts w:hint="eastAsia" w:ascii="仿宋_GB2312" w:hAnsi="仿宋_GB2312" w:eastAsia="仿宋_GB2312" w:cs="仿宋_GB2312"/>
          <w:sz w:val="32"/>
          <w:szCs w:val="32"/>
        </w:rPr>
        <w:t>新审核。</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（二）积极主动配合接受生态环境主管部门的日常监督管理。</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2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上犹县行政审批局</w:t>
      </w:r>
    </w:p>
    <w:p>
      <w:pPr>
        <w:keepNext w:val="0"/>
        <w:keepLines w:val="0"/>
        <w:pageBreakBefore w:val="0"/>
        <w:widowControl w:val="0"/>
        <w:kinsoku/>
        <w:wordWrap/>
        <w:overflowPunct/>
        <w:topLinePunct w:val="0"/>
        <w:autoSpaceDE/>
        <w:autoSpaceDN/>
        <w:bidi w:val="0"/>
        <w:spacing w:line="62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rPr>
          <w:rFonts w:ascii="Calibri" w:eastAsia="宋体" w:cs="Times New Roman"/>
        </w:rPr>
      </w:pPr>
    </w:p>
    <w:p>
      <w:pPr>
        <w:keepNext w:val="0"/>
        <w:keepLines w:val="0"/>
        <w:pageBreakBefore w:val="0"/>
        <w:widowControl w:val="0"/>
        <w:kinsoku/>
        <w:wordWrap/>
        <w:overflowPunct/>
        <w:topLinePunct w:val="0"/>
        <w:bidi w:val="0"/>
        <w:spacing w:line="620" w:lineRule="exact"/>
        <w:textAlignment w:val="auto"/>
        <w:rPr>
          <w:rFonts w:hint="eastAsia" w:ascii="仿宋_GB2312" w:hAnsi="仿宋" w:eastAsia="仿宋_GB2312" w:cs="仿宋"/>
          <w:w w:val="98"/>
          <w:sz w:val="28"/>
          <w:szCs w:val="28"/>
          <w:lang w:val="en-US" w:eastAsia="zh-CN"/>
        </w:rPr>
      </w:pPr>
      <w:r>
        <w:rPr>
          <w:rFonts w:ascii="仿宋_GB2312" w:hAnsi="仿宋" w:eastAsia="仿宋_GB2312" w:cs="仿宋"/>
          <w:w w:val="98"/>
          <w:sz w:val="28"/>
          <w:szCs w:val="28"/>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11430</wp:posOffset>
                </wp:positionV>
                <wp:extent cx="555434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43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0.9pt;height:0pt;width:437.35pt;z-index:251663360;mso-width-relative:page;mso-height-relative:page;" filled="f" stroked="t" coordsize="21600,21600" o:gfxdata="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YfkBLRAAAABQEAAA8AAAAAAAAA&#10;AQAgAAAAIgAAAGRycy9kb3ducmV2LnhtbFBLAQIUABQAAAAIAIdO4kCZPFSW3wEAAKQDAAAOAAAA&#10;AAAAAAEAIAAAACABAABkcnMvZTJvRG9jLnhtbFBLBQYAAAAABgAGAFkBAABxBQAAAAA=&#10;">
                <v:fill on="f" focussize="0,0"/>
                <v:stroke color="#000000" joinstyle="round"/>
                <v:imagedata o:title=""/>
                <o:lock v:ext="edit" aspectratio="f"/>
              </v:line>
            </w:pict>
          </mc:Fallback>
        </mc:AlternateContent>
      </w:r>
      <w:r>
        <w:rPr>
          <w:rFonts w:hint="eastAsia" w:ascii="仿宋_GB2312" w:hAnsi="仿宋" w:eastAsia="仿宋_GB2312" w:cs="仿宋"/>
          <w:w w:val="98"/>
          <w:sz w:val="28"/>
          <w:szCs w:val="28"/>
        </w:rPr>
        <w:t>抄送：赣州市上犹生态环境局</w:t>
      </w:r>
      <w:r>
        <w:rPr>
          <w:rFonts w:hint="eastAsia" w:ascii="仿宋_GB2312" w:hAnsi="仿宋" w:eastAsia="仿宋_GB2312" w:cs="仿宋"/>
          <w:w w:val="98"/>
          <w:sz w:val="28"/>
          <w:szCs w:val="28"/>
          <w:lang w:val="en-US" w:eastAsia="zh-CN"/>
        </w:rPr>
        <w:t xml:space="preserve">   江西上犹工业园区管理委员会   </w:t>
      </w:r>
    </w:p>
    <w:p>
      <w:pPr>
        <w:keepNext w:val="0"/>
        <w:keepLines w:val="0"/>
        <w:pageBreakBefore w:val="0"/>
        <w:widowControl w:val="0"/>
        <w:kinsoku/>
        <w:wordWrap/>
        <w:overflowPunct/>
        <w:topLinePunct w:val="0"/>
        <w:bidi w:val="0"/>
        <w:spacing w:line="620" w:lineRule="exact"/>
        <w:textAlignment w:val="auto"/>
        <w:rPr>
          <w:rFonts w:hint="eastAsia" w:ascii="仿宋_GB2312" w:hAnsi="仿宋" w:eastAsia="仿宋_GB2312" w:cs="仿宋"/>
          <w:w w:val="98"/>
          <w:sz w:val="28"/>
          <w:szCs w:val="28"/>
          <w:lang w:val="en-US" w:eastAsia="zh-CN"/>
        </w:rPr>
      </w:pPr>
      <w:r>
        <w:rPr>
          <w:rFonts w:hint="eastAsia" w:ascii="仿宋_GB2312" w:hAnsi="仿宋" w:eastAsia="仿宋_GB2312" w:cs="仿宋"/>
          <w:w w:val="98"/>
          <w:sz w:val="28"/>
          <w:szCs w:val="28"/>
          <w:lang w:val="en-US" w:eastAsia="zh-CN"/>
        </w:rPr>
        <w:t>江西源华环保有限公司</w:t>
      </w:r>
    </w:p>
    <w:p>
      <w:pPr>
        <w:keepNext w:val="0"/>
        <w:keepLines w:val="0"/>
        <w:pageBreakBefore w:val="0"/>
        <w:widowControl w:val="0"/>
        <w:kinsoku/>
        <w:wordWrap/>
        <w:overflowPunct/>
        <w:topLinePunct w:val="0"/>
        <w:bidi w:val="0"/>
        <w:adjustRightInd w:val="0"/>
        <w:snapToGrid w:val="0"/>
        <w:spacing w:line="620" w:lineRule="exact"/>
        <w:ind w:right="110"/>
        <w:textAlignment w:val="auto"/>
      </w:pPr>
      <w:r>
        <w:rPr>
          <w:rFonts w:ascii="仿宋_GB2312"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33655</wp:posOffset>
                </wp:positionV>
                <wp:extent cx="55543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43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2.65pt;height:0pt;width:437.35pt;z-index:251661312;mso-width-relative:page;mso-height-relative:page;" filled="f" stroked="t" coordsize="21600,21600" o:gfxdata="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Olx1PUAAAABQEAAA8AAAAA&#10;AAAAAQAgAAAAIgAAAGRycy9kb3ducmV2LnhtbFBLAQIUABQAAAAIAIdO4kBWv09N3wEAAKQDAAAO&#10;AAAAAAAAAAEAIAAAACMBAABkcnMvZTJvRG9jLnhtbFBLBQYAAAAABgAGAFkBAAB0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419100</wp:posOffset>
                </wp:positionV>
                <wp:extent cx="55651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651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33pt;height:0pt;width:438.2pt;z-index:251662336;mso-width-relative:page;mso-height-relative:page;" filled="f" stroked="t" coordsize="21600,21600" o:gfxdata="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E4IUbWAAAABwEAAA8AAAAA&#10;AAAAAQAgAAAAIgAAAGRycy9kb3ducmV2LnhtbFBLAQIUABQAAAAIAIdO4kCyM52v3QEAAKUDAAAO&#10;AAAAAAAAAAEAIAAAACUBAABkcnMvZTJvRG9jLnhtbFBLBQYAAAAABgAGAFkBAAB0BQAAAAA=&#10;">
                <v:fill on="f" focussize="0,0"/>
                <v:stroke weight="1pt" color="#000000" joinstyle="round"/>
                <v:imagedata o:title=""/>
                <o:lock v:ext="edit" aspectratio="f"/>
              </v:line>
            </w:pict>
          </mc:Fallback>
        </mc:AlternateContent>
      </w:r>
      <w:r>
        <w:rPr>
          <w:rFonts w:hint="eastAsia" w:ascii="仿宋_GB2312" w:hAnsi="Times New Roman" w:eastAsia="仿宋_GB2312" w:cs="Times New Roman"/>
          <w:sz w:val="28"/>
          <w:szCs w:val="28"/>
        </w:rPr>
        <w:t xml:space="preserve">上犹县行政审批局综合股                   </w:t>
      </w:r>
      <w:r>
        <w:rPr>
          <w:rFonts w:hint="eastAsia" w:cs="仿宋" w:asciiTheme="minorEastAsia" w:hAnsiTheme="minorEastAsia"/>
          <w:sz w:val="28"/>
          <w:szCs w:val="28"/>
        </w:rPr>
        <w:t>202</w:t>
      </w:r>
      <w:r>
        <w:rPr>
          <w:rFonts w:hint="eastAsia" w:cs="仿宋" w:asciiTheme="minorEastAsia" w:hAnsiTheme="minorEastAsia"/>
          <w:sz w:val="28"/>
          <w:szCs w:val="28"/>
          <w:lang w:val="en-US" w:eastAsia="zh-CN"/>
        </w:rPr>
        <w:t>6</w:t>
      </w:r>
      <w:r>
        <w:rPr>
          <w:rFonts w:hint="eastAsia" w:ascii="仿宋_GB2312" w:hAnsi="仿宋" w:eastAsia="仿宋_GB2312" w:cs="仿宋"/>
          <w:sz w:val="28"/>
          <w:szCs w:val="28"/>
        </w:rPr>
        <w:t>年</w:t>
      </w:r>
      <w:r>
        <w:rPr>
          <w:rFonts w:hint="eastAsia" w:eastAsia="仿宋_GB2312" w:cs="仿宋" w:asciiTheme="minorEastAsia" w:hAnsiTheme="minorEastAsia"/>
          <w:sz w:val="28"/>
          <w:szCs w:val="28"/>
          <w:lang w:val="en-US" w:eastAsia="zh-CN"/>
        </w:rPr>
        <w:t>5</w:t>
      </w:r>
      <w:r>
        <w:rPr>
          <w:rFonts w:hint="eastAsia" w:ascii="仿宋_GB2312" w:hAnsi="仿宋" w:eastAsia="仿宋_GB2312" w:cs="仿宋"/>
          <w:sz w:val="28"/>
          <w:szCs w:val="28"/>
        </w:rPr>
        <w:t>月</w:t>
      </w:r>
      <w:r>
        <w:rPr>
          <w:rFonts w:hint="eastAsia" w:eastAsia="仿宋_GB2312" w:cs="仿宋" w:asciiTheme="minorEastAsia" w:hAnsiTheme="minorEastAsia"/>
          <w:sz w:val="28"/>
          <w:szCs w:val="28"/>
          <w:lang w:val="en-US" w:eastAsia="zh-CN"/>
        </w:rPr>
        <w:t>19</w:t>
      </w:r>
      <w:r>
        <w:rPr>
          <w:rFonts w:hint="eastAsia" w:ascii="仿宋_GB2312" w:hAnsi="仿宋" w:eastAsia="仿宋_GB2312" w:cs="仿宋"/>
          <w:sz w:val="28"/>
          <w:szCs w:val="28"/>
        </w:rPr>
        <w:t>日印发</w:t>
      </w:r>
    </w:p>
    <w:sectPr>
      <w:headerReference r:id="rId4" w:type="first"/>
      <w:footerReference r:id="rId7" w:type="first"/>
      <w:footerReference r:id="rId5" w:type="default"/>
      <w:headerReference r:id="rId3" w:type="even"/>
      <w:footerReference r:id="rId6"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ascii="宋体" w:hAnsi="宋体" w:eastAsia="宋体" w:cs="Times New Roman"/>
        <w:sz w:val="28"/>
      </w:rPr>
    </w:pPr>
    <w:r>
      <w:rPr>
        <w:rFonts w:hint="eastAsia" w:ascii="宋体" w:hAnsi="宋体" w:eastAsia="宋体" w:cs="Times New Roman"/>
        <w:sz w:val="28"/>
      </w:rPr>
      <w:t xml:space="preserve">— </w:t>
    </w:r>
    <w:r>
      <w:rPr>
        <w:rFonts w:ascii="宋体" w:hAnsi="宋体" w:eastAsia="宋体" w:cs="Times New Roman"/>
        <w:sz w:val="28"/>
        <w:szCs w:val="28"/>
      </w:rPr>
      <w:fldChar w:fldCharType="begin"/>
    </w:r>
    <w:r>
      <w:rPr>
        <w:rFonts w:ascii="宋体" w:hAnsi="宋体" w:eastAsia="宋体" w:cs="Times New Roman"/>
        <w:sz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rPr>
      <w:t>6</w:t>
    </w:r>
    <w:r>
      <w:rPr>
        <w:rFonts w:ascii="宋体" w:hAnsi="宋体" w:eastAsia="宋体" w:cs="Times New Roman"/>
        <w:sz w:val="28"/>
        <w:szCs w:val="28"/>
      </w:rPr>
      <w:fldChar w:fldCharType="end"/>
    </w:r>
    <w:r>
      <w:rPr>
        <w:rFonts w:hint="eastAsia" w:ascii="宋体" w:hAnsi="宋体" w:eastAsia="宋体" w:cs="Times New Roman"/>
        <w:sz w:val="28"/>
      </w:rPr>
      <w:t xml:space="preserve"> —</w:t>
    </w:r>
  </w:p>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8BECD20-EA2E-4231-B398-EECE0AA85E0C}" w:val="WICy2fzV/1raisKME7L0N9JwTqA+OvoUpbgxe=YPFD4SZXhHc5Bt6QR3ujnmklGd8"/>
    <w:docVar w:name="commondata" w:val="eyJoZGlkIjoiM2MyNGFiYjA5YTEzM2QwNGRjZjVjZGVlNDZjNDEzMmYifQ=="/>
    <w:docVar w:name="DocumentID" w:val="{C3AA9ED1-654F-411B-87B7-D79B1C3BD3A6}"/>
  </w:docVars>
  <w:rsids>
    <w:rsidRoot w:val="0B2339D8"/>
    <w:rsid w:val="005B57CB"/>
    <w:rsid w:val="00875A8C"/>
    <w:rsid w:val="00933F07"/>
    <w:rsid w:val="00B62AF2"/>
    <w:rsid w:val="02126066"/>
    <w:rsid w:val="032724C5"/>
    <w:rsid w:val="033E1F62"/>
    <w:rsid w:val="03C64650"/>
    <w:rsid w:val="03D120AF"/>
    <w:rsid w:val="04697BE5"/>
    <w:rsid w:val="0482210D"/>
    <w:rsid w:val="05E934C2"/>
    <w:rsid w:val="09970BEC"/>
    <w:rsid w:val="0A1524CD"/>
    <w:rsid w:val="0A3E1750"/>
    <w:rsid w:val="0A62550D"/>
    <w:rsid w:val="0A9F251E"/>
    <w:rsid w:val="0ABD54CD"/>
    <w:rsid w:val="0B2339D8"/>
    <w:rsid w:val="0BBE75D5"/>
    <w:rsid w:val="0CC23199"/>
    <w:rsid w:val="0CF630C1"/>
    <w:rsid w:val="0D5F44D9"/>
    <w:rsid w:val="0E1419D5"/>
    <w:rsid w:val="0F2958F7"/>
    <w:rsid w:val="109C3E7E"/>
    <w:rsid w:val="11766588"/>
    <w:rsid w:val="117C655F"/>
    <w:rsid w:val="11AE7D2B"/>
    <w:rsid w:val="11D547A3"/>
    <w:rsid w:val="12BB7E59"/>
    <w:rsid w:val="13794265"/>
    <w:rsid w:val="13822816"/>
    <w:rsid w:val="13CF0CBB"/>
    <w:rsid w:val="148024A0"/>
    <w:rsid w:val="1492500C"/>
    <w:rsid w:val="15CA205A"/>
    <w:rsid w:val="171A7074"/>
    <w:rsid w:val="192553CB"/>
    <w:rsid w:val="1AC84C92"/>
    <w:rsid w:val="1B027D1A"/>
    <w:rsid w:val="1E757362"/>
    <w:rsid w:val="1E952C2C"/>
    <w:rsid w:val="1EA20892"/>
    <w:rsid w:val="1EB97816"/>
    <w:rsid w:val="1F3B1B5F"/>
    <w:rsid w:val="1F5B28E4"/>
    <w:rsid w:val="20591F10"/>
    <w:rsid w:val="22023DA6"/>
    <w:rsid w:val="22790B8B"/>
    <w:rsid w:val="23334268"/>
    <w:rsid w:val="23C039F6"/>
    <w:rsid w:val="24237BA6"/>
    <w:rsid w:val="2480392B"/>
    <w:rsid w:val="24B22F90"/>
    <w:rsid w:val="25F93A28"/>
    <w:rsid w:val="269E6E6D"/>
    <w:rsid w:val="276A7175"/>
    <w:rsid w:val="27A02F3E"/>
    <w:rsid w:val="27C460E5"/>
    <w:rsid w:val="28BF6885"/>
    <w:rsid w:val="28E85990"/>
    <w:rsid w:val="294A7FAB"/>
    <w:rsid w:val="2A183F30"/>
    <w:rsid w:val="2A680806"/>
    <w:rsid w:val="2B8F375C"/>
    <w:rsid w:val="2BB20001"/>
    <w:rsid w:val="2C8C3D4C"/>
    <w:rsid w:val="2C9416B3"/>
    <w:rsid w:val="2D000CB4"/>
    <w:rsid w:val="2DB1779A"/>
    <w:rsid w:val="2F4E690C"/>
    <w:rsid w:val="2FB951AF"/>
    <w:rsid w:val="30456075"/>
    <w:rsid w:val="31055E2A"/>
    <w:rsid w:val="31740D0A"/>
    <w:rsid w:val="33230B4F"/>
    <w:rsid w:val="333A69DB"/>
    <w:rsid w:val="33DE1D3F"/>
    <w:rsid w:val="357B3AB1"/>
    <w:rsid w:val="35B01CD3"/>
    <w:rsid w:val="36D73558"/>
    <w:rsid w:val="37513B6C"/>
    <w:rsid w:val="385561F4"/>
    <w:rsid w:val="3980113F"/>
    <w:rsid w:val="3A646D91"/>
    <w:rsid w:val="3B484CF9"/>
    <w:rsid w:val="3B8400A3"/>
    <w:rsid w:val="3B962777"/>
    <w:rsid w:val="3D255DB3"/>
    <w:rsid w:val="3D4F1D26"/>
    <w:rsid w:val="3D944009"/>
    <w:rsid w:val="3E8B1DB8"/>
    <w:rsid w:val="3E8C74FE"/>
    <w:rsid w:val="3F023231"/>
    <w:rsid w:val="3F1E7AFA"/>
    <w:rsid w:val="3F6935EF"/>
    <w:rsid w:val="40951D82"/>
    <w:rsid w:val="40E43FDA"/>
    <w:rsid w:val="41320BCC"/>
    <w:rsid w:val="429E3824"/>
    <w:rsid w:val="42D70ACD"/>
    <w:rsid w:val="436C0AAE"/>
    <w:rsid w:val="43A70BAF"/>
    <w:rsid w:val="44050D5F"/>
    <w:rsid w:val="44AB74EC"/>
    <w:rsid w:val="45D622C4"/>
    <w:rsid w:val="46615D65"/>
    <w:rsid w:val="481209F1"/>
    <w:rsid w:val="48DE6E3B"/>
    <w:rsid w:val="496A55CE"/>
    <w:rsid w:val="498020C2"/>
    <w:rsid w:val="4A9D3E59"/>
    <w:rsid w:val="4AE603C3"/>
    <w:rsid w:val="4CAD7E44"/>
    <w:rsid w:val="4D994433"/>
    <w:rsid w:val="4EE37D8E"/>
    <w:rsid w:val="4F0F159B"/>
    <w:rsid w:val="4F6A7BD9"/>
    <w:rsid w:val="50386007"/>
    <w:rsid w:val="50A91DA8"/>
    <w:rsid w:val="51B360B7"/>
    <w:rsid w:val="51F6099B"/>
    <w:rsid w:val="54210FB7"/>
    <w:rsid w:val="54843528"/>
    <w:rsid w:val="57D531B8"/>
    <w:rsid w:val="58FD3BCC"/>
    <w:rsid w:val="5951265A"/>
    <w:rsid w:val="5A2E3EE0"/>
    <w:rsid w:val="5B070720"/>
    <w:rsid w:val="5B860DB6"/>
    <w:rsid w:val="5BB622D7"/>
    <w:rsid w:val="5BF7644F"/>
    <w:rsid w:val="5C593F6E"/>
    <w:rsid w:val="5CA66AA1"/>
    <w:rsid w:val="5D733C08"/>
    <w:rsid w:val="5E433B29"/>
    <w:rsid w:val="5E8446B6"/>
    <w:rsid w:val="5F034385"/>
    <w:rsid w:val="5FC06BDC"/>
    <w:rsid w:val="655B4B37"/>
    <w:rsid w:val="65BD10BF"/>
    <w:rsid w:val="66B728F2"/>
    <w:rsid w:val="6798174A"/>
    <w:rsid w:val="67A3767F"/>
    <w:rsid w:val="68231D95"/>
    <w:rsid w:val="682B66F0"/>
    <w:rsid w:val="68B612FB"/>
    <w:rsid w:val="69187931"/>
    <w:rsid w:val="692A2AC2"/>
    <w:rsid w:val="697F0366"/>
    <w:rsid w:val="6A8B4733"/>
    <w:rsid w:val="6C3B55DF"/>
    <w:rsid w:val="6C711BE6"/>
    <w:rsid w:val="6F36414A"/>
    <w:rsid w:val="6FFD6D2B"/>
    <w:rsid w:val="702F4147"/>
    <w:rsid w:val="70334665"/>
    <w:rsid w:val="707E1CCB"/>
    <w:rsid w:val="70F30BDE"/>
    <w:rsid w:val="716B67CD"/>
    <w:rsid w:val="724E6E49"/>
    <w:rsid w:val="72AF4E90"/>
    <w:rsid w:val="72E55E4A"/>
    <w:rsid w:val="73012361"/>
    <w:rsid w:val="73263AC3"/>
    <w:rsid w:val="733C02DF"/>
    <w:rsid w:val="739A4B33"/>
    <w:rsid w:val="74501897"/>
    <w:rsid w:val="74F576E6"/>
    <w:rsid w:val="75BB3DC8"/>
    <w:rsid w:val="76A72047"/>
    <w:rsid w:val="76C10067"/>
    <w:rsid w:val="76D91737"/>
    <w:rsid w:val="773855A4"/>
    <w:rsid w:val="786C6A7C"/>
    <w:rsid w:val="7B064EFC"/>
    <w:rsid w:val="7B1D7E47"/>
    <w:rsid w:val="7B6C2FA7"/>
    <w:rsid w:val="7C393AE4"/>
    <w:rsid w:val="7CA47567"/>
    <w:rsid w:val="7D8C2F2A"/>
    <w:rsid w:val="7E926C44"/>
    <w:rsid w:val="8EEDF349"/>
    <w:rsid w:val="BB8D4A06"/>
    <w:rsid w:val="EFFFE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4">
    <w:name w:val="Normal Indent"/>
    <w:basedOn w:val="1"/>
    <w:next w:val="1"/>
    <w:qFormat/>
    <w:uiPriority w:val="0"/>
    <w:pPr>
      <w:ind w:firstLine="420"/>
    </w:pPr>
    <w:rPr>
      <w:rFonts w:ascii="仿宋_GB2312"/>
      <w:spacing w:val="4"/>
      <w:kern w:val="18"/>
      <w:szCs w:val="28"/>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next w:val="1"/>
    <w:qFormat/>
    <w:uiPriority w:val="0"/>
    <w:pPr>
      <w:ind w:firstLine="420" w:firstLineChars="100"/>
    </w:pPr>
  </w:style>
  <w:style w:type="paragraph" w:styleId="11">
    <w:name w:val="Body Text First Indent 2"/>
    <w:basedOn w:val="6"/>
    <w:next w:val="10"/>
    <w:qFormat/>
    <w:uiPriority w:val="0"/>
    <w:pPr>
      <w:adjustRightInd w:val="0"/>
      <w:spacing w:line="360" w:lineRule="auto"/>
      <w:ind w:firstLine="420" w:firstLineChars="200"/>
      <w:jc w:val="left"/>
    </w:pPr>
    <w:rPr>
      <w:rFonts w:ascii="仿宋_GB2312" w:eastAsia="仿宋_GB2312"/>
      <w:spacing w:val="4"/>
      <w:kern w:val="18"/>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Default"/>
    <w:basedOn w:val="16"/>
    <w:next w:val="11"/>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1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7">
    <w:name w:val="xl27"/>
    <w:basedOn w:val="1"/>
    <w:qFormat/>
    <w:uiPriority w:val="0"/>
    <w:pPr>
      <w:widowControl/>
      <w:pBdr>
        <w:bottom w:val="single" w:color="auto" w:sz="12" w:space="0"/>
      </w:pBdr>
      <w:spacing w:before="100" w:after="100"/>
      <w:ind w:firstLine="839"/>
      <w:jc w:val="center"/>
    </w:pPr>
    <w:rPr>
      <w:rFonts w:ascii="宋体" w:hAnsi="宋体"/>
      <w:szCs w:val="20"/>
    </w:rPr>
  </w:style>
  <w:style w:type="paragraph" w:customStyle="1" w:styleId="18">
    <w:name w:val="Default1"/>
    <w:basedOn w:val="19"/>
    <w:next w:val="1"/>
    <w:qFormat/>
    <w:uiPriority w:val="0"/>
    <w:pPr>
      <w:widowControl w:val="0"/>
      <w:autoSpaceDE w:val="0"/>
      <w:autoSpaceDN w:val="0"/>
      <w:adjustRightInd w:val="0"/>
    </w:pPr>
    <w:rPr>
      <w:rFonts w:ascii="宋体" w:cs="宋体"/>
      <w:color w:val="000000"/>
      <w:sz w:val="24"/>
      <w:szCs w:val="24"/>
      <w:lang w:val="en-US" w:eastAsia="zh-CN"/>
    </w:rPr>
  </w:style>
  <w:style w:type="paragraph" w:customStyle="1" w:styleId="1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A正文"/>
    <w:basedOn w:val="1"/>
    <w:qFormat/>
    <w:uiPriority w:val="0"/>
    <w:pPr>
      <w:snapToGrid w:val="0"/>
      <w:ind w:firstLine="480"/>
    </w:pPr>
    <w:rPr>
      <w:rFonts w:ascii="Times New Roman"/>
      <w:szCs w:val="21"/>
      <w:lang w:val="zh-CN"/>
    </w:rPr>
  </w:style>
  <w:style w:type="character" w:customStyle="1" w:styleId="21">
    <w:name w:val="页眉 Char"/>
    <w:basedOn w:val="14"/>
    <w:link w:val="9"/>
    <w:qFormat/>
    <w:uiPriority w:val="0"/>
    <w:rPr>
      <w:rFonts w:asciiTheme="minorHAnsi" w:hAnsiTheme="minorHAnsi" w:eastAsiaTheme="minorEastAsia" w:cstheme="minorBidi"/>
      <w:kern w:val="2"/>
      <w:sz w:val="18"/>
      <w:szCs w:val="18"/>
    </w:rPr>
  </w:style>
  <w:style w:type="character" w:customStyle="1" w:styleId="22">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2570</Words>
  <Characters>319</Characters>
  <Lines>2</Lines>
  <Paragraphs>5</Paragraphs>
  <TotalTime>5</TotalTime>
  <ScaleCrop>false</ScaleCrop>
  <LinksUpToDate>false</LinksUpToDate>
  <CharactersWithSpaces>2884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2024-12-26T07:28:00Z</dcterms:created>
  <dc:creator>admin</dc:creator>
  <cp:lastModifiedBy>一个合格的喝水人</cp:lastModifiedBy>
  <cp:lastPrinted>2025-04-02T02:05:00Z</cp:lastPrinted>
  <dcterms:modified xsi:type="dcterms:W3CDTF">2026-05-19T14:36:20Z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EC9192FD06D316DCD8C0066A9607FA3E_43</vt:lpwstr>
  </property>
</Properties>
</file>