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仿宋" w:eastAsia="方正小标宋简体" w:cs="仿宋"/>
          <w:b w:val="0"/>
          <w:bCs w:val="0"/>
          <w:sz w:val="44"/>
          <w:szCs w:val="44"/>
        </w:rPr>
        <w:t>关于</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江西泽优新材料有限公司年产玻璃钢瓦40万平方米和玻璃钢拉挤型材400吨项目</w:t>
      </w:r>
    </w:p>
    <w:p>
      <w:pPr>
        <w:spacing w:line="600" w:lineRule="exact"/>
        <w:jc w:val="center"/>
        <w:rPr>
          <w:rFonts w:ascii="方正小标宋简体" w:hAnsi="仿宋" w:eastAsia="方正小标宋简体" w:cs="仿宋"/>
          <w:b w:val="0"/>
          <w:bCs w:val="0"/>
          <w:sz w:val="44"/>
          <w:szCs w:val="44"/>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环境影响报告表</w:t>
      </w:r>
      <w:r>
        <w:rPr>
          <w:rFonts w:hint="eastAsia" w:ascii="方正小标宋简体" w:hAnsi="仿宋" w:eastAsia="方正小标宋简体" w:cs="仿宋"/>
          <w:b w:val="0"/>
          <w:bCs w:val="0"/>
          <w:sz w:val="44"/>
          <w:szCs w:val="44"/>
        </w:rPr>
        <w:t>的批复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2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江西泽优新材料有限公司</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val="en-US" w:eastAsia="zh-CN"/>
        </w:rPr>
        <w:t>江西泽优新材料有限公司年产玻璃钢瓦40万平方米和玻璃钢拉挤型材400吨项目</w:t>
      </w:r>
      <w:r>
        <w:rPr>
          <w:rFonts w:hint="eastAsia" w:ascii="仿宋_GB2312" w:hAnsi="仿宋_GB2312" w:eastAsia="仿宋_GB2312" w:cs="仿宋_GB2312"/>
          <w:kern w:val="0"/>
          <w:sz w:val="32"/>
          <w:szCs w:val="32"/>
        </w:rPr>
        <w:t>环境影响报告表》环评文件及审查申请等有关文件收悉，环</w:t>
      </w:r>
      <w:r>
        <w:rPr>
          <w:rFonts w:hint="eastAsia" w:ascii="仿宋_GB2312" w:hAnsi="仿宋_GB2312" w:eastAsia="仿宋_GB2312" w:cs="仿宋_GB2312"/>
          <w:sz w:val="32"/>
          <w:szCs w:val="32"/>
        </w:rPr>
        <w:t>境影响报告表由</w:t>
      </w:r>
      <w:r>
        <w:rPr>
          <w:rFonts w:hint="eastAsia" w:ascii="仿宋_GB2312" w:hAnsi="仿宋_GB2312" w:eastAsia="仿宋_GB2312" w:cs="仿宋_GB2312"/>
          <w:sz w:val="32"/>
          <w:szCs w:val="32"/>
          <w:lang w:val="en-US" w:eastAsia="zh-CN"/>
        </w:rPr>
        <w:t>江西源华环保有限公司</w:t>
      </w:r>
      <w:r>
        <w:rPr>
          <w:rFonts w:hint="eastAsia" w:ascii="仿宋_GB2312" w:hAnsi="仿宋_GB2312" w:eastAsia="仿宋_GB2312" w:cs="仿宋_GB2312"/>
          <w:sz w:val="32"/>
          <w:szCs w:val="32"/>
        </w:rPr>
        <w:t>编制。</w:t>
      </w:r>
      <w:r>
        <w:rPr>
          <w:rFonts w:hint="eastAsia" w:ascii="仿宋_GB2312" w:hAnsi="仿宋_GB2312" w:eastAsia="仿宋_GB2312" w:cs="仿宋_GB2312"/>
          <w:kern w:val="0"/>
          <w:sz w:val="32"/>
          <w:szCs w:val="32"/>
        </w:rPr>
        <w:t>根据技术评估会专家组意见及技术评估公司的评估意见，经研究，批</w:t>
      </w:r>
      <w:r>
        <w:rPr>
          <w:rFonts w:hint="eastAsia" w:ascii="仿宋_GB2312" w:hAnsi="仿宋_GB2312" w:eastAsia="仿宋_GB2312" w:cs="仿宋_GB2312"/>
          <w:sz w:val="32"/>
          <w:szCs w:val="32"/>
        </w:rPr>
        <w:t>复如下：</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一、项目概况及批复意见</w:t>
      </w:r>
      <w:r>
        <w:rPr>
          <w:rFonts w:hint="eastAsia" w:ascii="仿宋_GB2312" w:hAnsi="仿宋_GB2312" w:eastAsia="仿宋_GB2312" w:cs="仿宋_GB2312"/>
          <w:b/>
          <w:bCs w:val="0"/>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泽优新材料有限公司年产玻璃钢瓦40万平方米和玻璃钢拉挤型材400吨项目（项目代码：2512-360724-04-01-741569）为江西泽优新材料有限公司新建项目，行业类别为玻璃纤维和玻璃纤维增强塑料制品制造，位于江西上犹工业园北区B14-4a宗地，厂址中心地理坐标：东经114°34′12.773″，北纬25°46′24.604″，用地面积5238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，总投资600万元，其中环保投资100万元，项目建成</w:t>
      </w:r>
      <w:r>
        <w:rPr>
          <w:rFonts w:hint="eastAsia"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lang w:val="en-US" w:eastAsia="zh-CN"/>
        </w:rPr>
        <w:t>实现年产</w:t>
      </w:r>
      <w:r>
        <w:rPr>
          <w:rFonts w:hint="default" w:ascii="仿宋_GB2312" w:hAnsi="仿宋_GB2312" w:eastAsia="仿宋_GB2312" w:cs="仿宋_GB2312"/>
          <w:sz w:val="32"/>
          <w:szCs w:val="32"/>
          <w:lang w:val="en-US" w:eastAsia="zh-CN"/>
        </w:rPr>
        <w:t>玻璃钢瓦40万平方米和玻璃钢拉挤型材400吨</w:t>
      </w:r>
      <w:r>
        <w:rPr>
          <w:rFonts w:hint="eastAsia" w:ascii="仿宋_GB2312" w:hAnsi="仿宋_GB2312" w:eastAsia="仿宋_GB2312" w:cs="仿宋_GB2312"/>
          <w:sz w:val="32"/>
          <w:szCs w:val="32"/>
          <w:lang w:val="en-US" w:eastAsia="zh-CN"/>
        </w:rPr>
        <w:t>的生产规模。</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租赁</w:t>
      </w:r>
      <w:r>
        <w:rPr>
          <w:rFonts w:hint="eastAsia" w:ascii="仿宋_GB2312" w:hAnsi="仿宋_GB2312" w:eastAsia="仿宋_GB2312" w:cs="仿宋_GB2312"/>
          <w:sz w:val="32"/>
          <w:szCs w:val="32"/>
          <w:lang w:val="en-US" w:eastAsia="zh-CN"/>
        </w:rPr>
        <w:t>赣州元丰复合材料有限公司厂房，建设内容主要包括1栋生产车间，生产区为1层，设置1条玻璃钢瓦生产线和5条玻璃钢拉挤型材生产线，包含配料区、上料区、办公区等，以及建设环保工程。购置钢树脂原料搅拌罐、胶衣搅拌罐、纱架等设备和玻璃纤维布、不饱和树脂、PET薄膜等原辅料进行生产。玻璃钢瓦</w:t>
      </w:r>
      <w:r>
        <w:rPr>
          <w:rFonts w:hint="eastAsia" w:ascii="仿宋_GB2312" w:hAnsi="仿宋_GB2312" w:eastAsia="仿宋_GB2312" w:cs="仿宋_GB2312"/>
          <w:sz w:val="32"/>
          <w:szCs w:val="32"/>
          <w:lang w:eastAsia="zh-CN"/>
        </w:rPr>
        <w:t>主要工艺为配料、下膜敷料、烘干固化（下膜）、粘合、渗透平台、三次配料、上膜敷料、烘干固化（上膜）、烘干固化（上下膜）、分切、横切、成品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玻璃钢拉挤型材主要生产工艺为配料、纤维输送、纤维浸渍、预成型、固化、切割、成品。</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你公司应在项目建设及运营过程中，严格落实环境影响报告表提出的各项生态环境保护措施。我局原则上同意环境影响报告表所列建设项目的性质、规模、地点、工艺和环境保护对策措施。</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二、项目运营管理中应重点做好以下工作：</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项目在工程设计、建设和运行过程中应认真落实环境影响报告表提出的各项环境保护措施和要求。重点做好以下工作：</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（一）严格落实环境影响报告表要求。</w:t>
      </w:r>
      <w:r>
        <w:rPr>
          <w:rFonts w:hint="eastAsia" w:ascii="仿宋_GB2312" w:hAnsi="仿宋_GB2312" w:eastAsia="仿宋_GB2312" w:cs="仿宋_GB2312"/>
          <w:sz w:val="32"/>
          <w:szCs w:val="32"/>
          <w:lang w:val="en-US" w:eastAsia="zh-CN"/>
        </w:rPr>
        <w:t>做好施工期和运营期的各项污染防治工作，确保各类污染物达标排放及妥善处置。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rPr>
        <w:t>（二）严格落实大气环境保护措施</w:t>
      </w:r>
      <w:r>
        <w:rPr>
          <w:rFonts w:hint="eastAsia" w:ascii="仿宋_GB2312" w:hAnsi="仿宋_GB2312" w:eastAsia="仿宋_GB2312" w:cs="仿宋_GB2312"/>
          <w:sz w:val="32"/>
          <w:szCs w:val="32"/>
        </w:rPr>
        <w:t>。</w:t>
      </w:r>
      <w:r>
        <w:rPr>
          <w:rFonts w:hint="eastAsia" w:ascii="仿宋_GB2312" w:hAnsi="仿宋_GB2312" w:eastAsia="仿宋_GB2312" w:cs="仿宋_GB2312"/>
          <w:b/>
          <w:bCs/>
          <w:kern w:val="0"/>
          <w:sz w:val="32"/>
          <w:szCs w:val="32"/>
          <w:lang w:val="en-US" w:eastAsia="zh-CN" w:bidi="ar"/>
        </w:rPr>
        <w:t>有组织废气：</w:t>
      </w:r>
      <w:r>
        <w:rPr>
          <w:rFonts w:hint="eastAsia" w:ascii="仿宋_GB2312" w:hAnsi="仿宋_GB2312" w:eastAsia="仿宋_GB2312" w:cs="仿宋_GB2312"/>
          <w:sz w:val="32"/>
          <w:szCs w:val="32"/>
          <w:lang w:val="en-US" w:eastAsia="zh-CN"/>
        </w:rPr>
        <w:t>项目配料、喷胶衣、烘干、浸渍、粘合工序产生的有机废气通过密闭负压收集+活性炭吸附脱附</w:t>
      </w:r>
      <w:r>
        <w:rPr>
          <w:rFonts w:hint="default" w:ascii="仿宋_GB2312" w:hAnsi="仿宋_GB2312" w:eastAsia="仿宋_GB2312" w:cs="仿宋_GB2312"/>
          <w:sz w:val="32"/>
          <w:szCs w:val="32"/>
          <w:lang w:val="en-US" w:eastAsia="zh-CN"/>
        </w:rPr>
        <w:t>+蓄热催化燃烧（RCO）</w:t>
      </w:r>
      <w:r>
        <w:rPr>
          <w:rFonts w:hint="eastAsia" w:ascii="仿宋_GB2312" w:hAnsi="仿宋_GB2312" w:eastAsia="仿宋_GB2312" w:cs="仿宋_GB2312"/>
          <w:sz w:val="32"/>
          <w:szCs w:val="32"/>
          <w:lang w:val="en-US" w:eastAsia="zh-CN"/>
        </w:rPr>
        <w:t>处理后经15m排气筒（DA001）排放。</w:t>
      </w:r>
      <w:r>
        <w:rPr>
          <w:rFonts w:hint="eastAsia" w:ascii="仿宋_GB2312" w:hAnsi="仿宋_GB2312" w:eastAsia="仿宋_GB2312" w:cs="仿宋_GB2312"/>
          <w:b/>
          <w:bCs/>
          <w:kern w:val="0"/>
          <w:sz w:val="32"/>
          <w:szCs w:val="32"/>
          <w:lang w:val="en-US" w:eastAsia="zh-CN" w:bidi="ar"/>
        </w:rPr>
        <w:t>无组织废气：</w:t>
      </w:r>
      <w:r>
        <w:rPr>
          <w:rFonts w:hint="eastAsia" w:ascii="仿宋_GB2312" w:hAnsi="仿宋_GB2312" w:eastAsia="仿宋_GB2312" w:cs="仿宋_GB2312"/>
          <w:kern w:val="0"/>
          <w:sz w:val="32"/>
          <w:szCs w:val="32"/>
          <w:lang w:val="en-US" w:eastAsia="zh-CN" w:bidi="ar"/>
        </w:rPr>
        <w:t>未收集到的项目配料、喷胶衣、烘干、浸渍、粘合工序产生的无组织废气经车间加强通风后排放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（三）严格落实各项水污染防治措施。</w:t>
      </w:r>
      <w:r>
        <w:rPr>
          <w:rFonts w:hint="default" w:ascii="仿宋_GB2312" w:hAnsi="仿宋_GB2312" w:eastAsia="仿宋_GB2312" w:cs="仿宋_GB2312"/>
          <w:sz w:val="32"/>
          <w:szCs w:val="32"/>
          <w:lang w:val="en-US" w:eastAsia="zh-CN"/>
        </w:rPr>
        <w:t>项目废水主要</w:t>
      </w:r>
      <w:r>
        <w:rPr>
          <w:rFonts w:hint="eastAsia" w:ascii="仿宋_GB2312" w:hAnsi="仿宋_GB2312" w:eastAsia="仿宋_GB2312" w:cs="仿宋_GB2312"/>
          <w:sz w:val="32"/>
          <w:szCs w:val="32"/>
          <w:lang w:val="en-US" w:eastAsia="zh-CN"/>
        </w:rPr>
        <w:t>为</w:t>
      </w:r>
      <w:r>
        <w:rPr>
          <w:rFonts w:hint="default" w:ascii="仿宋_GB2312" w:hAnsi="仿宋_GB2312" w:eastAsia="仿宋_GB2312" w:cs="仿宋_GB2312"/>
          <w:sz w:val="32"/>
          <w:szCs w:val="32"/>
          <w:lang w:val="en-US" w:eastAsia="zh-CN"/>
        </w:rPr>
        <w:t>生活污水</w:t>
      </w:r>
      <w:r>
        <w:rPr>
          <w:rFonts w:hint="eastAsia" w:ascii="仿宋_GB2312" w:hAnsi="仿宋_GB2312" w:eastAsia="仿宋_GB2312" w:cs="仿宋_GB2312"/>
          <w:sz w:val="32"/>
          <w:szCs w:val="32"/>
          <w:lang w:val="en-US" w:eastAsia="zh-CN"/>
        </w:rPr>
        <w:t>，无生产废水外排。生活污水通过化粪池预处理达到江西上犹工业园污水处理厂接管标准后，通过园区污水管网排入污水处理厂深度处理。</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（四）严格落实声环境保护措施。</w:t>
      </w:r>
      <w:r>
        <w:rPr>
          <w:rFonts w:hint="eastAsia" w:ascii="仿宋_GB2312" w:hAnsi="仿宋_GB2312" w:eastAsia="仿宋_GB2312" w:cs="仿宋_GB2312"/>
          <w:sz w:val="32"/>
          <w:szCs w:val="32"/>
          <w:lang w:val="en-US" w:eastAsia="zh-CN"/>
        </w:rPr>
        <w:t>项目噪声主要为树脂原料搅拌罐、胶衣搅拌罐、三联柱塞式小料泵等设备运行过程中产生的噪声。</w:t>
      </w:r>
      <w:r>
        <w:rPr>
          <w:rFonts w:hint="default" w:ascii="仿宋_GB2312" w:hAnsi="仿宋_GB2312" w:eastAsia="仿宋_GB2312" w:cs="仿宋_GB2312"/>
          <w:sz w:val="32"/>
          <w:szCs w:val="32"/>
          <w:lang w:val="en-US" w:eastAsia="zh-CN"/>
        </w:rPr>
        <w:t>对项目高噪声设备的降噪措施以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隔声减振为主，吸声为辅</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的原则，优先选用低噪声设备，其次采用隔声、减振和个体防护等措施，并对其基础采取减振措施。主要噪声设备采取</w:t>
      </w:r>
      <w:r>
        <w:rPr>
          <w:rFonts w:hint="eastAsia" w:ascii="仿宋_GB2312" w:hAnsi="仿宋_GB2312" w:eastAsia="仿宋_GB2312" w:cs="仿宋_GB2312"/>
          <w:sz w:val="32"/>
          <w:szCs w:val="32"/>
          <w:lang w:val="en-US" w:eastAsia="zh-CN"/>
        </w:rPr>
        <w:t>减振</w:t>
      </w:r>
      <w:r>
        <w:rPr>
          <w:rFonts w:hint="default" w:ascii="仿宋_GB2312" w:hAnsi="仿宋_GB2312" w:eastAsia="仿宋_GB2312" w:cs="仿宋_GB2312"/>
          <w:sz w:val="32"/>
          <w:szCs w:val="32"/>
          <w:lang w:val="en-US" w:eastAsia="zh-CN"/>
        </w:rPr>
        <w:t>、隔声等措施，控制设备机械噪声对周围声环境的影响</w:t>
      </w:r>
      <w:r>
        <w:rPr>
          <w:rFonts w:hint="eastAsia" w:ascii="仿宋_GB2312" w:hAnsi="仿宋_GB2312" w:eastAsia="仿宋_GB2312" w:cs="仿宋_GB2312"/>
          <w:sz w:val="32"/>
          <w:szCs w:val="32"/>
          <w:lang w:val="en-US" w:eastAsia="zh-CN"/>
        </w:rPr>
        <w:t>，以降低噪声的传播和干扰。</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仿宋_GB2312" w:eastAsia="仿宋_GB2312" w:cs="仿宋_GB2312"/>
          <w:sz w:val="32"/>
          <w:szCs w:val="32"/>
          <w:lang w:val="en-GB" w:eastAsia="zh-CN"/>
        </w:rPr>
      </w:pPr>
      <w:r>
        <w:rPr>
          <w:rFonts w:hint="eastAsia" w:ascii="仿宋_GB2312" w:hAnsi="仿宋_GB2312" w:eastAsia="仿宋_GB2312" w:cs="仿宋_GB2312"/>
          <w:b/>
          <w:bCs/>
          <w:sz w:val="32"/>
          <w:szCs w:val="32"/>
        </w:rPr>
        <w:t>（五）严格落实固体废物污染防治措施。</w:t>
      </w:r>
      <w:r>
        <w:rPr>
          <w:rFonts w:hint="eastAsia" w:ascii="仿宋_GB2312" w:hAnsi="仿宋_GB2312" w:eastAsia="仿宋_GB2312" w:cs="仿宋_GB2312"/>
          <w:sz w:val="32"/>
          <w:szCs w:val="32"/>
          <w:lang w:val="en-US" w:eastAsia="zh-CN"/>
        </w:rPr>
        <w:t>拟建设一般固废暂存间，占地面积为50m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，一般工业固体废物处置需满足《一般工业固体废物贮存和填埋污染控制标准》（GB18599-2020）相应防渗漏、防雨淋、防扬尘等环境保护要求。一般工业固体废物：</w:t>
      </w:r>
      <w:r>
        <w:rPr>
          <w:rFonts w:hint="default" w:ascii="仿宋_GB2312" w:hAnsi="仿宋_GB2312" w:eastAsia="仿宋_GB2312" w:cs="仿宋_GB2312"/>
          <w:sz w:val="32"/>
          <w:szCs w:val="32"/>
          <w:lang w:val="en-US" w:eastAsia="zh-CN"/>
        </w:rPr>
        <w:t>边角料、不合格产品</w:t>
      </w:r>
      <w:r>
        <w:rPr>
          <w:rFonts w:hint="eastAsia" w:ascii="仿宋_GB2312" w:hAnsi="仿宋_GB2312" w:eastAsia="仿宋_GB2312" w:cs="仿宋_GB2312"/>
          <w:sz w:val="32"/>
          <w:szCs w:val="32"/>
          <w:lang w:val="en-US" w:eastAsia="zh-CN"/>
        </w:rPr>
        <w:t>，收集后统一进行外售处理。</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拟建设危险废物暂存间，占地面积为20m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。危废暂存间严格按《危险废物贮存污染控制标准》（GB18597-2023）中的贮存设施设计原则、危废堆放规范等相关要求进行设计、建造和管理。</w:t>
      </w:r>
      <w:r>
        <w:rPr>
          <w:rFonts w:hint="default" w:ascii="仿宋_GB2312" w:hAnsi="仿宋_GB2312" w:eastAsia="仿宋_GB2312" w:cs="仿宋_GB2312"/>
          <w:sz w:val="32"/>
          <w:szCs w:val="32"/>
          <w:lang w:val="en-US" w:eastAsia="zh-CN"/>
        </w:rPr>
        <w:t>危险废物有废包装桶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废含油抹布及手套</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废机油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废催化剂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废丙酮等</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集中收集后交由有危废资质单位处置</w:t>
      </w:r>
      <w:r>
        <w:rPr>
          <w:rFonts w:hint="eastAsia" w:ascii="仿宋_GB2312" w:hAnsi="仿宋_GB2312" w:eastAsia="仿宋_GB2312" w:cs="仿宋_GB2312"/>
          <w:sz w:val="32"/>
          <w:szCs w:val="32"/>
          <w:lang w:val="en-US" w:eastAsia="zh-CN"/>
        </w:rPr>
        <w:t>。生活垃圾统一收集由环卫部门定期清运处理。</w:t>
      </w:r>
    </w:p>
    <w:p>
      <w:pPr>
        <w:keepNext w:val="0"/>
        <w:keepLines w:val="0"/>
        <w:pageBreakBefore w:val="0"/>
        <w:widowControl w:val="0"/>
        <w:kinsoku/>
        <w:wordWrap/>
        <w:overflowPunct/>
        <w:topLinePunct w:val="0"/>
        <w:autoSpaceDE/>
        <w:autoSpaceDN/>
        <w:bidi w:val="0"/>
        <w:adjustRightInd w:val="0"/>
        <w:snapToGrid w:val="0"/>
        <w:spacing w:line="6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（六）严格落实地下水、土壤污染防治措施。</w:t>
      </w:r>
      <w:r>
        <w:rPr>
          <w:rFonts w:hint="eastAsia" w:ascii="仿宋_GB2312" w:hAnsi="仿宋_GB2312" w:eastAsia="仿宋_GB2312" w:cs="仿宋_GB2312"/>
          <w:sz w:val="32"/>
          <w:szCs w:val="32"/>
          <w:lang w:val="en-US" w:eastAsia="zh-CN"/>
        </w:rPr>
        <w:t>做好源头控制，</w:t>
      </w:r>
      <w:r>
        <w:rPr>
          <w:rFonts w:hint="eastAsia" w:ascii="仿宋_GB2312" w:hAnsi="仿宋_GB2312" w:eastAsia="仿宋_GB2312" w:cs="仿宋_GB2312"/>
          <w:sz w:val="32"/>
          <w:szCs w:val="32"/>
          <w:lang w:val="en-GB" w:eastAsia="zh-CN"/>
        </w:rPr>
        <w:t>对</w:t>
      </w:r>
      <w:r>
        <w:rPr>
          <w:rFonts w:hint="eastAsia" w:ascii="仿宋_GB2312" w:hAnsi="仿宋_GB2312" w:eastAsia="仿宋_GB2312" w:cs="仿宋_GB2312"/>
          <w:sz w:val="32"/>
          <w:szCs w:val="32"/>
          <w:lang w:val="en-US" w:eastAsia="zh-CN"/>
        </w:rPr>
        <w:t>危废暂存场所等</w:t>
      </w:r>
      <w:r>
        <w:rPr>
          <w:rFonts w:hint="eastAsia" w:ascii="仿宋_GB2312" w:hAnsi="仿宋_GB2312" w:eastAsia="仿宋_GB2312" w:cs="仿宋_GB2312"/>
          <w:sz w:val="32"/>
          <w:szCs w:val="32"/>
          <w:lang w:val="en-GB" w:eastAsia="zh-CN"/>
        </w:rPr>
        <w:t>采取相应的防护措施，防止污染物跑、冒、滴、漏，将污染物泄漏的环境风险事故降到最低程度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做好分区管控。重</w:t>
      </w:r>
      <w:r>
        <w:rPr>
          <w:rFonts w:hint="eastAsia" w:ascii="仿宋_GB2312" w:hAnsi="仿宋_GB2312" w:eastAsia="仿宋_GB2312" w:cs="仿宋_GB2312"/>
          <w:sz w:val="32"/>
          <w:szCs w:val="32"/>
          <w:lang w:val="en-GB" w:eastAsia="zh-CN"/>
        </w:rPr>
        <w:t>点防渗区</w:t>
      </w:r>
      <w:r>
        <w:rPr>
          <w:rFonts w:hint="eastAsia" w:ascii="仿宋_GB2312" w:hAnsi="仿宋_GB2312" w:eastAsia="仿宋_GB2312" w:cs="仿宋_GB2312"/>
          <w:sz w:val="32"/>
          <w:szCs w:val="32"/>
          <w:lang w:val="en-US" w:eastAsia="zh-CN"/>
        </w:rPr>
        <w:t>为危废暂存间、配料、搅拌区、固化剂仓库、树脂、色浆仓库等，</w:t>
      </w:r>
      <w:r>
        <w:rPr>
          <w:rFonts w:hint="eastAsia" w:ascii="仿宋_GB2312" w:hAnsi="仿宋_GB2312" w:eastAsia="仿宋_GB2312" w:cs="仿宋_GB2312"/>
          <w:sz w:val="32"/>
          <w:szCs w:val="32"/>
          <w:lang w:val="en-GB" w:eastAsia="zh-CN"/>
        </w:rPr>
        <w:t>满足等效黏土防渗层Mb≥</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GB" w:eastAsia="zh-CN"/>
        </w:rPr>
        <w:t>m，渗透系数≤10</w:t>
      </w:r>
      <w:r>
        <w:rPr>
          <w:rFonts w:hint="eastAsia" w:ascii="仿宋_GB2312" w:hAnsi="仿宋_GB2312" w:eastAsia="仿宋_GB2312" w:cs="仿宋_GB2312"/>
          <w:sz w:val="32"/>
          <w:szCs w:val="32"/>
          <w:highlight w:val="none"/>
          <w:vertAlign w:val="superscript"/>
          <w:lang w:val="en-GB" w:eastAsia="zh-CN"/>
        </w:rPr>
        <w:t>-</w:t>
      </w:r>
      <w:r>
        <w:rPr>
          <w:rFonts w:hint="eastAsia" w:ascii="仿宋_GB2312" w:hAnsi="仿宋_GB2312" w:eastAsia="仿宋_GB2312" w:cs="仿宋_GB2312"/>
          <w:sz w:val="32"/>
          <w:szCs w:val="32"/>
          <w:vertAlign w:val="superscript"/>
          <w:lang w:val="en-GB" w:eastAsia="zh-CN"/>
        </w:rPr>
        <w:t>7</w:t>
      </w:r>
      <w:r>
        <w:rPr>
          <w:rFonts w:hint="eastAsia" w:ascii="仿宋_GB2312" w:hAnsi="仿宋_GB2312" w:eastAsia="仿宋_GB2312" w:cs="仿宋_GB2312"/>
          <w:sz w:val="32"/>
          <w:szCs w:val="32"/>
          <w:lang w:val="en-GB" w:eastAsia="zh-CN"/>
        </w:rPr>
        <w:t>cm/s的防渗性能要求；一般防渗区</w:t>
      </w:r>
      <w:r>
        <w:rPr>
          <w:rFonts w:hint="eastAsia" w:ascii="仿宋_GB2312" w:hAnsi="仿宋_GB2312" w:eastAsia="仿宋_GB2312" w:cs="仿宋_GB2312"/>
          <w:sz w:val="32"/>
          <w:szCs w:val="32"/>
          <w:lang w:val="en-US" w:eastAsia="zh-CN"/>
        </w:rPr>
        <w:t>为一般固废暂存间、生产厂房、仓库、化粪池</w:t>
      </w:r>
      <w:r>
        <w:rPr>
          <w:rFonts w:hint="eastAsia" w:ascii="仿宋_GB2312" w:hAnsi="仿宋_GB2312" w:eastAsia="仿宋_GB2312" w:cs="仿宋_GB2312"/>
          <w:sz w:val="32"/>
          <w:szCs w:val="32"/>
          <w:lang w:val="en-GB" w:eastAsia="zh-CN"/>
        </w:rPr>
        <w:t>等，满足等效黏土防渗层Mb≥</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en-GB" w:eastAsia="zh-CN"/>
        </w:rPr>
        <w:t>m，渗透系数≤10</w:t>
      </w:r>
      <w:r>
        <w:rPr>
          <w:rFonts w:hint="eastAsia" w:ascii="仿宋_GB2312" w:hAnsi="仿宋_GB2312" w:eastAsia="仿宋_GB2312" w:cs="仿宋_GB2312"/>
          <w:sz w:val="32"/>
          <w:szCs w:val="32"/>
          <w:highlight w:val="none"/>
          <w:vertAlign w:val="superscript"/>
          <w:lang w:val="en-GB" w:eastAsia="zh-CN"/>
        </w:rPr>
        <w:t>-</w:t>
      </w:r>
      <w:r>
        <w:rPr>
          <w:rFonts w:hint="eastAsia" w:ascii="仿宋_GB2312" w:hAnsi="仿宋_GB2312" w:eastAsia="仿宋_GB2312" w:cs="仿宋_GB2312"/>
          <w:sz w:val="32"/>
          <w:szCs w:val="32"/>
          <w:vertAlign w:val="superscript"/>
          <w:lang w:val="en-GB" w:eastAsia="zh-CN"/>
        </w:rPr>
        <w:t>7</w:t>
      </w:r>
      <w:r>
        <w:rPr>
          <w:rFonts w:hint="eastAsia" w:ascii="仿宋_GB2312" w:hAnsi="仿宋_GB2312" w:eastAsia="仿宋_GB2312" w:cs="仿宋_GB2312"/>
          <w:sz w:val="32"/>
          <w:szCs w:val="32"/>
          <w:lang w:val="en-GB" w:eastAsia="zh-CN"/>
        </w:rPr>
        <w:t>cm/s的防渗性能要求；简单防渗区</w:t>
      </w:r>
      <w:r>
        <w:rPr>
          <w:rFonts w:hint="eastAsia" w:ascii="仿宋_GB2312" w:hAnsi="仿宋_GB2312" w:eastAsia="仿宋_GB2312" w:cs="仿宋_GB2312"/>
          <w:sz w:val="32"/>
          <w:szCs w:val="32"/>
          <w:lang w:val="en-US" w:eastAsia="zh-CN"/>
        </w:rPr>
        <w:t>为办公区</w:t>
      </w:r>
      <w:r>
        <w:rPr>
          <w:rFonts w:hint="eastAsia" w:ascii="仿宋_GB2312" w:hAnsi="仿宋_GB2312" w:eastAsia="仿宋_GB2312" w:cs="仿宋_GB2312"/>
          <w:sz w:val="32"/>
          <w:szCs w:val="32"/>
          <w:lang w:val="en-GB" w:eastAsia="zh-CN"/>
        </w:rPr>
        <w:t>等，地面进行水泥硬化处理</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59" w:firstLineChars="200"/>
        <w:textAlignment w:val="auto"/>
        <w:rPr>
          <w:rFonts w:hint="eastAsia" w:ascii="仿宋_GB2312" w:hAnsi="仿宋_GB2312" w:eastAsia="仿宋_GB2312" w:cs="仿宋_GB2312"/>
          <w:sz w:val="32"/>
          <w:szCs w:val="32"/>
          <w:lang w:val="en-GB" w:eastAsia="zh-CN"/>
        </w:rPr>
      </w:pPr>
      <w:r>
        <w:rPr>
          <w:rFonts w:hint="eastAsia" w:ascii="仿宋_GB2312" w:hAnsi="仿宋_GB2312" w:eastAsia="仿宋_GB2312" w:cs="仿宋_GB2312"/>
          <w:b/>
          <w:bCs/>
          <w:spacing w:val="4"/>
          <w:kern w:val="18"/>
          <w:sz w:val="32"/>
          <w:szCs w:val="32"/>
          <w:lang w:val="en-US" w:eastAsia="zh-CN" w:bidi="ar-SA"/>
        </w:rPr>
        <w:t>（七）严格落实环境风险防范措施。</w:t>
      </w:r>
      <w:r>
        <w:rPr>
          <w:rFonts w:hint="default" w:ascii="仿宋_GB2312" w:hAnsi="仿宋_GB2312" w:eastAsia="仿宋_GB2312" w:cs="仿宋_GB2312"/>
          <w:sz w:val="32"/>
          <w:szCs w:val="32"/>
          <w:lang w:val="en-GB" w:eastAsia="zh-CN"/>
        </w:rPr>
        <w:t>项目营运期使用的环境风险物质主要为</w:t>
      </w:r>
      <w:r>
        <w:rPr>
          <w:rFonts w:hint="eastAsia" w:ascii="仿宋_GB2312" w:hAnsi="仿宋_GB2312" w:eastAsia="仿宋_GB2312" w:cs="仿宋_GB2312"/>
          <w:sz w:val="32"/>
          <w:szCs w:val="32"/>
          <w:lang w:val="en-US" w:eastAsia="zh-CN"/>
        </w:rPr>
        <w:t>机油、废机油、不饱和树脂、清洗剂、色浆、固化剂、脱模剂和叔丁酯等</w:t>
      </w:r>
      <w:r>
        <w:rPr>
          <w:rFonts w:hint="default" w:ascii="仿宋_GB2312" w:hAnsi="仿宋_GB2312" w:eastAsia="仿宋_GB2312" w:cs="仿宋_GB2312"/>
          <w:sz w:val="32"/>
          <w:szCs w:val="32"/>
          <w:lang w:val="en-GB" w:eastAsia="zh-CN"/>
        </w:rPr>
        <w:t>。采取的环境风险防范措施</w:t>
      </w:r>
      <w:r>
        <w:rPr>
          <w:rFonts w:hint="eastAsia" w:ascii="仿宋_GB2312" w:hAnsi="仿宋_GB2312" w:eastAsia="仿宋_GB2312" w:cs="仿宋_GB2312"/>
          <w:sz w:val="32"/>
          <w:szCs w:val="32"/>
          <w:lang w:val="en-US" w:eastAsia="zh-CN"/>
        </w:rPr>
        <w:t>有</w:t>
      </w:r>
      <w:r>
        <w:rPr>
          <w:rFonts w:hint="default" w:ascii="仿宋_GB2312" w:hAnsi="仿宋_GB2312" w:eastAsia="仿宋_GB2312" w:cs="仿宋_GB2312"/>
          <w:sz w:val="32"/>
          <w:szCs w:val="32"/>
          <w:lang w:val="en-GB" w:eastAsia="zh-CN"/>
        </w:rPr>
        <w:t>总图</w:t>
      </w:r>
      <w:r>
        <w:rPr>
          <w:rFonts w:hint="eastAsia" w:ascii="仿宋_GB2312" w:hAnsi="仿宋_GB2312" w:eastAsia="仿宋_GB2312" w:cs="仿宋_GB2312"/>
          <w:sz w:val="32"/>
          <w:szCs w:val="32"/>
          <w:lang w:val="en-GB" w:eastAsia="zh-CN"/>
        </w:rPr>
        <w:t>合理</w:t>
      </w:r>
      <w:r>
        <w:rPr>
          <w:rFonts w:hint="default" w:ascii="仿宋_GB2312" w:hAnsi="仿宋_GB2312" w:eastAsia="仿宋_GB2312" w:cs="仿宋_GB2312"/>
          <w:sz w:val="32"/>
          <w:szCs w:val="32"/>
          <w:lang w:val="en-GB" w:eastAsia="zh-CN"/>
        </w:rPr>
        <w:t>布置和建筑安全措施</w:t>
      </w:r>
      <w:r>
        <w:rPr>
          <w:rFonts w:hint="eastAsia" w:ascii="仿宋_GB2312" w:hAnsi="仿宋_GB2312" w:eastAsia="仿宋_GB2312" w:cs="仿宋_GB2312"/>
          <w:sz w:val="32"/>
          <w:szCs w:val="32"/>
          <w:lang w:val="en-GB" w:eastAsia="zh-CN"/>
        </w:rPr>
        <w:t>、</w:t>
      </w:r>
      <w:r>
        <w:rPr>
          <w:rFonts w:hint="default" w:ascii="仿宋_GB2312" w:hAnsi="仿宋_GB2312" w:eastAsia="仿宋_GB2312" w:cs="仿宋_GB2312"/>
          <w:sz w:val="32"/>
          <w:szCs w:val="32"/>
          <w:lang w:val="en-GB" w:eastAsia="zh-CN"/>
        </w:rPr>
        <w:t>废</w:t>
      </w:r>
      <w:r>
        <w:rPr>
          <w:rFonts w:hint="eastAsia" w:ascii="仿宋_GB2312" w:hAnsi="仿宋_GB2312" w:eastAsia="仿宋_GB2312" w:cs="仿宋_GB2312"/>
          <w:sz w:val="32"/>
          <w:szCs w:val="32"/>
          <w:lang w:val="en-GB" w:eastAsia="zh-CN"/>
        </w:rPr>
        <w:t>水</w:t>
      </w:r>
      <w:r>
        <w:rPr>
          <w:rFonts w:hint="default" w:ascii="仿宋_GB2312" w:hAnsi="仿宋_GB2312" w:eastAsia="仿宋_GB2312" w:cs="仿宋_GB2312"/>
          <w:sz w:val="32"/>
          <w:szCs w:val="32"/>
          <w:lang w:val="en-GB" w:eastAsia="zh-CN"/>
        </w:rPr>
        <w:t>事故排放防范措施</w:t>
      </w:r>
      <w:r>
        <w:rPr>
          <w:rFonts w:hint="eastAsia" w:ascii="仿宋_GB2312" w:hAnsi="仿宋_GB2312" w:eastAsia="仿宋_GB2312" w:cs="仿宋_GB2312"/>
          <w:sz w:val="32"/>
          <w:szCs w:val="32"/>
          <w:lang w:val="en-GB" w:eastAsia="zh-CN"/>
        </w:rPr>
        <w:t>、</w:t>
      </w:r>
      <w:r>
        <w:rPr>
          <w:rFonts w:hint="default" w:ascii="仿宋_GB2312" w:hAnsi="仿宋_GB2312" w:eastAsia="仿宋_GB2312" w:cs="仿宋_GB2312"/>
          <w:sz w:val="32"/>
          <w:szCs w:val="32"/>
          <w:lang w:val="en-GB" w:eastAsia="zh-CN"/>
        </w:rPr>
        <w:t>环境风险事故应急要求</w:t>
      </w:r>
      <w:r>
        <w:rPr>
          <w:rFonts w:hint="eastAsia" w:ascii="仿宋_GB2312" w:hAnsi="仿宋_GB2312" w:eastAsia="仿宋_GB2312" w:cs="仿宋_GB2312"/>
          <w:sz w:val="32"/>
          <w:szCs w:val="32"/>
          <w:lang w:val="en-GB" w:eastAsia="zh-CN"/>
        </w:rPr>
        <w:t>、</w:t>
      </w:r>
      <w:r>
        <w:rPr>
          <w:rFonts w:hint="default" w:ascii="仿宋_GB2312" w:hAnsi="仿宋_GB2312" w:eastAsia="仿宋_GB2312" w:cs="仿宋_GB2312"/>
          <w:sz w:val="32"/>
          <w:szCs w:val="32"/>
          <w:lang w:val="en-GB" w:eastAsia="zh-CN"/>
        </w:rPr>
        <w:t>应急应变措施</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GB" w:eastAsia="zh-CN"/>
        </w:rPr>
        <w:t>。在生产方面应积极采取防护措施，加强风险管理，认真落实各项事故预防和应急措施</w:t>
      </w:r>
      <w:r>
        <w:rPr>
          <w:rFonts w:hint="eastAsia" w:ascii="仿宋_GB2312" w:hAnsi="仿宋_GB2312" w:eastAsia="仿宋_GB2312" w:cs="仿宋_GB2312"/>
          <w:sz w:val="32"/>
          <w:szCs w:val="32"/>
          <w:lang w:val="en-GB" w:eastAsia="zh-CN"/>
        </w:rPr>
        <w:t>，</w:t>
      </w:r>
      <w:r>
        <w:rPr>
          <w:rFonts w:hint="default" w:ascii="仿宋_GB2312" w:hAnsi="仿宋_GB2312" w:eastAsia="仿宋_GB2312" w:cs="仿宋_GB2312"/>
          <w:sz w:val="32"/>
          <w:szCs w:val="32"/>
          <w:lang w:val="en-GB" w:eastAsia="zh-CN"/>
        </w:rPr>
        <w:t>通过相应的技术手段降低风险</w:t>
      </w:r>
      <w:r>
        <w:rPr>
          <w:rFonts w:hint="eastAsia" w:ascii="仿宋_GB2312" w:hAnsi="仿宋_GB2312" w:eastAsia="仿宋_GB2312" w:cs="仿宋_GB2312"/>
          <w:sz w:val="32"/>
          <w:szCs w:val="32"/>
          <w:lang w:val="en-GB"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（八）</w:t>
      </w:r>
      <w:r>
        <w:rPr>
          <w:rFonts w:hint="eastAsia" w:ascii="仿宋_GB2312" w:hAnsi="仿宋_GB2312" w:eastAsia="仿宋_GB2312" w:cs="仿宋_GB2312"/>
          <w:b/>
          <w:bCs/>
          <w:sz w:val="32"/>
          <w:szCs w:val="32"/>
        </w:rPr>
        <w:t>提高管理和运营水平，加强非正常工况的生态环境保护工作。</w:t>
      </w:r>
      <w:r>
        <w:rPr>
          <w:rFonts w:hint="eastAsia" w:ascii="仿宋_GB2312" w:hAnsi="仿宋_GB2312" w:eastAsia="仿宋_GB2312" w:cs="仿宋_GB2312"/>
          <w:sz w:val="32"/>
          <w:szCs w:val="32"/>
        </w:rPr>
        <w:t>定期对环保处理设施进行检查、维护，加强设备管理，认真做好设备、管道、阀门的检查工作，降低非正常工况发生频次及污染物排放量。</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）严格落实污染源和生态环境监测计划。</w:t>
      </w:r>
      <w:r>
        <w:rPr>
          <w:rFonts w:hint="eastAsia" w:ascii="仿宋_GB2312" w:hAnsi="仿宋_GB2312" w:eastAsia="仿宋_GB2312" w:cs="仿宋_GB2312"/>
          <w:sz w:val="32"/>
          <w:szCs w:val="32"/>
        </w:rPr>
        <w:t>按照相关标准和规定要求，开展长期环境监测，保存原始监测记录，定期向公众公布污染物排放监测结果。</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三、其他要求</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（一）项目建设须严格执行配套的环境保护设施与主体工程“三同时”制度。</w:t>
      </w:r>
      <w:r>
        <w:rPr>
          <w:rFonts w:hint="eastAsia" w:ascii="仿宋_GB2312" w:hAnsi="仿宋_GB2312" w:eastAsia="仿宋_GB2312" w:cs="仿宋_GB2312"/>
          <w:sz w:val="32"/>
          <w:szCs w:val="32"/>
        </w:rPr>
        <w:t>按规定程序开展环境保护设施竣工自主验收，合格后方可正式投入运行。加强重点环保设备设计、施工、运行安全管理。环</w:t>
      </w:r>
      <w:r>
        <w:rPr>
          <w:rFonts w:hint="eastAsia" w:ascii="仿宋_GB2312" w:hAnsi="仿宋_GB2312" w:eastAsia="仿宋_GB2312" w:cs="仿宋_GB2312"/>
          <w:color w:val="000000" w:themeColor="text1"/>
          <w:sz w:val="32"/>
          <w:szCs w:val="32"/>
          <w14:textFill>
            <w14:solidFill>
              <w14:schemeClr w14:val="tx1"/>
            </w14:solidFill>
          </w14:textFill>
        </w:rPr>
        <w:t>境影响报告表经批准后，项目的性质、规模、地点、工艺或环境保护措施发生重大变动，应当重新报批环境影响报告表。自批准之日起超过五年后方开工建设的，环境影响报告表应当报审批部门重</w:t>
      </w:r>
      <w:r>
        <w:rPr>
          <w:rFonts w:hint="eastAsia" w:ascii="仿宋_GB2312" w:hAnsi="仿宋_GB2312" w:eastAsia="仿宋_GB2312" w:cs="仿宋_GB2312"/>
          <w:sz w:val="32"/>
          <w:szCs w:val="32"/>
        </w:rPr>
        <w:t>新审核。</w:t>
      </w:r>
    </w:p>
    <w:p>
      <w:pPr>
        <w:keepNext w:val="0"/>
        <w:keepLines w:val="0"/>
        <w:pageBreakBefore w:val="0"/>
        <w:widowControl w:val="0"/>
        <w:kinsoku/>
        <w:wordWrap/>
        <w:overflowPunct/>
        <w:topLinePunct w:val="0"/>
        <w:autoSpaceDE/>
        <w:autoSpaceDN/>
        <w:bidi w:val="0"/>
        <w:spacing w:line="62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（二）积极主动配合接受生态环境主管部门的日常监督管理。</w:t>
      </w:r>
    </w:p>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（此页无正文</w:t>
      </w:r>
      <w:bookmarkStart w:id="0" w:name="_GoBack"/>
      <w:bookmarkEnd w:id="0"/>
      <w:r>
        <w:rPr>
          <w:rFonts w:hint="eastAsia" w:ascii="仿宋_GB2312" w:hAnsi="仿宋_GB2312" w:eastAsia="仿宋_GB2312" w:cs="仿宋_GB2312"/>
          <w:sz w:val="32"/>
          <w:szCs w:val="32"/>
          <w:lang w:eastAsia="zh-CN"/>
        </w:rPr>
        <w:t>）</w:t>
      </w:r>
    </w:p>
    <w:p>
      <w:pPr>
        <w:rPr>
          <w:rFonts w:hint="eastAsia"/>
        </w:rPr>
      </w:pPr>
    </w:p>
    <w:p>
      <w:pPr>
        <w:keepNext w:val="0"/>
        <w:keepLines w:val="0"/>
        <w:pageBreakBefore w:val="0"/>
        <w:widowControl w:val="0"/>
        <w:kinsoku/>
        <w:wordWrap/>
        <w:overflowPunct/>
        <w:topLinePunct w:val="0"/>
        <w:autoSpaceDE/>
        <w:autoSpaceDN/>
        <w:bidi w:val="0"/>
        <w:spacing w:line="620" w:lineRule="exact"/>
        <w:ind w:right="1216" w:rightChars="579"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上犹县行政审批局</w:t>
      </w:r>
    </w:p>
    <w:p>
      <w:pPr>
        <w:keepNext w:val="0"/>
        <w:keepLines w:val="0"/>
        <w:pageBreakBefore w:val="0"/>
        <w:widowControl w:val="0"/>
        <w:kinsoku/>
        <w:wordWrap/>
        <w:overflowPunct/>
        <w:topLinePunct w:val="0"/>
        <w:autoSpaceDE/>
        <w:autoSpaceDN/>
        <w:bidi w:val="0"/>
        <w:spacing w:line="620" w:lineRule="exact"/>
        <w:ind w:right="1216" w:rightChars="579"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line="620" w:lineRule="exact"/>
        <w:ind w:right="110"/>
        <w:textAlignment w:val="auto"/>
      </w:pPr>
    </w:p>
    <w:sectPr>
      <w:headerReference r:id="rId4" w:type="first"/>
      <w:footerReference r:id="rId7" w:type="first"/>
      <w:footerReference r:id="rId5" w:type="default"/>
      <w:headerReference r:id="rId3" w:type="even"/>
      <w:footerReference r:id="rId6"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snapToGrid w:val="0"/>
      <w:jc w:val="left"/>
      <w:rPr>
        <w:rFonts w:ascii="宋体" w:hAnsi="宋体" w:eastAsia="宋体" w:cs="Times New Roman"/>
        <w:sz w:val="28"/>
      </w:rPr>
    </w:pPr>
    <w:r>
      <w:rPr>
        <w:rFonts w:hint="eastAsia" w:ascii="宋体" w:hAnsi="宋体" w:eastAsia="宋体" w:cs="Times New Roman"/>
        <w:sz w:val="28"/>
      </w:rPr>
      <w:t xml:space="preserve">— </w:t>
    </w:r>
    <w:r>
      <w:rPr>
        <w:rFonts w:ascii="宋体" w:hAnsi="宋体" w:eastAsia="宋体" w:cs="Times New Roman"/>
        <w:sz w:val="28"/>
        <w:szCs w:val="28"/>
      </w:rPr>
      <w:fldChar w:fldCharType="begin"/>
    </w:r>
    <w:r>
      <w:rPr>
        <w:rFonts w:ascii="宋体" w:hAnsi="宋体" w:eastAsia="宋体" w:cs="Times New Roman"/>
        <w:sz w:val="28"/>
      </w:rPr>
      <w:instrText xml:space="preserve">PAGE  </w:instrText>
    </w:r>
    <w:r>
      <w:rPr>
        <w:rFonts w:ascii="宋体" w:hAnsi="宋体" w:eastAsia="宋体" w:cs="Times New Roman"/>
        <w:sz w:val="28"/>
        <w:szCs w:val="28"/>
      </w:rPr>
      <w:fldChar w:fldCharType="separate"/>
    </w:r>
    <w:r>
      <w:rPr>
        <w:rFonts w:ascii="宋体" w:hAnsi="宋体" w:eastAsia="宋体" w:cs="Times New Roman"/>
        <w:sz w:val="28"/>
      </w:rPr>
      <w:t>6</w:t>
    </w:r>
    <w:r>
      <w:rPr>
        <w:rFonts w:ascii="宋体" w:hAnsi="宋体" w:eastAsia="宋体" w:cs="Times New Roman"/>
        <w:sz w:val="28"/>
        <w:szCs w:val="28"/>
      </w:rPr>
      <w:fldChar w:fldCharType="end"/>
    </w:r>
    <w:r>
      <w:rPr>
        <w:rFonts w:hint="eastAsia" w:ascii="宋体" w:hAnsi="宋体" w:eastAsia="宋体" w:cs="Times New Roman"/>
        <w:sz w:val="28"/>
      </w:rPr>
      <w:t xml:space="preserve"> —</w:t>
    </w:r>
  </w:p>
  <w:p>
    <w:pPr>
      <w:tabs>
        <w:tab w:val="center" w:pos="4153"/>
        <w:tab w:val="right" w:pos="8306"/>
      </w:tabs>
      <w:snapToGrid w:val="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8BECD20-EA2E-4231-B398-EECE0AA85E0C}" w:val="WICy2fzV/1raisKME7L0N9JwTqA+OvoUpbgxe=YPFD4SZXhHc5Bt6QR3ujnmklGd8"/>
    <w:docVar w:name="commondata" w:val="eyJoZGlkIjoiM2MyNGFiYjA5YTEzM2QwNGRjZjVjZGVlNDZjNDEzMmYifQ=="/>
    <w:docVar w:name="DocumentID" w:val="{C3AA9ED1-654F-411B-87B7-D79B1C3BD3A6}"/>
  </w:docVars>
  <w:rsids>
    <w:rsidRoot w:val="0B2339D8"/>
    <w:rsid w:val="005B57CB"/>
    <w:rsid w:val="00875A8C"/>
    <w:rsid w:val="00933F07"/>
    <w:rsid w:val="00B62AF2"/>
    <w:rsid w:val="02126066"/>
    <w:rsid w:val="032724C5"/>
    <w:rsid w:val="033E1F62"/>
    <w:rsid w:val="03C64650"/>
    <w:rsid w:val="03D120AF"/>
    <w:rsid w:val="04697BE5"/>
    <w:rsid w:val="0482210D"/>
    <w:rsid w:val="05E934C2"/>
    <w:rsid w:val="09970BEC"/>
    <w:rsid w:val="0A1524CD"/>
    <w:rsid w:val="0A3E1750"/>
    <w:rsid w:val="0A62550D"/>
    <w:rsid w:val="0A9F251E"/>
    <w:rsid w:val="0ABD54CD"/>
    <w:rsid w:val="0B2339D8"/>
    <w:rsid w:val="0BBE75D5"/>
    <w:rsid w:val="0CC23199"/>
    <w:rsid w:val="0CF630C1"/>
    <w:rsid w:val="0D5F44D9"/>
    <w:rsid w:val="0E1419D5"/>
    <w:rsid w:val="0F2958F7"/>
    <w:rsid w:val="109C3E7E"/>
    <w:rsid w:val="11766588"/>
    <w:rsid w:val="117C655F"/>
    <w:rsid w:val="11AE7D2B"/>
    <w:rsid w:val="11D547A3"/>
    <w:rsid w:val="12BB7E59"/>
    <w:rsid w:val="13794265"/>
    <w:rsid w:val="13822816"/>
    <w:rsid w:val="13CF0CBB"/>
    <w:rsid w:val="148024A0"/>
    <w:rsid w:val="1492500C"/>
    <w:rsid w:val="15CA205A"/>
    <w:rsid w:val="16093FB6"/>
    <w:rsid w:val="171A7074"/>
    <w:rsid w:val="192553CB"/>
    <w:rsid w:val="1AC84C92"/>
    <w:rsid w:val="1B027D1A"/>
    <w:rsid w:val="1E757362"/>
    <w:rsid w:val="1E952C2C"/>
    <w:rsid w:val="1EA20892"/>
    <w:rsid w:val="1EB97816"/>
    <w:rsid w:val="1F3B1B5F"/>
    <w:rsid w:val="1F5B28E4"/>
    <w:rsid w:val="20591F10"/>
    <w:rsid w:val="22023DA6"/>
    <w:rsid w:val="22790B8B"/>
    <w:rsid w:val="23334268"/>
    <w:rsid w:val="23C039F6"/>
    <w:rsid w:val="24237BA6"/>
    <w:rsid w:val="2480392B"/>
    <w:rsid w:val="24B22F90"/>
    <w:rsid w:val="25F93A28"/>
    <w:rsid w:val="269E6E6D"/>
    <w:rsid w:val="276A7175"/>
    <w:rsid w:val="27A02F3E"/>
    <w:rsid w:val="27C460E5"/>
    <w:rsid w:val="28BF6885"/>
    <w:rsid w:val="28E85990"/>
    <w:rsid w:val="294A7FAB"/>
    <w:rsid w:val="2A183F30"/>
    <w:rsid w:val="2A680806"/>
    <w:rsid w:val="2B8F375C"/>
    <w:rsid w:val="2BB20001"/>
    <w:rsid w:val="2C8C3D4C"/>
    <w:rsid w:val="2C9416B3"/>
    <w:rsid w:val="2D000CB4"/>
    <w:rsid w:val="2DB1779A"/>
    <w:rsid w:val="2F4E690C"/>
    <w:rsid w:val="2FB951AF"/>
    <w:rsid w:val="30456075"/>
    <w:rsid w:val="31055E2A"/>
    <w:rsid w:val="31740D0A"/>
    <w:rsid w:val="333A69DB"/>
    <w:rsid w:val="33A79F1A"/>
    <w:rsid w:val="33DE1D3F"/>
    <w:rsid w:val="357B3AB1"/>
    <w:rsid w:val="35B01CD3"/>
    <w:rsid w:val="36D73558"/>
    <w:rsid w:val="37513B6C"/>
    <w:rsid w:val="385561F4"/>
    <w:rsid w:val="3980113F"/>
    <w:rsid w:val="3A646D91"/>
    <w:rsid w:val="3B484CF9"/>
    <w:rsid w:val="3B8400A3"/>
    <w:rsid w:val="3B962777"/>
    <w:rsid w:val="3D4F1D26"/>
    <w:rsid w:val="3D944009"/>
    <w:rsid w:val="3E8B1DB8"/>
    <w:rsid w:val="3E8C74FE"/>
    <w:rsid w:val="3F023231"/>
    <w:rsid w:val="3F1E7AFA"/>
    <w:rsid w:val="3F6935EF"/>
    <w:rsid w:val="40951D82"/>
    <w:rsid w:val="40E43FDA"/>
    <w:rsid w:val="429E3824"/>
    <w:rsid w:val="42D70ACD"/>
    <w:rsid w:val="436C0AAE"/>
    <w:rsid w:val="43A70BAF"/>
    <w:rsid w:val="44050D5F"/>
    <w:rsid w:val="44AB74EC"/>
    <w:rsid w:val="45D622C4"/>
    <w:rsid w:val="46615D65"/>
    <w:rsid w:val="481209F1"/>
    <w:rsid w:val="48DE6E3B"/>
    <w:rsid w:val="496A55CE"/>
    <w:rsid w:val="498020C2"/>
    <w:rsid w:val="4A9D3E59"/>
    <w:rsid w:val="4AE603C3"/>
    <w:rsid w:val="4BE8295D"/>
    <w:rsid w:val="4CAD7E44"/>
    <w:rsid w:val="4D994433"/>
    <w:rsid w:val="4EE37D8E"/>
    <w:rsid w:val="4F0F159B"/>
    <w:rsid w:val="4F6A7BD9"/>
    <w:rsid w:val="50386007"/>
    <w:rsid w:val="50A91DA8"/>
    <w:rsid w:val="51B360B7"/>
    <w:rsid w:val="51F6099B"/>
    <w:rsid w:val="54210FB7"/>
    <w:rsid w:val="54843528"/>
    <w:rsid w:val="57D531B8"/>
    <w:rsid w:val="58FD3BCC"/>
    <w:rsid w:val="5951265A"/>
    <w:rsid w:val="5A2E3EE0"/>
    <w:rsid w:val="5B070720"/>
    <w:rsid w:val="5B860DB6"/>
    <w:rsid w:val="5BB622D7"/>
    <w:rsid w:val="5BF7644F"/>
    <w:rsid w:val="5C593F6E"/>
    <w:rsid w:val="5CA66AA1"/>
    <w:rsid w:val="5D733C08"/>
    <w:rsid w:val="5E433B29"/>
    <w:rsid w:val="5E8446B6"/>
    <w:rsid w:val="5F034385"/>
    <w:rsid w:val="5FC06BDC"/>
    <w:rsid w:val="655B4B37"/>
    <w:rsid w:val="65BD10BF"/>
    <w:rsid w:val="66B728F2"/>
    <w:rsid w:val="6798174A"/>
    <w:rsid w:val="67A3767F"/>
    <w:rsid w:val="68231D95"/>
    <w:rsid w:val="682B66F0"/>
    <w:rsid w:val="68B612FB"/>
    <w:rsid w:val="69187931"/>
    <w:rsid w:val="692A2AC2"/>
    <w:rsid w:val="697F0366"/>
    <w:rsid w:val="6A8B4733"/>
    <w:rsid w:val="6C3B55DF"/>
    <w:rsid w:val="6C711BE6"/>
    <w:rsid w:val="6F36414A"/>
    <w:rsid w:val="702F4147"/>
    <w:rsid w:val="70334665"/>
    <w:rsid w:val="716B67CD"/>
    <w:rsid w:val="724E6E49"/>
    <w:rsid w:val="72E55E4A"/>
    <w:rsid w:val="73012361"/>
    <w:rsid w:val="73263AC3"/>
    <w:rsid w:val="733C02DF"/>
    <w:rsid w:val="739A4B33"/>
    <w:rsid w:val="74501897"/>
    <w:rsid w:val="74F576E6"/>
    <w:rsid w:val="75BB3DC8"/>
    <w:rsid w:val="76A72047"/>
    <w:rsid w:val="76C10067"/>
    <w:rsid w:val="76D91737"/>
    <w:rsid w:val="773855A4"/>
    <w:rsid w:val="786C6A7C"/>
    <w:rsid w:val="7B064EFC"/>
    <w:rsid w:val="7B1D7E47"/>
    <w:rsid w:val="7C393AE4"/>
    <w:rsid w:val="7CA47567"/>
    <w:rsid w:val="7D8C2F2A"/>
    <w:rsid w:val="7E926C44"/>
    <w:rsid w:val="8EEDF349"/>
    <w:rsid w:val="9ED360DC"/>
    <w:rsid w:val="BB8D4A06"/>
    <w:rsid w:val="BFFED178"/>
    <w:rsid w:val="EFFFE1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next w:val="1"/>
    <w:qFormat/>
    <w:uiPriority w:val="0"/>
    <w:pPr>
      <w:ind w:firstLine="420"/>
    </w:pPr>
    <w:rPr>
      <w:rFonts w:ascii="仿宋_GB2312"/>
      <w:spacing w:val="4"/>
      <w:kern w:val="18"/>
      <w:szCs w:val="28"/>
    </w:rPr>
  </w:style>
  <w:style w:type="paragraph" w:styleId="4">
    <w:name w:val="annotation text"/>
    <w:basedOn w:val="1"/>
    <w:qFormat/>
    <w:uiPriority w:val="0"/>
    <w:pPr>
      <w:jc w:val="left"/>
    </w:pPr>
  </w:style>
  <w:style w:type="paragraph" w:styleId="5">
    <w:name w:val="Body Text"/>
    <w:basedOn w:val="1"/>
    <w:qFormat/>
    <w:uiPriority w:val="0"/>
    <w:rPr>
      <w:sz w:val="32"/>
    </w:rPr>
  </w:style>
  <w:style w:type="paragraph" w:styleId="6">
    <w:name w:val="Body Text Indent"/>
    <w:basedOn w:val="1"/>
    <w:next w:val="1"/>
    <w:qFormat/>
    <w:uiPriority w:val="0"/>
    <w:pPr>
      <w:spacing w:after="120"/>
      <w:ind w:left="420" w:leftChars="200"/>
    </w:pPr>
  </w:style>
  <w:style w:type="paragraph" w:styleId="7">
    <w:name w:val="Body Text Indent 2"/>
    <w:basedOn w:val="1"/>
    <w:qFormat/>
    <w:uiPriority w:val="0"/>
    <w:pPr>
      <w:spacing w:after="120" w:afterLines="0" w:line="480" w:lineRule="auto"/>
      <w:ind w:left="420" w:leftChars="200"/>
    </w:p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next w:val="1"/>
    <w:qFormat/>
    <w:uiPriority w:val="0"/>
    <w:pPr>
      <w:ind w:firstLine="420" w:firstLineChars="100"/>
    </w:pPr>
  </w:style>
  <w:style w:type="paragraph" w:styleId="11">
    <w:name w:val="Body Text First Indent 2"/>
    <w:basedOn w:val="6"/>
    <w:next w:val="10"/>
    <w:qFormat/>
    <w:uiPriority w:val="0"/>
    <w:pPr>
      <w:adjustRightInd w:val="0"/>
      <w:spacing w:line="360" w:lineRule="auto"/>
      <w:ind w:firstLine="420" w:firstLineChars="200"/>
      <w:jc w:val="left"/>
    </w:pPr>
    <w:rPr>
      <w:rFonts w:ascii="仿宋_GB2312" w:eastAsia="仿宋_GB2312"/>
      <w:spacing w:val="4"/>
      <w:kern w:val="18"/>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Default"/>
    <w:basedOn w:val="16"/>
    <w:next w:val="11"/>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customStyle="1" w:styleId="16">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7">
    <w:name w:val="xl27"/>
    <w:basedOn w:val="1"/>
    <w:qFormat/>
    <w:uiPriority w:val="0"/>
    <w:pPr>
      <w:widowControl/>
      <w:pBdr>
        <w:bottom w:val="single" w:color="auto" w:sz="12" w:space="0"/>
      </w:pBdr>
      <w:spacing w:before="100" w:after="100"/>
      <w:ind w:firstLine="839"/>
      <w:jc w:val="center"/>
    </w:pPr>
    <w:rPr>
      <w:rFonts w:ascii="宋体" w:hAnsi="宋体"/>
      <w:szCs w:val="20"/>
    </w:rPr>
  </w:style>
  <w:style w:type="paragraph" w:customStyle="1" w:styleId="18">
    <w:name w:val="Default1"/>
    <w:basedOn w:val="19"/>
    <w:next w:val="1"/>
    <w:qFormat/>
    <w:uiPriority w:val="0"/>
    <w:pPr>
      <w:widowControl w:val="0"/>
      <w:autoSpaceDE w:val="0"/>
      <w:autoSpaceDN w:val="0"/>
      <w:adjustRightInd w:val="0"/>
    </w:pPr>
    <w:rPr>
      <w:rFonts w:ascii="宋体" w:cs="宋体"/>
      <w:color w:val="000000"/>
      <w:sz w:val="24"/>
      <w:szCs w:val="24"/>
      <w:lang w:val="en-US" w:eastAsia="zh-CN"/>
    </w:rPr>
  </w:style>
  <w:style w:type="paragraph" w:customStyle="1" w:styleId="19">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0">
    <w:name w:val="A正文"/>
    <w:basedOn w:val="1"/>
    <w:qFormat/>
    <w:uiPriority w:val="0"/>
    <w:pPr>
      <w:snapToGrid w:val="0"/>
      <w:ind w:firstLine="480"/>
    </w:pPr>
    <w:rPr>
      <w:rFonts w:ascii="Times New Roman"/>
      <w:szCs w:val="21"/>
      <w:lang w:val="zh-CN"/>
    </w:rPr>
  </w:style>
  <w:style w:type="character" w:customStyle="1" w:styleId="21">
    <w:name w:val="页眉 Char"/>
    <w:basedOn w:val="14"/>
    <w:link w:val="9"/>
    <w:qFormat/>
    <w:uiPriority w:val="0"/>
    <w:rPr>
      <w:rFonts w:asciiTheme="minorHAnsi" w:hAnsiTheme="minorHAnsi" w:eastAsiaTheme="minorEastAsia" w:cstheme="minorBidi"/>
      <w:kern w:val="2"/>
      <w:sz w:val="18"/>
      <w:szCs w:val="18"/>
    </w:rPr>
  </w:style>
  <w:style w:type="character" w:customStyle="1" w:styleId="22">
    <w:name w:val="页脚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Pages>
  <Words>2570</Words>
  <Characters>319</Characters>
  <Lines>2</Lines>
  <Paragraphs>5</Paragraphs>
  <TotalTime>3</TotalTime>
  <ScaleCrop>false</ScaleCrop>
  <LinksUpToDate>false</LinksUpToDate>
  <CharactersWithSpaces>2884</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2024-12-27T07:28:00Z</dcterms:created>
  <dc:creator>admin</dc:creator>
  <cp:lastModifiedBy>一个合格的喝水人</cp:lastModifiedBy>
  <cp:lastPrinted>2025-04-03T02:05:00Z</cp:lastPrinted>
  <dcterms:modified xsi:type="dcterms:W3CDTF">2026-06-03T08:41:45Z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8797EFD5E77D30F58A251E6A6008829B_43</vt:lpwstr>
  </property>
</Properties>
</file>