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cs="仿宋"/>
          <w:b w:val="0"/>
          <w:bCs w:val="0"/>
          <w:sz w:val="44"/>
          <w:szCs w:val="44"/>
        </w:rPr>
      </w:pPr>
      <w:r>
        <w:rPr>
          <w:rFonts w:hint="eastAsia" w:ascii="方正小标宋简体" w:hAnsi="仿宋" w:eastAsia="方正小标宋简体" w:cs="仿宋"/>
          <w:b w:val="0"/>
          <w:bCs w:val="0"/>
          <w:sz w:val="44"/>
          <w:szCs w:val="44"/>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上犹县锦寓建材有限公司碎石加工建设项目</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环境影响报告表</w:t>
      </w:r>
      <w:r>
        <w:rPr>
          <w:rFonts w:hint="eastAsia" w:ascii="方正小标宋简体" w:hAnsi="仿宋" w:eastAsia="方正小标宋简体" w:cs="仿宋"/>
          <w:b w:val="0"/>
          <w:bCs w:val="0"/>
          <w:sz w:val="44"/>
          <w:szCs w:val="44"/>
        </w:rPr>
        <w:t>的批复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上犹县锦寓建材有限公司</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上犹县锦寓建材有限公司碎石加工建设项目</w:t>
      </w:r>
      <w:r>
        <w:rPr>
          <w:rFonts w:hint="eastAsia" w:ascii="仿宋_GB2312" w:hAnsi="仿宋_GB2312" w:eastAsia="仿宋_GB2312" w:cs="仿宋_GB2312"/>
          <w:kern w:val="0"/>
          <w:sz w:val="32"/>
          <w:szCs w:val="32"/>
        </w:rPr>
        <w:t>环境影响报告表》环评文件及审查申请等有关文件收悉，环</w:t>
      </w:r>
      <w:r>
        <w:rPr>
          <w:rFonts w:hint="eastAsia" w:ascii="仿宋_GB2312" w:hAnsi="仿宋_GB2312" w:eastAsia="仿宋_GB2312" w:cs="仿宋_GB2312"/>
          <w:sz w:val="32"/>
          <w:szCs w:val="32"/>
        </w:rPr>
        <w:t>境影响报告表由</w:t>
      </w:r>
      <w:r>
        <w:rPr>
          <w:rFonts w:hint="eastAsia" w:ascii="仿宋_GB2312" w:hAnsi="仿宋_GB2312" w:eastAsia="仿宋_GB2312" w:cs="仿宋_GB2312"/>
          <w:sz w:val="32"/>
          <w:szCs w:val="32"/>
          <w:lang w:val="en-US" w:eastAsia="zh-CN"/>
        </w:rPr>
        <w:t>江西强盛环保科技有限公司</w:t>
      </w:r>
      <w:r>
        <w:rPr>
          <w:rFonts w:hint="eastAsia" w:ascii="仿宋_GB2312" w:hAnsi="仿宋_GB2312" w:eastAsia="仿宋_GB2312" w:cs="仿宋_GB2312"/>
          <w:sz w:val="32"/>
          <w:szCs w:val="32"/>
        </w:rPr>
        <w:t>编制。</w:t>
      </w:r>
      <w:r>
        <w:rPr>
          <w:rFonts w:hint="eastAsia" w:ascii="仿宋_GB2312" w:hAnsi="仿宋_GB2312" w:eastAsia="仿宋_GB2312" w:cs="仿宋_GB2312"/>
          <w:kern w:val="0"/>
          <w:sz w:val="32"/>
          <w:szCs w:val="32"/>
        </w:rPr>
        <w:t>根据技术评估会专家组意见及技术评估公司的评估意见，经研究，批</w:t>
      </w:r>
      <w:r>
        <w:rPr>
          <w:rFonts w:hint="eastAsia" w:ascii="仿宋_GB2312" w:hAnsi="仿宋_GB2312" w:eastAsia="仿宋_GB2312" w:cs="仿宋_GB2312"/>
          <w:sz w:val="32"/>
          <w:szCs w:val="32"/>
        </w:rPr>
        <w:t>复如下：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一、项目概况及批复意见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上犹县锦寓建材有限公司碎石加工建设项目（项目代码：2512-360724-04-01-232859）为上犹县锦寓建材有限公司新建项目，行业类别为其他建筑材料制造、固体废物治理，</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位于江西省赣州市上犹县梅水乡窑下村山排岭组龙潭子，厂址中心地理坐标：</w:t>
      </w:r>
      <w:r>
        <w:rPr>
          <w:rFonts w:hint="eastAsia" w:ascii="仿宋_GB2312" w:hAnsi="仿宋_GB2312" w:eastAsia="仿宋_GB2312" w:cs="仿宋_GB2312"/>
          <w:sz w:val="32"/>
          <w:szCs w:val="32"/>
          <w:lang w:val="en-US" w:eastAsia="zh-CN"/>
        </w:rPr>
        <w:t>东经 114°24′16.110″，25°52′39.863″</w:t>
      </w:r>
      <w:r>
        <w:rPr>
          <w:rFonts w:hint="default" w:ascii="仿宋_GB2312" w:hAnsi="仿宋_GB2312" w:eastAsia="仿宋_GB2312" w:cs="仿宋_GB2312"/>
          <w:sz w:val="32"/>
          <w:szCs w:val="32"/>
          <w:lang w:val="en-US" w:eastAsia="zh-CN"/>
        </w:rPr>
        <w:t>，用地面积13333.33m</w:t>
      </w:r>
      <w:r>
        <w:rPr>
          <w:rFonts w:hint="default" w:ascii="仿宋_GB2312" w:hAnsi="仿宋_GB2312" w:eastAsia="仿宋_GB2312" w:cs="仿宋_GB2312"/>
          <w:sz w:val="32"/>
          <w:szCs w:val="32"/>
          <w:vertAlign w:val="superscript"/>
          <w:lang w:val="en-US" w:eastAsia="zh-CN"/>
        </w:rPr>
        <w:t>2</w:t>
      </w:r>
      <w:r>
        <w:rPr>
          <w:rFonts w:hint="default" w:ascii="仿宋_GB2312" w:hAnsi="仿宋_GB2312" w:eastAsia="仿宋_GB2312" w:cs="仿宋_GB2312"/>
          <w:sz w:val="32"/>
          <w:szCs w:val="32"/>
          <w:lang w:val="en-US" w:eastAsia="zh-CN"/>
        </w:rPr>
        <w:t>（20亩），总投资520万元，其中环保投资32万元，占总投资的6.15%，项目建成后年产30万吨碎石。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该项目租赁上犹县梅水乡人民政府所属土地进行建设，建设内容包括生产区、原料堆场、产品堆场、机制石屑堆场等，</w:t>
      </w:r>
      <w:r>
        <w:rPr>
          <w:rFonts w:hint="default" w:ascii="仿宋_GB2312" w:hAnsi="仿宋_GB2312" w:eastAsia="仿宋_GB2312" w:cs="仿宋_GB2312"/>
          <w:sz w:val="32"/>
          <w:szCs w:val="32"/>
          <w:lang w:val="en-US" w:eastAsia="zh-CN"/>
        </w:rPr>
        <w:t>并配套建设</w:t>
      </w:r>
      <w:r>
        <w:rPr>
          <w:rFonts w:hint="eastAsia" w:ascii="仿宋_GB2312" w:hAnsi="仿宋_GB2312" w:eastAsia="仿宋_GB2312" w:cs="仿宋_GB2312"/>
          <w:sz w:val="32"/>
          <w:szCs w:val="32"/>
          <w:lang w:val="en-US" w:eastAsia="zh-CN"/>
        </w:rPr>
        <w:t>截排水沟、初期雨水池、沉淀池、危废间</w:t>
      </w:r>
      <w:r>
        <w:rPr>
          <w:rFonts w:hint="default" w:ascii="仿宋_GB2312" w:hAnsi="仿宋_GB2312" w:eastAsia="仿宋_GB2312" w:cs="仿宋_GB2312"/>
          <w:sz w:val="32"/>
          <w:szCs w:val="32"/>
          <w:lang w:val="en-US" w:eastAsia="zh-CN"/>
        </w:rPr>
        <w:t>等环保工程。</w:t>
      </w:r>
      <w:r>
        <w:rPr>
          <w:rFonts w:hint="eastAsia" w:ascii="仿宋_GB2312" w:hAnsi="仿宋_GB2312" w:eastAsia="仿宋_GB2312" w:cs="仿宋_GB2312"/>
          <w:sz w:val="32"/>
          <w:szCs w:val="32"/>
          <w:lang w:val="en-US" w:eastAsia="zh-CN"/>
        </w:rPr>
        <w:t>配套购置颚破机、圆锥机、振动筛等生产设备，以石块、石渣为主要原辅料开展生产作业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你公司应在项目建设及运营过程中，严格落实环境影响报告表提出的各项生态环境保护措施。我局原则上同意环境影响报告表所列建设项目的性质、规模、地点、工艺和环境保护对策措施。</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二、项目运营管理中应重点做好以下工作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项目在工程设计、建设和运行过程中应认真落实环境影响报告表提出的各项环境保护措施和要求。重点做好以下工作：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（一）严格落实环境影响报告表要求。</w:t>
      </w:r>
      <w:r>
        <w:rPr>
          <w:rFonts w:hint="eastAsia" w:ascii="仿宋_GB2312" w:hAnsi="仿宋_GB2312" w:eastAsia="仿宋_GB2312" w:cs="仿宋_GB2312"/>
          <w:sz w:val="32"/>
          <w:szCs w:val="32"/>
          <w:lang w:val="en-US" w:eastAsia="zh-CN"/>
        </w:rPr>
        <w:t>做好施工期和运营期的各项污染防治工作，确保各类污染物达标排放及妥善处置。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（二）严格落实大气环境保护措施</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kern w:val="0"/>
          <w:sz w:val="32"/>
          <w:szCs w:val="32"/>
          <w:lang w:val="en-US" w:eastAsia="zh-CN" w:bidi="ar"/>
        </w:rPr>
        <w:t>项目营运期产生的大气污染物主要为生产、堆场及运输环节产生的颗粒物，通过无组织排放，厂界无组织废气排放严格执行《大气污染物综合排放标准》（GB16297-1996）无组织排放监控浓度限值要求。原料及碎石产品堆放采用防尘绿网覆盖抑尘，并设置喷雾降尘措施；机制石屑堆场采用密目防尘绿网覆盖抑尘，并设置喷雾降尘措施。生产区进料口设置顶部围挡+喷雾降尘，输送带采取顶部加盖+喷雾降尘，破碎筛分工段采取封闭结构围挡+喷雾方式降尘。原料及产品装卸扬尘、厂区道路采取喷雾方式降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（三）严格落实各项水污染防治措施。</w:t>
      </w:r>
      <w:r>
        <w:rPr>
          <w:rFonts w:hint="default" w:ascii="仿宋_GB2312" w:hAnsi="仿宋_GB2312" w:eastAsia="仿宋_GB2312" w:cs="仿宋_GB2312"/>
          <w:color w:val="auto"/>
          <w:kern w:val="0"/>
          <w:sz w:val="32"/>
          <w:szCs w:val="32"/>
          <w:lang w:val="en-US" w:eastAsia="zh-CN" w:bidi="ar"/>
        </w:rPr>
        <w:t>项目严格落实雨污分流。</w:t>
      </w:r>
      <w:r>
        <w:rPr>
          <w:rFonts w:hint="eastAsia" w:ascii="仿宋_GB2312" w:hAnsi="仿宋_GB2312" w:eastAsia="仿宋_GB2312" w:cs="仿宋_GB2312"/>
          <w:color w:val="auto"/>
          <w:kern w:val="0"/>
          <w:sz w:val="32"/>
          <w:szCs w:val="32"/>
          <w:lang w:val="en-US" w:eastAsia="zh-CN" w:bidi="ar"/>
        </w:rPr>
        <w:t>车辆冲洗废水、初期雨水经过沉淀池、初期雨水池收集处理后回用；生活污水经化粪池处理后，水质要满足《农田灌溉水质标准》（GB 5084—2021）表1旱地作物水质限值，用于旱地灌溉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（四）严格落实声环境保护措施。</w:t>
      </w:r>
      <w:r>
        <w:rPr>
          <w:rFonts w:hint="default" w:ascii="仿宋_GB2312" w:hAnsi="仿宋_GB2312" w:eastAsia="仿宋_GB2312" w:cs="仿宋_GB2312"/>
          <w:color w:val="auto"/>
          <w:kern w:val="0"/>
          <w:sz w:val="32"/>
          <w:szCs w:val="32"/>
          <w:lang w:val="en-US" w:eastAsia="zh-CN" w:bidi="ar"/>
        </w:rPr>
        <w:t>项目噪声主要来源于颚式破碎机、圆锥破、振动筛等机械设备，通过选用低强度噪声设备，对主要噪声设备采取隔声、减振等措施</w:t>
      </w:r>
      <w:r>
        <w:rPr>
          <w:rFonts w:hint="eastAsia" w:ascii="仿宋_GB2312" w:hAnsi="仿宋_GB2312" w:eastAsia="仿宋_GB2312" w:cs="仿宋_GB2312"/>
          <w:color w:val="auto"/>
          <w:kern w:val="0"/>
          <w:sz w:val="32"/>
          <w:szCs w:val="32"/>
          <w:lang w:val="en-US" w:eastAsia="zh-CN" w:bidi="ar"/>
        </w:rPr>
        <w:t>后</w:t>
      </w:r>
      <w:r>
        <w:rPr>
          <w:rFonts w:hint="default" w:ascii="仿宋_GB2312" w:hAnsi="仿宋_GB2312" w:eastAsia="仿宋_GB2312" w:cs="仿宋_GB2312"/>
          <w:color w:val="auto"/>
          <w:kern w:val="0"/>
          <w:sz w:val="32"/>
          <w:szCs w:val="32"/>
          <w:lang w:val="en-US" w:eastAsia="zh-CN" w:bidi="ar"/>
        </w:rPr>
        <w:t>，厂界</w:t>
      </w:r>
      <w:r>
        <w:rPr>
          <w:rFonts w:hint="eastAsia" w:ascii="仿宋_GB2312" w:hAnsi="仿宋_GB2312" w:eastAsia="仿宋_GB2312" w:cs="仿宋_GB2312"/>
          <w:color w:val="auto"/>
          <w:kern w:val="0"/>
          <w:sz w:val="32"/>
          <w:szCs w:val="32"/>
          <w:lang w:val="en-US" w:eastAsia="zh-CN" w:bidi="ar"/>
        </w:rPr>
        <w:t>四周</w:t>
      </w:r>
      <w:r>
        <w:rPr>
          <w:rFonts w:hint="default" w:ascii="仿宋_GB2312" w:hAnsi="仿宋_GB2312" w:eastAsia="仿宋_GB2312" w:cs="仿宋_GB2312"/>
          <w:color w:val="auto"/>
          <w:kern w:val="0"/>
          <w:sz w:val="32"/>
          <w:szCs w:val="32"/>
          <w:lang w:val="en-US" w:eastAsia="zh-CN" w:bidi="ar"/>
        </w:rPr>
        <w:t>噪声满足《工业企业厂界环境噪声排放标准》（GB12348-2008）</w:t>
      </w: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类标准要求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（五）严格落实固体废物污染防治措施。</w:t>
      </w:r>
      <w:r>
        <w:rPr>
          <w:rFonts w:hint="eastAsia" w:ascii="仿宋_GB2312" w:hAnsi="仿宋_GB2312" w:eastAsia="仿宋_GB2312" w:cs="仿宋_GB2312"/>
          <w:b w:val="0"/>
          <w:bCs w:val="0"/>
          <w:color w:val="auto"/>
          <w:sz w:val="32"/>
          <w:szCs w:val="32"/>
          <w:lang w:eastAsia="zh-CN"/>
        </w:rPr>
        <w:t>拟建设危险废物暂存间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rPr>
        <w:t>占地面积为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rPr>
        <w:t>m</w:t>
      </w:r>
      <w:r>
        <w:rPr>
          <w:rFonts w:hint="eastAsia" w:ascii="仿宋_GB2312" w:hAnsi="仿宋_GB2312" w:eastAsia="仿宋_GB2312" w:cs="仿宋_GB2312"/>
          <w:color w:val="auto"/>
          <w:sz w:val="32"/>
          <w:szCs w:val="32"/>
          <w:vertAlign w:val="superscript"/>
          <w:lang w:val="en-US"/>
        </w:rPr>
        <w:t>2</w:t>
      </w:r>
      <w:r>
        <w:rPr>
          <w:rFonts w:hint="eastAsia" w:ascii="仿宋_GB2312" w:hAnsi="仿宋_GB2312" w:eastAsia="仿宋_GB2312" w:cs="仿宋_GB2312"/>
          <w:color w:val="auto"/>
          <w:sz w:val="32"/>
          <w:szCs w:val="32"/>
          <w:vertAlign w:val="baseline"/>
          <w:lang w:val="en-US" w:eastAsia="zh-CN"/>
        </w:rPr>
        <w:t>（有效容积4m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kern w:val="0"/>
          <w:sz w:val="32"/>
          <w:szCs w:val="32"/>
          <w:lang w:val="en-US" w:eastAsia="zh-CN" w:bidi="ar"/>
        </w:rPr>
        <w:t>。危废暂存间严格按《危险废物贮存污染控制标准》（GB18597-2023）中的贮存设施设计原则、危</w:t>
      </w:r>
      <w:r>
        <w:rPr>
          <w:rFonts w:hint="eastAsia" w:ascii="仿宋_GB2312" w:hAnsi="仿宋_GB2312" w:eastAsia="仿宋_GB2312" w:cs="仿宋_GB2312"/>
          <w:b w:val="0"/>
          <w:bCs w:val="0"/>
          <w:color w:val="auto"/>
          <w:sz w:val="32"/>
          <w:szCs w:val="32"/>
          <w:lang w:val="en-US" w:eastAsia="zh-CN"/>
        </w:rPr>
        <w:t>废堆放规范等相关要求进行设计、建造和管理</w:t>
      </w:r>
      <w:r>
        <w:rPr>
          <w:rFonts w:hint="eastAsia" w:ascii="仿宋_GB2312" w:hAnsi="仿宋_GB2312" w:eastAsia="仿宋_GB2312" w:cs="仿宋_GB2312"/>
          <w:b w:val="0"/>
          <w:bCs w:val="0"/>
          <w:color w:val="auto"/>
          <w:sz w:val="32"/>
          <w:szCs w:val="32"/>
          <w:lang w:val="en-GB" w:eastAsia="zh-CN"/>
        </w:rPr>
        <w:t>。</w:t>
      </w:r>
      <w:r>
        <w:rPr>
          <w:rFonts w:hint="eastAsia" w:ascii="仿宋_GB2312" w:hAnsi="仿宋_GB2312" w:eastAsia="仿宋_GB2312" w:cs="仿宋_GB2312"/>
          <w:b w:val="0"/>
          <w:bCs w:val="0"/>
          <w:color w:val="auto"/>
          <w:sz w:val="32"/>
          <w:szCs w:val="32"/>
          <w:lang w:val="en-US" w:eastAsia="zh-CN"/>
        </w:rPr>
        <w:t>项目产生的废机油、废机油桶、废含油抹布、手套贮存于危废暂存间，使用专用容器盛装，定期交由有资质的单位进行处置</w:t>
      </w:r>
      <w:r>
        <w:rPr>
          <w:rFonts w:hint="eastAsia" w:ascii="仿宋_GB2312" w:hAnsi="仿宋_GB2312" w:eastAsia="仿宋_GB2312" w:cs="仿宋_GB2312"/>
          <w:b w:val="0"/>
          <w:bCs w:val="0"/>
          <w:color w:val="auto"/>
          <w:sz w:val="32"/>
          <w:szCs w:val="32"/>
          <w:lang w:eastAsia="zh-CN"/>
        </w:rPr>
        <w:t>。</w:t>
      </w:r>
      <w:r>
        <w:rPr>
          <w:rFonts w:hint="default" w:ascii="仿宋_GB2312" w:hAnsi="仿宋_GB2312" w:eastAsia="仿宋_GB2312" w:cs="仿宋_GB2312"/>
          <w:b w:val="0"/>
          <w:bCs w:val="0"/>
          <w:color w:val="auto"/>
          <w:sz w:val="32"/>
          <w:szCs w:val="32"/>
          <w:lang w:val="en-US" w:eastAsia="zh-CN"/>
        </w:rPr>
        <w:t>生活垃圾分类收集后交由环卫部门清运处理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_GB2312" w:hAnsi="仿宋_GB2312" w:eastAsia="仿宋_GB2312" w:cs="仿宋_GB2312"/>
          <w:b w:val="0"/>
          <w:bCs w:val="0"/>
          <w:color w:val="C00000"/>
          <w:sz w:val="32"/>
          <w:szCs w:val="32"/>
          <w:lang w:val="en-US" w:eastAsia="zh-CN"/>
        </w:rPr>
      </w:pPr>
      <w:r>
        <w:rPr>
          <w:rFonts w:hint="eastAsia" w:ascii="仿宋_GB2312" w:hAnsi="仿宋_GB2312" w:eastAsia="仿宋_GB2312" w:cs="仿宋_GB2312"/>
          <w:b/>
          <w:bCs/>
          <w:sz w:val="32"/>
          <w:szCs w:val="32"/>
        </w:rPr>
        <w:t>（六）严格落实地下水、土壤污染防治措施。</w:t>
      </w:r>
      <w:r>
        <w:rPr>
          <w:rFonts w:hint="eastAsia" w:ascii="仿宋_GB2312" w:hAnsi="仿宋_GB2312" w:eastAsia="仿宋_GB2312" w:cs="仿宋_GB2312"/>
          <w:b w:val="0"/>
          <w:bCs w:val="0"/>
          <w:color w:val="auto"/>
          <w:kern w:val="0"/>
          <w:sz w:val="32"/>
          <w:szCs w:val="32"/>
          <w:lang w:val="en-US" w:eastAsia="zh-CN" w:bidi="ar"/>
        </w:rPr>
        <w:t>做好</w:t>
      </w:r>
      <w:r>
        <w:rPr>
          <w:rFonts w:hint="eastAsia" w:ascii="仿宋_GB2312" w:hAnsi="仿宋_GB2312" w:eastAsia="仿宋_GB2312" w:cs="仿宋_GB2312"/>
          <w:b w:val="0"/>
          <w:bCs w:val="0"/>
          <w:color w:val="auto"/>
          <w:sz w:val="32"/>
          <w:szCs w:val="32"/>
          <w:lang w:val="en-US" w:eastAsia="zh-CN"/>
        </w:rPr>
        <w:t>源头控制。</w:t>
      </w:r>
      <w:r>
        <w:rPr>
          <w:rFonts w:hint="eastAsia" w:ascii="仿宋_GB2312" w:hAnsi="仿宋_GB2312" w:eastAsia="仿宋_GB2312" w:cs="仿宋_GB2312"/>
          <w:b w:val="0"/>
          <w:bCs w:val="0"/>
          <w:color w:val="auto"/>
          <w:sz w:val="32"/>
          <w:szCs w:val="32"/>
          <w:lang w:val="zh-CN" w:eastAsia="zh-CN"/>
        </w:rPr>
        <w:t>选择先进、成熟的工艺技术、装备和较清洁的原辅材料，从源头上减少污染物的产生，严格按照国家相关规范要求，对处理工艺、设备、污水储存及处理构筑物</w:t>
      </w:r>
      <w:r>
        <w:rPr>
          <w:rFonts w:hint="eastAsia" w:ascii="仿宋_GB2312" w:hAnsi="仿宋_GB2312" w:eastAsia="仿宋_GB2312" w:cs="仿宋_GB2312"/>
          <w:b w:val="0"/>
          <w:bCs w:val="0"/>
          <w:color w:val="auto"/>
          <w:sz w:val="32"/>
          <w:szCs w:val="32"/>
          <w:lang w:val="en-US" w:eastAsia="zh-CN"/>
        </w:rPr>
        <w:t>/设备</w:t>
      </w:r>
      <w:r>
        <w:rPr>
          <w:rFonts w:hint="eastAsia" w:ascii="仿宋_GB2312" w:hAnsi="仿宋_GB2312" w:eastAsia="仿宋_GB2312" w:cs="仿宋_GB2312"/>
          <w:b w:val="0"/>
          <w:bCs w:val="0"/>
          <w:color w:val="auto"/>
          <w:sz w:val="32"/>
          <w:szCs w:val="32"/>
          <w:lang w:val="zh-CN" w:eastAsia="zh-CN"/>
        </w:rPr>
        <w:t>采取相应的防护措施，防止和降低</w:t>
      </w:r>
      <w:r>
        <w:rPr>
          <w:rFonts w:hint="eastAsia" w:ascii="仿宋_GB2312" w:hAnsi="仿宋_GB2312" w:eastAsia="仿宋_GB2312" w:cs="仿宋_GB2312"/>
          <w:b w:val="0"/>
          <w:bCs w:val="0"/>
          <w:color w:val="auto"/>
          <w:sz w:val="32"/>
          <w:szCs w:val="32"/>
          <w:lang w:val="en-US" w:eastAsia="zh-CN"/>
        </w:rPr>
        <w:t>废水</w:t>
      </w:r>
      <w:r>
        <w:rPr>
          <w:rFonts w:hint="eastAsia" w:ascii="仿宋_GB2312" w:hAnsi="仿宋_GB2312" w:eastAsia="仿宋_GB2312" w:cs="仿宋_GB2312"/>
          <w:b w:val="0"/>
          <w:bCs w:val="0"/>
          <w:color w:val="auto"/>
          <w:sz w:val="32"/>
          <w:szCs w:val="32"/>
          <w:lang w:val="zh-CN" w:eastAsia="zh-CN"/>
        </w:rPr>
        <w:t>污染物的跑、冒、滴、漏，降低物料泄漏的环境风险</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
        </w:rPr>
        <w:t>做好分区管控。</w:t>
      </w:r>
      <w:r>
        <w:rPr>
          <w:rFonts w:hint="eastAsia" w:ascii="仿宋_GB2312" w:hAnsi="仿宋_GB2312" w:eastAsia="仿宋_GB2312" w:cs="仿宋_GB2312"/>
          <w:b w:val="0"/>
          <w:bCs w:val="0"/>
          <w:color w:val="auto"/>
          <w:sz w:val="32"/>
          <w:szCs w:val="32"/>
          <w:lang w:val="en-US" w:eastAsia="zh-CN"/>
        </w:rPr>
        <w:t>危废暂存间</w:t>
      </w:r>
      <w:r>
        <w:rPr>
          <w:rFonts w:hint="eastAsia" w:ascii="仿宋_GB2312" w:hAnsi="仿宋_GB2312" w:eastAsia="仿宋_GB2312" w:cs="仿宋_GB2312"/>
          <w:b w:val="0"/>
          <w:bCs w:val="0"/>
          <w:color w:val="auto"/>
          <w:sz w:val="32"/>
          <w:szCs w:val="32"/>
          <w:lang w:val="zh-CN" w:eastAsia="zh-CN"/>
        </w:rPr>
        <w:t>为重点防渗区，重点防渗区要满足防渗层渗透系数</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10</w:t>
      </w:r>
      <w:r>
        <w:rPr>
          <w:rFonts w:hint="eastAsia" w:ascii="仿宋_GB2312" w:hAnsi="仿宋_GB2312" w:eastAsia="仿宋_GB2312" w:cs="仿宋_GB2312"/>
          <w:b w:val="0"/>
          <w:bCs w:val="0"/>
          <w:color w:val="auto"/>
          <w:sz w:val="32"/>
          <w:szCs w:val="32"/>
          <w:highlight w:val="none"/>
          <w:vertAlign w:val="superscript"/>
          <w:lang w:val="zh-CN" w:eastAsia="zh-CN"/>
        </w:rPr>
        <w:t>-</w:t>
      </w:r>
      <w:r>
        <w:rPr>
          <w:rFonts w:hint="eastAsia" w:ascii="仿宋_GB2312" w:hAnsi="仿宋_GB2312" w:eastAsia="仿宋_GB2312" w:cs="仿宋_GB2312"/>
          <w:b w:val="0"/>
          <w:bCs w:val="0"/>
          <w:color w:val="auto"/>
          <w:sz w:val="32"/>
          <w:szCs w:val="32"/>
          <w:vertAlign w:val="superscript"/>
          <w:lang w:val="zh-CN" w:eastAsia="zh-CN"/>
        </w:rPr>
        <w:t>7</w:t>
      </w:r>
      <w:r>
        <w:rPr>
          <w:rFonts w:hint="eastAsia" w:ascii="仿宋_GB2312" w:hAnsi="仿宋_GB2312" w:eastAsia="仿宋_GB2312" w:cs="仿宋_GB2312"/>
          <w:b w:val="0"/>
          <w:bCs w:val="0"/>
          <w:color w:val="auto"/>
          <w:sz w:val="32"/>
          <w:szCs w:val="32"/>
          <w:lang w:val="zh-CN" w:eastAsia="zh-CN"/>
        </w:rPr>
        <w:t>cm/s，等效黏土防渗层Mb</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6.0m；</w:t>
      </w:r>
      <w:r>
        <w:rPr>
          <w:rFonts w:hint="eastAsia" w:ascii="仿宋_GB2312" w:hAnsi="仿宋_GB2312" w:eastAsia="仿宋_GB2312" w:cs="仿宋_GB2312"/>
          <w:b w:val="0"/>
          <w:bCs w:val="0"/>
          <w:color w:val="auto"/>
          <w:sz w:val="32"/>
          <w:szCs w:val="32"/>
          <w:lang w:val="en-US" w:eastAsia="zh-CN"/>
        </w:rPr>
        <w:t>沉淀池、初期雨水池</w:t>
      </w:r>
      <w:r>
        <w:rPr>
          <w:rFonts w:hint="eastAsia" w:ascii="仿宋_GB2312" w:hAnsi="仿宋_GB2312" w:eastAsia="仿宋_GB2312" w:cs="仿宋_GB2312"/>
          <w:b w:val="0"/>
          <w:bCs w:val="0"/>
          <w:color w:val="auto"/>
          <w:sz w:val="32"/>
          <w:szCs w:val="32"/>
          <w:lang w:val="zh-CN" w:eastAsia="zh-CN"/>
        </w:rPr>
        <w:t>等为一般防渗区，一般防渗区各单元防渗层渗透系数</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10</w:t>
      </w:r>
      <w:bookmarkStart w:id="0" w:name="_GoBack"/>
      <w:r>
        <w:rPr>
          <w:rFonts w:hint="eastAsia" w:ascii="仿宋_GB2312" w:hAnsi="仿宋_GB2312" w:eastAsia="仿宋_GB2312" w:cs="仿宋_GB2312"/>
          <w:b w:val="0"/>
          <w:bCs w:val="0"/>
          <w:color w:val="auto"/>
          <w:sz w:val="32"/>
          <w:szCs w:val="32"/>
          <w:highlight w:val="none"/>
          <w:vertAlign w:val="superscript"/>
          <w:lang w:val="zh-CN" w:eastAsia="zh-CN"/>
        </w:rPr>
        <w:t>-</w:t>
      </w:r>
      <w:bookmarkEnd w:id="0"/>
      <w:r>
        <w:rPr>
          <w:rFonts w:hint="eastAsia" w:ascii="仿宋_GB2312" w:hAnsi="仿宋_GB2312" w:eastAsia="仿宋_GB2312" w:cs="仿宋_GB2312"/>
          <w:b w:val="0"/>
          <w:bCs w:val="0"/>
          <w:color w:val="auto"/>
          <w:sz w:val="32"/>
          <w:szCs w:val="32"/>
          <w:vertAlign w:val="superscript"/>
          <w:lang w:val="zh-CN" w:eastAsia="zh-CN"/>
        </w:rPr>
        <w:t>7</w:t>
      </w:r>
      <w:r>
        <w:rPr>
          <w:rFonts w:hint="eastAsia" w:ascii="仿宋_GB2312" w:hAnsi="仿宋_GB2312" w:eastAsia="仿宋_GB2312" w:cs="仿宋_GB2312"/>
          <w:b w:val="0"/>
          <w:bCs w:val="0"/>
          <w:color w:val="auto"/>
          <w:sz w:val="32"/>
          <w:szCs w:val="32"/>
          <w:lang w:val="zh-CN" w:eastAsia="zh-CN"/>
        </w:rPr>
        <w:t>cm/s，等效黏土防渗层 Mb</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eastAsia="zh-CN"/>
        </w:rPr>
        <w:t>1.5m；</w:t>
      </w:r>
      <w:r>
        <w:rPr>
          <w:rFonts w:hint="eastAsia" w:ascii="仿宋_GB2312" w:hAnsi="仿宋_GB2312" w:eastAsia="仿宋_GB2312" w:cs="仿宋_GB2312"/>
          <w:b w:val="0"/>
          <w:bCs w:val="0"/>
          <w:color w:val="auto"/>
          <w:sz w:val="32"/>
          <w:szCs w:val="32"/>
          <w:lang w:val="en-US" w:eastAsia="zh-CN"/>
        </w:rPr>
        <w:t>机制石屑堆场、化粪池、办公区、生产区、原料堆场、产品堆场等区域</w:t>
      </w:r>
      <w:r>
        <w:rPr>
          <w:rFonts w:hint="eastAsia" w:ascii="仿宋_GB2312" w:hAnsi="仿宋_GB2312" w:eastAsia="仿宋_GB2312" w:cs="仿宋_GB2312"/>
          <w:b w:val="0"/>
          <w:bCs w:val="0"/>
          <w:color w:val="auto"/>
          <w:sz w:val="32"/>
          <w:szCs w:val="32"/>
          <w:lang w:val="zh-CN" w:eastAsia="zh-CN"/>
        </w:rPr>
        <w:t>做简单防渗处理</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9" w:firstLineChars="200"/>
        <w:textAlignment w:val="auto"/>
        <w:rPr>
          <w:rFonts w:hint="eastAsia" w:ascii="仿宋_GB2312" w:hAnsi="仿宋_GB2312" w:eastAsia="仿宋_GB2312" w:cs="仿宋_GB2312"/>
          <w:sz w:val="32"/>
          <w:szCs w:val="32"/>
          <w:lang w:val="en-GB" w:eastAsia="zh-CN"/>
        </w:rPr>
      </w:pPr>
      <w:r>
        <w:rPr>
          <w:rFonts w:hint="eastAsia" w:ascii="仿宋_GB2312" w:hAnsi="仿宋_GB2312" w:eastAsia="仿宋_GB2312" w:cs="仿宋_GB2312"/>
          <w:b/>
          <w:bCs/>
          <w:spacing w:val="4"/>
          <w:kern w:val="18"/>
          <w:sz w:val="32"/>
          <w:szCs w:val="32"/>
          <w:lang w:val="en-US" w:eastAsia="zh-CN" w:bidi="ar-SA"/>
        </w:rPr>
        <w:t>（七）严格落实环境风险防范措施。</w:t>
      </w:r>
      <w:r>
        <w:rPr>
          <w:rFonts w:hint="default" w:ascii="仿宋" w:hAnsi="Times New Roman" w:eastAsia="仿宋" w:cs="Times New Roman"/>
          <w:b w:val="0"/>
          <w:bCs w:val="0"/>
          <w:i w:val="0"/>
          <w:iCs w:val="0"/>
          <w:color w:val="auto"/>
          <w:kern w:val="2"/>
          <w:sz w:val="32"/>
          <w:szCs w:val="32"/>
          <w:highlight w:val="none"/>
          <w:vertAlign w:val="baseline"/>
          <w:lang w:val="en-US" w:eastAsia="zh-CN" w:bidi="ar-SA"/>
        </w:rPr>
        <w:t>项目环境风险主</w:t>
      </w:r>
      <w:r>
        <w:rPr>
          <w:rFonts w:hint="default" w:ascii="仿宋_GB2312" w:hAnsi="仿宋_GB2312" w:eastAsia="仿宋_GB2312" w:cs="仿宋_GB2312"/>
          <w:b w:val="0"/>
          <w:bCs w:val="0"/>
          <w:color w:val="auto"/>
          <w:sz w:val="32"/>
          <w:szCs w:val="32"/>
          <w:lang w:val="en-US" w:eastAsia="zh-CN"/>
        </w:rPr>
        <w:t>要为</w:t>
      </w:r>
      <w:r>
        <w:rPr>
          <w:rFonts w:hint="eastAsia" w:ascii="仿宋_GB2312" w:hAnsi="仿宋_GB2312" w:eastAsia="仿宋_GB2312" w:cs="仿宋_GB2312"/>
          <w:b w:val="0"/>
          <w:bCs w:val="0"/>
          <w:color w:val="auto"/>
          <w:sz w:val="32"/>
          <w:szCs w:val="32"/>
          <w:lang w:val="en-US" w:eastAsia="zh-CN"/>
        </w:rPr>
        <w:t>废水</w:t>
      </w:r>
      <w:r>
        <w:rPr>
          <w:rFonts w:hint="default" w:ascii="仿宋_GB2312" w:hAnsi="仿宋_GB2312" w:eastAsia="仿宋_GB2312" w:cs="仿宋_GB2312"/>
          <w:b w:val="0"/>
          <w:bCs w:val="0"/>
          <w:color w:val="auto"/>
          <w:sz w:val="32"/>
          <w:szCs w:val="32"/>
          <w:lang w:val="en-US" w:eastAsia="zh-CN"/>
        </w:rPr>
        <w:t>泄漏、危险废物泄漏等事故。项目</w:t>
      </w:r>
      <w:r>
        <w:rPr>
          <w:rFonts w:hint="eastAsia" w:ascii="仿宋_GB2312" w:hAnsi="仿宋_GB2312" w:eastAsia="仿宋_GB2312" w:cs="仿宋_GB2312"/>
          <w:b w:val="0"/>
          <w:bCs w:val="0"/>
          <w:color w:val="auto"/>
          <w:sz w:val="32"/>
          <w:szCs w:val="32"/>
          <w:lang w:val="en-US" w:eastAsia="zh-CN"/>
        </w:rPr>
        <w:t>采取相应的</w:t>
      </w:r>
      <w:r>
        <w:rPr>
          <w:rFonts w:hint="default" w:ascii="仿宋_GB2312" w:hAnsi="仿宋_GB2312" w:eastAsia="仿宋_GB2312" w:cs="仿宋_GB2312"/>
          <w:b w:val="0"/>
          <w:bCs w:val="0"/>
          <w:color w:val="auto"/>
          <w:sz w:val="32"/>
          <w:szCs w:val="32"/>
          <w:lang w:val="en-US" w:eastAsia="zh-CN"/>
        </w:rPr>
        <w:t>环境风险防范措施</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建立健全突发环境事故应急制度</w:t>
      </w:r>
      <w:r>
        <w:rPr>
          <w:rFonts w:hint="eastAsia" w:ascii="仿宋_GB2312" w:hAnsi="仿宋_GB2312" w:eastAsia="仿宋_GB2312" w:cs="仿宋_GB2312"/>
          <w:b w:val="0"/>
          <w:bCs w:val="0"/>
          <w:color w:val="auto"/>
          <w:sz w:val="32"/>
          <w:szCs w:val="32"/>
          <w:lang w:val="en-US" w:eastAsia="zh-CN"/>
        </w:rPr>
        <w:t>，落实好生产过程、运输过程、堆场等风险防范措施</w:t>
      </w:r>
      <w:r>
        <w:rPr>
          <w:rFonts w:hint="eastAsia" w:ascii="仿宋_GB2312" w:hAnsi="仿宋_GB2312" w:eastAsia="仿宋_GB2312" w:cs="仿宋_GB2312"/>
          <w:sz w:val="32"/>
          <w:szCs w:val="32"/>
          <w:lang w:val="en-GB"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（八）</w:t>
      </w:r>
      <w:r>
        <w:rPr>
          <w:rFonts w:hint="eastAsia" w:ascii="仿宋" w:hAnsi="Times New Roman" w:eastAsia="仿宋" w:cs="Times New Roman"/>
          <w:b/>
          <w:bCs/>
          <w:i w:val="0"/>
          <w:iCs w:val="0"/>
          <w:color w:val="auto"/>
          <w:kern w:val="2"/>
          <w:sz w:val="32"/>
          <w:szCs w:val="32"/>
          <w:highlight w:val="none"/>
          <w:vertAlign w:val="baseline"/>
          <w:lang w:val="en-US" w:eastAsia="zh-CN" w:bidi="ar-SA"/>
        </w:rPr>
        <w:t>严格落实防护距离。</w:t>
      </w:r>
      <w:r>
        <w:rPr>
          <w:rFonts w:hint="eastAsia" w:ascii="仿宋_GB2312" w:hAnsi="仿宋_GB2312" w:eastAsia="仿宋_GB2312" w:cs="仿宋_GB2312"/>
          <w:b w:val="0"/>
          <w:bCs w:val="0"/>
          <w:color w:val="auto"/>
          <w:kern w:val="2"/>
          <w:sz w:val="32"/>
          <w:szCs w:val="32"/>
          <w:lang w:val="en-US" w:eastAsia="zh-CN" w:bidi="ar-SA"/>
        </w:rPr>
        <w:t>项目卫生防护距离以原料堆场、产品堆场、运输道路、机制石屑堆场边界外延50m，以生产区边界外延100m组成的包络线范围划定卫生防护距离，卫生防护距离内无集中居民区、学校、医院，满足卫生防护距离的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提高管理和运营水平，加强非正常工况的生态环境保护工作。</w:t>
      </w:r>
      <w:r>
        <w:rPr>
          <w:rFonts w:hint="eastAsia" w:ascii="仿宋_GB2312" w:hAnsi="仿宋_GB2312" w:eastAsia="仿宋_GB2312" w:cs="仿宋_GB2312"/>
          <w:sz w:val="32"/>
          <w:szCs w:val="32"/>
        </w:rPr>
        <w:t>定期对环保处理设施进行检查、维护，加强设备管理，认真做好设备、管道、阀门的检查工作，降低非正常工况发生频次及污染物排放量。</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）严格落实污染源和生态环境监测计划。</w:t>
      </w:r>
      <w:r>
        <w:rPr>
          <w:rFonts w:hint="eastAsia" w:ascii="仿宋_GB2312" w:hAnsi="仿宋_GB2312" w:eastAsia="仿宋_GB2312" w:cs="仿宋_GB2312"/>
          <w:sz w:val="32"/>
          <w:szCs w:val="32"/>
        </w:rPr>
        <w:t>按照相关标准和规定要求，开展长期环境监测，保存原始监测记录，定期向公众公布污染物排放监测结果。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三、其他要求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（一）项目建设须严格执行配套的环境保护设施与主体工程“三同时”制度。</w:t>
      </w:r>
      <w:r>
        <w:rPr>
          <w:rFonts w:hint="eastAsia" w:ascii="仿宋_GB2312" w:hAnsi="仿宋_GB2312" w:eastAsia="仿宋_GB2312" w:cs="仿宋_GB2312"/>
          <w:sz w:val="32"/>
          <w:szCs w:val="32"/>
        </w:rPr>
        <w:t>按规定程序开展环境保护设施竣工自主验收，合格后方可正式投入运行。加强重点环保设备设计、施工、运行安全管理。环</w:t>
      </w:r>
      <w:r>
        <w:rPr>
          <w:rFonts w:hint="eastAsia" w:ascii="仿宋_GB2312" w:hAnsi="仿宋_GB2312" w:eastAsia="仿宋_GB2312" w:cs="仿宋_GB2312"/>
          <w:color w:val="000000" w:themeColor="text1"/>
          <w:sz w:val="32"/>
          <w:szCs w:val="32"/>
          <w14:textFill>
            <w14:solidFill>
              <w14:schemeClr w14:val="tx1"/>
            </w14:solidFill>
          </w14:textFill>
        </w:rPr>
        <w:t>境影响报告表经批准后，项目的性质、规模、地点、工艺或环境保护措施发生重大变动，应当重新报批环境影响报告表。自批准之日起超过五年后方开工建设的，环境影响报告表应当报审批部门重</w:t>
      </w:r>
      <w:r>
        <w:rPr>
          <w:rFonts w:hint="eastAsia" w:ascii="仿宋_GB2312" w:hAnsi="仿宋_GB2312" w:eastAsia="仿宋_GB2312" w:cs="仿宋_GB2312"/>
          <w:sz w:val="32"/>
          <w:szCs w:val="32"/>
        </w:rPr>
        <w:t>新审核。</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（二）积极主动配合接受生态环境主管部门的日常监督管理。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上犹县行政审批局</w:t>
      </w:r>
    </w:p>
    <w:p>
      <w:pPr>
        <w:keepNext w:val="0"/>
        <w:keepLines w:val="0"/>
        <w:pageBreakBefore w:val="0"/>
        <w:widowControl w:val="0"/>
        <w:kinsoku/>
        <w:wordWrap/>
        <w:overflowPunct/>
        <w:topLinePunct w:val="0"/>
        <w:autoSpaceDE/>
        <w:autoSpaceDN/>
        <w:bidi w:val="0"/>
        <w:spacing w:line="56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Style w:val="7"/>
        <w:keepNext w:val="0"/>
        <w:keepLines w:val="0"/>
        <w:pageBreakBefore w:val="0"/>
        <w:widowControl w:val="0"/>
        <w:kinsoku/>
        <w:wordWrap/>
        <w:overflowPunct/>
        <w:topLinePunct w:val="0"/>
        <w:autoSpaceDE/>
        <w:autoSpaceDN/>
        <w:bidi w:val="0"/>
        <w:spacing w:after="0" w:afterLines="0" w:line="56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620" w:lineRule="exact"/>
        <w:ind w:right="110"/>
        <w:textAlignment w:val="auto"/>
      </w:pPr>
    </w:p>
    <w:sectPr>
      <w:headerReference r:id="rId4" w:type="first"/>
      <w:footerReference r:id="rId7" w:type="first"/>
      <w:footerReference r:id="rId5" w:type="default"/>
      <w:headerReference r:id="rId3" w:type="even"/>
      <w:footerReference r:id="rId6"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宋体" w:hAnsi="宋体" w:eastAsia="宋体" w:cs="Times New Roman"/>
        <w:sz w:val="28"/>
      </w:rPr>
    </w:pPr>
    <w:r>
      <w:rPr>
        <w:rFonts w:hint="eastAsia" w:ascii="宋体" w:hAnsi="宋体" w:eastAsia="宋体" w:cs="Times New Roman"/>
        <w:sz w:val="28"/>
      </w:rPr>
      <w:t xml:space="preserve">— </w:t>
    </w:r>
    <w:r>
      <w:rPr>
        <w:rFonts w:ascii="宋体" w:hAnsi="宋体" w:eastAsia="宋体" w:cs="Times New Roman"/>
        <w:sz w:val="28"/>
        <w:szCs w:val="28"/>
      </w:rPr>
      <w:fldChar w:fldCharType="begin"/>
    </w:r>
    <w:r>
      <w:rPr>
        <w:rFonts w:ascii="宋体" w:hAnsi="宋体" w:eastAsia="宋体" w:cs="Times New Roman"/>
        <w:sz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rPr>
      <w:t>6</w:t>
    </w:r>
    <w:r>
      <w:rPr>
        <w:rFonts w:ascii="宋体" w:hAnsi="宋体" w:eastAsia="宋体" w:cs="Times New Roman"/>
        <w:sz w:val="28"/>
        <w:szCs w:val="28"/>
      </w:rPr>
      <w:fldChar w:fldCharType="end"/>
    </w:r>
    <w:r>
      <w:rPr>
        <w:rFonts w:hint="eastAsia" w:ascii="宋体" w:hAnsi="宋体" w:eastAsia="宋体" w:cs="Times New Roman"/>
        <w:sz w:val="28"/>
      </w:rPr>
      <w:t xml:space="preserve"> —</w:t>
    </w: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8BECD20-EA2E-4231-B398-EECE0AA85E0C}" w:val="WICy2fzV/1raisKME7L0N9JwTqA+OvoUpbgxe=YPFD4SZXhHc5Bt6QR3ujnmklGd8"/>
    <w:docVar w:name="commondata" w:val="eyJoZGlkIjoiM2MyNGFiYjA5YTEzM2QwNGRjZjVjZGVlNDZjNDEzMmYifQ=="/>
    <w:docVar w:name="DocumentID" w:val="{C3AA9ED1-654F-411B-87B7-D79B1C3BD3A6}"/>
  </w:docVars>
  <w:rsids>
    <w:rsidRoot w:val="0B2339D8"/>
    <w:rsid w:val="005B57CB"/>
    <w:rsid w:val="00875A8C"/>
    <w:rsid w:val="00933F07"/>
    <w:rsid w:val="00B62AF2"/>
    <w:rsid w:val="02126066"/>
    <w:rsid w:val="032724C5"/>
    <w:rsid w:val="033E1F62"/>
    <w:rsid w:val="03C64650"/>
    <w:rsid w:val="03D120AF"/>
    <w:rsid w:val="04697BE5"/>
    <w:rsid w:val="0482210D"/>
    <w:rsid w:val="05E934C2"/>
    <w:rsid w:val="09970BEC"/>
    <w:rsid w:val="0A1524CD"/>
    <w:rsid w:val="0A3E1750"/>
    <w:rsid w:val="0A62550D"/>
    <w:rsid w:val="0A9F251E"/>
    <w:rsid w:val="0ABD54CD"/>
    <w:rsid w:val="0B2339D8"/>
    <w:rsid w:val="0BBE75D5"/>
    <w:rsid w:val="0CC23199"/>
    <w:rsid w:val="0CF630C1"/>
    <w:rsid w:val="0D5F44D9"/>
    <w:rsid w:val="0E1419D5"/>
    <w:rsid w:val="0F2958F7"/>
    <w:rsid w:val="109C3E7E"/>
    <w:rsid w:val="11766588"/>
    <w:rsid w:val="117C655F"/>
    <w:rsid w:val="11AE7D2B"/>
    <w:rsid w:val="11D547A3"/>
    <w:rsid w:val="12BB7E59"/>
    <w:rsid w:val="13794265"/>
    <w:rsid w:val="13822816"/>
    <w:rsid w:val="13CF0CBB"/>
    <w:rsid w:val="148024A0"/>
    <w:rsid w:val="1492500C"/>
    <w:rsid w:val="15CA205A"/>
    <w:rsid w:val="171A7074"/>
    <w:rsid w:val="192553CB"/>
    <w:rsid w:val="1AC84C92"/>
    <w:rsid w:val="1B027D1A"/>
    <w:rsid w:val="1E757362"/>
    <w:rsid w:val="1E952C2C"/>
    <w:rsid w:val="1EA20892"/>
    <w:rsid w:val="1EB97816"/>
    <w:rsid w:val="1F3B1B5F"/>
    <w:rsid w:val="1F5B28E4"/>
    <w:rsid w:val="20591F10"/>
    <w:rsid w:val="22023DA6"/>
    <w:rsid w:val="22790B8B"/>
    <w:rsid w:val="23334268"/>
    <w:rsid w:val="23C039F6"/>
    <w:rsid w:val="24237BA6"/>
    <w:rsid w:val="2480392B"/>
    <w:rsid w:val="24B22F90"/>
    <w:rsid w:val="25F93A28"/>
    <w:rsid w:val="269E6E6D"/>
    <w:rsid w:val="276A7175"/>
    <w:rsid w:val="27A02F3E"/>
    <w:rsid w:val="27C460E5"/>
    <w:rsid w:val="28BF6885"/>
    <w:rsid w:val="28E85990"/>
    <w:rsid w:val="294A7FAB"/>
    <w:rsid w:val="2A183F30"/>
    <w:rsid w:val="2A680806"/>
    <w:rsid w:val="2B8F375C"/>
    <w:rsid w:val="2BB20001"/>
    <w:rsid w:val="2C8C3D4C"/>
    <w:rsid w:val="2C9416B3"/>
    <w:rsid w:val="2D000CB4"/>
    <w:rsid w:val="2DB1779A"/>
    <w:rsid w:val="2F4E690C"/>
    <w:rsid w:val="2FB951AF"/>
    <w:rsid w:val="30456075"/>
    <w:rsid w:val="31055E2A"/>
    <w:rsid w:val="31740D0A"/>
    <w:rsid w:val="321D13A0"/>
    <w:rsid w:val="333A69DB"/>
    <w:rsid w:val="33A79F1A"/>
    <w:rsid w:val="33DE1D3F"/>
    <w:rsid w:val="357B3AB1"/>
    <w:rsid w:val="35B01CD3"/>
    <w:rsid w:val="36D73558"/>
    <w:rsid w:val="37513B6C"/>
    <w:rsid w:val="385561F4"/>
    <w:rsid w:val="3980113F"/>
    <w:rsid w:val="3A646D91"/>
    <w:rsid w:val="3B484CF9"/>
    <w:rsid w:val="3B8400A3"/>
    <w:rsid w:val="3B962777"/>
    <w:rsid w:val="3D4F1D26"/>
    <w:rsid w:val="3D944009"/>
    <w:rsid w:val="3E8B1DB8"/>
    <w:rsid w:val="3E8C74FE"/>
    <w:rsid w:val="3F023231"/>
    <w:rsid w:val="3F1E7AFA"/>
    <w:rsid w:val="3F6935EF"/>
    <w:rsid w:val="40951D82"/>
    <w:rsid w:val="40E43FDA"/>
    <w:rsid w:val="429E3824"/>
    <w:rsid w:val="42D70ACD"/>
    <w:rsid w:val="436C0AAE"/>
    <w:rsid w:val="43A70BAF"/>
    <w:rsid w:val="44050D5F"/>
    <w:rsid w:val="44AB74EC"/>
    <w:rsid w:val="45D622C4"/>
    <w:rsid w:val="46615D65"/>
    <w:rsid w:val="481209F1"/>
    <w:rsid w:val="48DE6E3B"/>
    <w:rsid w:val="496A55CE"/>
    <w:rsid w:val="498020C2"/>
    <w:rsid w:val="4A9D3E59"/>
    <w:rsid w:val="4AE603C3"/>
    <w:rsid w:val="4BE8295D"/>
    <w:rsid w:val="4CAD7E44"/>
    <w:rsid w:val="4D994433"/>
    <w:rsid w:val="4EE37D8E"/>
    <w:rsid w:val="4F0F159B"/>
    <w:rsid w:val="4F6A7BD9"/>
    <w:rsid w:val="50386007"/>
    <w:rsid w:val="50A91DA8"/>
    <w:rsid w:val="51B360B7"/>
    <w:rsid w:val="51F6099B"/>
    <w:rsid w:val="54210FB7"/>
    <w:rsid w:val="54843528"/>
    <w:rsid w:val="57D531B8"/>
    <w:rsid w:val="58FD3BCC"/>
    <w:rsid w:val="5951265A"/>
    <w:rsid w:val="5A2E3EE0"/>
    <w:rsid w:val="5B070720"/>
    <w:rsid w:val="5B860DB6"/>
    <w:rsid w:val="5BB622D7"/>
    <w:rsid w:val="5BF7644F"/>
    <w:rsid w:val="5C593F6E"/>
    <w:rsid w:val="5CA66AA1"/>
    <w:rsid w:val="5D733C08"/>
    <w:rsid w:val="5E433B29"/>
    <w:rsid w:val="5E8446B6"/>
    <w:rsid w:val="5F034385"/>
    <w:rsid w:val="5FC06BDC"/>
    <w:rsid w:val="655B4B37"/>
    <w:rsid w:val="65BD10BF"/>
    <w:rsid w:val="66B728F2"/>
    <w:rsid w:val="6798174A"/>
    <w:rsid w:val="67A3767F"/>
    <w:rsid w:val="68231D95"/>
    <w:rsid w:val="682B66F0"/>
    <w:rsid w:val="68B612FB"/>
    <w:rsid w:val="69187931"/>
    <w:rsid w:val="692A2AC2"/>
    <w:rsid w:val="697F0366"/>
    <w:rsid w:val="6A8B4733"/>
    <w:rsid w:val="6C3B55DF"/>
    <w:rsid w:val="6C711BE6"/>
    <w:rsid w:val="6F36414A"/>
    <w:rsid w:val="702F4147"/>
    <w:rsid w:val="70334665"/>
    <w:rsid w:val="716B67CD"/>
    <w:rsid w:val="724E6E49"/>
    <w:rsid w:val="72E55E4A"/>
    <w:rsid w:val="73012361"/>
    <w:rsid w:val="73263AC3"/>
    <w:rsid w:val="733C02DF"/>
    <w:rsid w:val="739A4B33"/>
    <w:rsid w:val="74501897"/>
    <w:rsid w:val="74F576E6"/>
    <w:rsid w:val="75BB3DC8"/>
    <w:rsid w:val="76A72047"/>
    <w:rsid w:val="76C10067"/>
    <w:rsid w:val="76CB874A"/>
    <w:rsid w:val="76D91737"/>
    <w:rsid w:val="773855A4"/>
    <w:rsid w:val="786C6A7C"/>
    <w:rsid w:val="7B064EFC"/>
    <w:rsid w:val="7B1D7E47"/>
    <w:rsid w:val="7C393AE4"/>
    <w:rsid w:val="7CA47567"/>
    <w:rsid w:val="7D8C2F2A"/>
    <w:rsid w:val="7E926C44"/>
    <w:rsid w:val="8EEDF349"/>
    <w:rsid w:val="9ED360DC"/>
    <w:rsid w:val="BB8D4A06"/>
    <w:rsid w:val="BFFED178"/>
    <w:rsid w:val="EFFFE1DB"/>
    <w:rsid w:val="FFFA5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420"/>
    </w:pPr>
    <w:rPr>
      <w:rFonts w:ascii="仿宋_GB2312"/>
      <w:spacing w:val="4"/>
      <w:kern w:val="18"/>
      <w:szCs w:val="28"/>
    </w:rPr>
  </w:style>
  <w:style w:type="paragraph" w:styleId="4">
    <w:name w:val="annotation text"/>
    <w:basedOn w:val="1"/>
    <w:qFormat/>
    <w:uiPriority w:val="0"/>
    <w:pPr>
      <w:jc w:val="left"/>
    </w:pPr>
  </w:style>
  <w:style w:type="paragraph" w:styleId="5">
    <w:name w:val="Body Text"/>
    <w:basedOn w:val="1"/>
    <w:qFormat/>
    <w:uiPriority w:val="0"/>
    <w:rPr>
      <w:sz w:val="32"/>
    </w:rPr>
  </w:style>
  <w:style w:type="paragraph" w:styleId="6">
    <w:name w:val="Body Text Indent"/>
    <w:basedOn w:val="1"/>
    <w:next w:val="1"/>
    <w:qFormat/>
    <w:uiPriority w:val="0"/>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next w:val="1"/>
    <w:qFormat/>
    <w:uiPriority w:val="0"/>
    <w:pPr>
      <w:ind w:firstLine="420" w:firstLineChars="100"/>
    </w:pPr>
  </w:style>
  <w:style w:type="paragraph" w:styleId="11">
    <w:name w:val="Body Text First Indent 2"/>
    <w:basedOn w:val="6"/>
    <w:next w:val="10"/>
    <w:qFormat/>
    <w:uiPriority w:val="0"/>
    <w:pPr>
      <w:adjustRightInd w:val="0"/>
      <w:spacing w:line="360" w:lineRule="auto"/>
      <w:ind w:firstLine="420" w:firstLineChars="200"/>
      <w:jc w:val="left"/>
    </w:pPr>
    <w:rPr>
      <w:rFonts w:ascii="仿宋_GB2312" w:eastAsia="仿宋_GB2312"/>
      <w:spacing w:val="4"/>
      <w:kern w:val="18"/>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basedOn w:val="16"/>
    <w:next w:val="11"/>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7">
    <w:name w:val="xl27"/>
    <w:basedOn w:val="1"/>
    <w:qFormat/>
    <w:uiPriority w:val="0"/>
    <w:pPr>
      <w:widowControl/>
      <w:pBdr>
        <w:bottom w:val="single" w:color="auto" w:sz="12" w:space="0"/>
      </w:pBdr>
      <w:spacing w:before="100" w:after="100"/>
      <w:ind w:firstLine="839"/>
      <w:jc w:val="center"/>
    </w:pPr>
    <w:rPr>
      <w:rFonts w:ascii="宋体" w:hAnsi="宋体"/>
      <w:szCs w:val="20"/>
    </w:rPr>
  </w:style>
  <w:style w:type="paragraph" w:customStyle="1" w:styleId="18">
    <w:name w:val="Default1"/>
    <w:basedOn w:val="19"/>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1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A正文"/>
    <w:basedOn w:val="1"/>
    <w:qFormat/>
    <w:uiPriority w:val="0"/>
    <w:pPr>
      <w:snapToGrid w:val="0"/>
      <w:ind w:firstLine="480"/>
    </w:pPr>
    <w:rPr>
      <w:rFonts w:ascii="Times New Roman"/>
      <w:szCs w:val="21"/>
      <w:lang w:val="zh-CN"/>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2570</Words>
  <Characters>319</Characters>
  <Lines>2</Lines>
  <Paragraphs>5</Paragraphs>
  <TotalTime>2</TotalTime>
  <ScaleCrop>false</ScaleCrop>
  <LinksUpToDate>false</LinksUpToDate>
  <CharactersWithSpaces>2884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2024-12-27T23:28:00Z</dcterms:created>
  <dc:creator>admin</dc:creator>
  <cp:lastModifiedBy>一个合格的喝水人</cp:lastModifiedBy>
  <cp:lastPrinted>2025-04-03T18:05:00Z</cp:lastPrinted>
  <dcterms:modified xsi:type="dcterms:W3CDTF">2026-06-16T08:43:36Z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A85E9AFB25A5252727CE286A8633E246_43</vt:lpwstr>
  </property>
</Properties>
</file>