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仿宋" w:eastAsia="方正小标宋简体" w:cs="仿宋"/>
          <w:b w:val="0"/>
          <w:bCs w:val="0"/>
          <w:sz w:val="44"/>
          <w:szCs w:val="44"/>
        </w:rPr>
        <w:t>关于</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赣州禾泰竹木有限公司竹基低碳新材料制造暨年产10000立方米</w:t>
      </w: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以竹代塑</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竹产品项目</w:t>
      </w:r>
    </w:p>
    <w:p>
      <w:pPr>
        <w:spacing w:line="600" w:lineRule="exact"/>
        <w:jc w:val="center"/>
        <w:rPr>
          <w:rFonts w:ascii="方正小标宋简体" w:hAnsi="仿宋" w:eastAsia="方正小标宋简体" w:cs="仿宋"/>
          <w:b w:val="0"/>
          <w:bCs w:val="0"/>
          <w:sz w:val="44"/>
          <w:szCs w:val="44"/>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环境影响报告表</w:t>
      </w:r>
      <w:r>
        <w:rPr>
          <w:rFonts w:hint="eastAsia" w:ascii="方正小标宋简体" w:hAnsi="仿宋" w:eastAsia="方正小标宋简体" w:cs="仿宋"/>
          <w:b w:val="0"/>
          <w:bCs w:val="0"/>
          <w:sz w:val="44"/>
          <w:szCs w:val="44"/>
        </w:rPr>
        <w:t>的批复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20" w:lineRule="exact"/>
        <w:textAlignment w:val="auto"/>
        <w:rPr>
          <w:rFonts w:hint="eastAsia" w:ascii="仿宋_GB2312" w:hAnsi="仿宋_GB2312" w:eastAsia="仿宋_GB2312" w:cs="仿宋_GB2312"/>
          <w:kern w:val="0"/>
          <w:sz w:val="32"/>
          <w:szCs w:val="32"/>
        </w:rPr>
      </w:pPr>
      <w:r>
        <w:rPr>
          <w:rFonts w:hint="eastAsia" w:ascii="仿宋_GB2312" w:hAnsi="仿宋" w:eastAsia="仿宋_GB2312" w:cs="仿宋"/>
          <w:sz w:val="32"/>
          <w:szCs w:val="32"/>
          <w:lang w:val="en-US" w:eastAsia="zh-CN"/>
        </w:rPr>
        <w:t>赣州禾泰竹木有限公司</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你公司《赣州禾泰竹木有限公司竹基低碳新材料制造暨年产10000立方米</w:t>
      </w:r>
      <w:r>
        <w:rPr>
          <w:rFonts w:hint="eastAsia" w:ascii="仿宋_GB2312" w:hAnsi="仿宋" w:eastAsia="仿宋_GB2312" w:cs="仿宋"/>
          <w:sz w:val="32"/>
          <w:szCs w:val="32"/>
          <w:highlight w:val="none"/>
          <w:lang w:val="en-US" w:eastAsia="zh-CN"/>
        </w:rPr>
        <w:t>以竹代塑</w:t>
      </w:r>
      <w:r>
        <w:rPr>
          <w:rFonts w:hint="eastAsia" w:ascii="仿宋_GB2312" w:hAnsi="仿宋" w:eastAsia="仿宋_GB2312" w:cs="仿宋"/>
          <w:sz w:val="32"/>
          <w:szCs w:val="32"/>
          <w:lang w:val="en-US" w:eastAsia="zh-CN"/>
        </w:rPr>
        <w:t>竹产品项目环境影响报告表》环评文件及审查申请等有关文件收悉，环境影响报告表由江西明腾工程咨询有限公司编制。根据技术评估会专家组意见及技术评估公司的评估意见，经研究，批复如下：</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一、项目概况及批复意见</w:t>
      </w:r>
      <w:r>
        <w:rPr>
          <w:rFonts w:hint="eastAsia" w:ascii="仿宋_GB2312" w:hAnsi="仿宋" w:eastAsia="仿宋_GB2312" w:cs="仿宋"/>
          <w:b/>
          <w:bCs/>
          <w:sz w:val="32"/>
          <w:szCs w:val="32"/>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赣州禾泰竹木有限公司竹基低碳新材料制造暨年产10000立方米</w:t>
      </w:r>
      <w:r>
        <w:rPr>
          <w:rFonts w:hint="eastAsia" w:ascii="仿宋_GB2312" w:hAnsi="仿宋" w:eastAsia="仿宋_GB2312" w:cs="仿宋"/>
          <w:sz w:val="32"/>
          <w:szCs w:val="32"/>
          <w:highlight w:val="none"/>
          <w:lang w:val="en-US" w:eastAsia="zh-CN"/>
        </w:rPr>
        <w:t>以竹代塑</w:t>
      </w:r>
      <w:r>
        <w:rPr>
          <w:rFonts w:hint="eastAsia" w:ascii="仿宋_GB2312" w:hAnsi="仿宋" w:eastAsia="仿宋_GB2312" w:cs="仿宋"/>
          <w:sz w:val="32"/>
          <w:szCs w:val="32"/>
          <w:lang w:val="en-US" w:eastAsia="zh-CN"/>
        </w:rPr>
        <w:t>竹产品项目（项目代码：2509-360724-04-01-381652）为赣州禾泰竹木有限公司新建项目，行业类别为竹制品制造、竹藤家具制造，位于江西上犹工业园北区工业大道C17宗地，厂址中心地理坐标：东经114°33′35.869″，北纬25°46′24.918″，用地面积44115.1m</w:t>
      </w:r>
      <w:r>
        <w:rPr>
          <w:rFonts w:hint="eastAsia" w:ascii="仿宋_GB2312" w:hAnsi="仿宋" w:eastAsia="仿宋_GB2312" w:cs="仿宋"/>
          <w:sz w:val="32"/>
          <w:szCs w:val="32"/>
          <w:vertAlign w:val="superscript"/>
          <w:lang w:val="en-US" w:eastAsia="zh-CN"/>
        </w:rPr>
        <w:t>2</w:t>
      </w:r>
      <w:r>
        <w:rPr>
          <w:rFonts w:hint="eastAsia" w:ascii="仿宋_GB2312" w:hAnsi="仿宋" w:eastAsia="仿宋_GB2312" w:cs="仿宋"/>
          <w:sz w:val="32"/>
          <w:szCs w:val="32"/>
          <w:lang w:val="en-US" w:eastAsia="zh-CN"/>
        </w:rPr>
        <w:t>，总投资10000万元，其中环保投资105.4万元，占总投资的1.05%，项目建成后</w:t>
      </w:r>
      <w:r>
        <w:rPr>
          <w:rFonts w:hint="default" w:ascii="仿宋_GB2312" w:hAnsi="仿宋" w:eastAsia="仿宋_GB2312" w:cs="仿宋"/>
          <w:sz w:val="32"/>
          <w:szCs w:val="32"/>
          <w:lang w:val="en-US" w:eastAsia="zh-CN"/>
        </w:rPr>
        <w:t>年产10000立方米竹制品的生产规模，其中室外竹集成材7000立方米、室内竹墙板2000立方米、室外竹家具500立方米、室内竹家具500立方米</w:t>
      </w:r>
      <w:r>
        <w:rPr>
          <w:rFonts w:hint="eastAsia"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该项目采用上犹县佳弘达实业有限公司转让的厂房进行生产，</w:t>
      </w:r>
      <w:r>
        <w:rPr>
          <w:rFonts w:hint="default" w:ascii="仿宋_GB2312" w:hAnsi="仿宋" w:eastAsia="仿宋_GB2312" w:cs="仿宋"/>
          <w:sz w:val="32"/>
          <w:szCs w:val="32"/>
          <w:lang w:val="en-US" w:eastAsia="zh-CN"/>
        </w:rPr>
        <w:t>主要建设内容为2栋厂房、1栋办公楼、1栋仓库</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1栋综合楼及</w:t>
      </w:r>
      <w:r>
        <w:rPr>
          <w:rFonts w:hint="eastAsia" w:ascii="仿宋_GB2312" w:hAnsi="仿宋" w:eastAsia="仿宋_GB2312" w:cs="仿宋"/>
          <w:sz w:val="32"/>
          <w:szCs w:val="32"/>
          <w:lang w:val="en-US" w:eastAsia="zh-CN"/>
        </w:rPr>
        <w:t>其他</w:t>
      </w:r>
      <w:r>
        <w:rPr>
          <w:rFonts w:hint="default" w:ascii="仿宋_GB2312" w:hAnsi="仿宋" w:eastAsia="仿宋_GB2312" w:cs="仿宋"/>
          <w:sz w:val="32"/>
          <w:szCs w:val="32"/>
          <w:lang w:val="en-US" w:eastAsia="zh-CN"/>
        </w:rPr>
        <w:t>配套辅助设施</w:t>
      </w:r>
      <w:r>
        <w:rPr>
          <w:rFonts w:hint="eastAsia" w:ascii="仿宋_GB2312" w:hAnsi="仿宋" w:eastAsia="仿宋_GB2312" w:cs="仿宋"/>
          <w:sz w:val="32"/>
          <w:szCs w:val="32"/>
          <w:lang w:val="en-US" w:eastAsia="zh-CN"/>
        </w:rPr>
        <w:t>。购置烘干箱、切头机、双面滚胶机等生产设备和竹条、拼板胶、水性漆等原辅料进行生产。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你公司应在项目建设及运营过程中，严格落实环境影响报告表提出的各项生态环境保护措施。我局原则上同意环境影响报告表所列建设项目的性质、规模、地点、工艺和环境保护对策措施。</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二、项目运营管理中应重点做好以下工作：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项目在工程设计、建设和运行过程中应认真落实环境影响报告表提出的各项环境保护措施和要求。重点做好以下工作：</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（一）严格落实环境影响报告表要求。</w:t>
      </w:r>
      <w:r>
        <w:rPr>
          <w:rFonts w:hint="eastAsia" w:ascii="仿宋_GB2312" w:hAnsi="仿宋" w:eastAsia="仿宋_GB2312" w:cs="仿宋"/>
          <w:sz w:val="32"/>
          <w:szCs w:val="32"/>
          <w:lang w:val="en-US" w:eastAsia="zh-CN"/>
        </w:rPr>
        <w:t>做好施工期和运营期的各项污染防治工作，确保各类污染物达标排放及妥善处置。</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（二）严格落实大气环境保护措施。</w:t>
      </w:r>
      <w:r>
        <w:rPr>
          <w:rFonts w:hint="eastAsia" w:ascii="仿宋_GB2312" w:hAnsi="仿宋" w:eastAsia="仿宋_GB2312" w:cs="仿宋"/>
          <w:sz w:val="32"/>
          <w:szCs w:val="32"/>
          <w:lang w:val="en-US" w:eastAsia="zh-CN"/>
        </w:rPr>
        <w:t>项目导热油锅炉采用清洁燃料天然气燃烧，锅炉烟气在采用低氮燃烧技术处理后通过8m高5#排气筒（DA005）直接排放。2#厂房内的竹条铣齿粉尘、竹板开片粉尘、板材机加工粉尘、板材砂光粉尘均采用集气罩负压收集，收集后的粉尘通过风机引至布袋除尘器处理，达标后经15m高的1#排气筒（DA001）排放。2#厂房内的拼板胶滚胶、热压废气采用集气罩负压收集，水性漆喷漆、滚涂、烘干废气和UV漆辊涂、固化废气均采用密闭式集气罩负压收集，收集后的有机废气通过风机引至干式过滤器+二级活性炭吸附箱处理，达标后经15m高的2#排气筒（DA002）排放。1#厂房内的竹家具机加工粉尘采用集气罩负压收集，收集后的粉尘通过风机引至布袋除尘器处理，达标后经15m高的3#排气筒（DA003）排放。1#厂房内的油性漆调配、喷漆、烘干废气在密闭空间内经风机先引至水帘柜处理，然后又将处理后的废气经管道引至干式过滤器+二级活性炭吸附箱处理，达标后经15m高的4#排气筒（DA004）排放。1#厂房竹家具打磨和漆磨粉尘经侧吸风机收集后，引至室内的滤筒处理后在车间内无组织排放。竹条烘干有机废气产生量较小，且含水率高，以无组织形式排放。食堂油烟经油烟净化器处理后通过15m高的专用烟道（DA006）排放。</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（三）严格落实各项水污染防治措施。</w:t>
      </w:r>
      <w:r>
        <w:rPr>
          <w:rFonts w:hint="default" w:ascii="仿宋_GB2312" w:hAnsi="仿宋" w:eastAsia="仿宋_GB2312" w:cs="仿宋"/>
          <w:sz w:val="32"/>
          <w:szCs w:val="32"/>
          <w:lang w:val="en-US" w:eastAsia="zh-CN"/>
        </w:rPr>
        <w:t>项目</w:t>
      </w:r>
      <w:r>
        <w:rPr>
          <w:rFonts w:hint="eastAsia" w:ascii="仿宋_GB2312" w:hAnsi="仿宋" w:eastAsia="仿宋_GB2312" w:cs="仿宋"/>
          <w:sz w:val="32"/>
          <w:szCs w:val="32"/>
          <w:lang w:val="en-US" w:eastAsia="zh-CN"/>
        </w:rPr>
        <w:t>采取</w:t>
      </w:r>
      <w:r>
        <w:rPr>
          <w:rFonts w:hint="default" w:ascii="仿宋_GB2312" w:hAnsi="仿宋" w:eastAsia="仿宋_GB2312" w:cs="仿宋"/>
          <w:sz w:val="32"/>
          <w:szCs w:val="32"/>
          <w:lang w:val="en-US" w:eastAsia="zh-CN"/>
        </w:rPr>
        <w:t>雨污分流，</w:t>
      </w:r>
      <w:r>
        <w:rPr>
          <w:rFonts w:hint="eastAsia" w:ascii="仿宋_GB2312" w:hAnsi="仿宋" w:eastAsia="仿宋_GB2312" w:cs="仿宋"/>
          <w:sz w:val="32"/>
          <w:szCs w:val="32"/>
          <w:lang w:val="en-US" w:eastAsia="zh-CN"/>
        </w:rPr>
        <w:t>项目水帘柜废水和设备清洗废水作为危废交由有资质单位处理，</w:t>
      </w:r>
      <w:r>
        <w:rPr>
          <w:rFonts w:hint="default" w:ascii="仿宋_GB2312" w:hAnsi="仿宋" w:eastAsia="仿宋_GB2312" w:cs="仿宋"/>
          <w:sz w:val="32"/>
          <w:szCs w:val="32"/>
          <w:lang w:val="en-US" w:eastAsia="zh-CN"/>
        </w:rPr>
        <w:t>生活污水经化粪池</w:t>
      </w:r>
      <w:r>
        <w:rPr>
          <w:rFonts w:hint="eastAsia" w:ascii="仿宋_GB2312" w:hAnsi="仿宋" w:eastAsia="仿宋_GB2312" w:cs="仿宋"/>
          <w:sz w:val="32"/>
          <w:szCs w:val="32"/>
          <w:lang w:val="en-US" w:eastAsia="zh-CN"/>
        </w:rPr>
        <w:t>和隔油池</w:t>
      </w:r>
      <w:r>
        <w:rPr>
          <w:rFonts w:hint="default" w:ascii="仿宋_GB2312" w:hAnsi="仿宋" w:eastAsia="仿宋_GB2312" w:cs="仿宋"/>
          <w:sz w:val="32"/>
          <w:szCs w:val="32"/>
          <w:lang w:val="en-US" w:eastAsia="zh-CN"/>
        </w:rPr>
        <w:t>处理后</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通过园区污水管网排入上犹工业园污水处理厂深度处理</w:t>
      </w:r>
      <w:r>
        <w:rPr>
          <w:rFonts w:hint="eastAsia"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（四）严格落实声环境保护措施。</w:t>
      </w:r>
      <w:r>
        <w:rPr>
          <w:rFonts w:hint="default" w:ascii="仿宋_GB2312" w:hAnsi="仿宋" w:eastAsia="仿宋_GB2312" w:cs="仿宋"/>
          <w:sz w:val="32"/>
          <w:szCs w:val="32"/>
          <w:lang w:val="en-US" w:eastAsia="zh-CN"/>
        </w:rPr>
        <w:t>项目噪声主要来源于空压机、压刨机、砂光机、排钻等机械设备，通过选用低强度噪声设备，对主要噪声设备采取隔声、减振等措施</w:t>
      </w:r>
      <w:r>
        <w:rPr>
          <w:rFonts w:hint="eastAsia" w:ascii="仿宋_GB2312" w:hAnsi="仿宋" w:eastAsia="仿宋_GB2312" w:cs="仿宋"/>
          <w:sz w:val="32"/>
          <w:szCs w:val="32"/>
          <w:lang w:val="en-US" w:eastAsia="zh-CN"/>
        </w:rPr>
        <w:t>后</w:t>
      </w:r>
      <w:r>
        <w:rPr>
          <w:rFonts w:hint="default" w:ascii="仿宋_GB2312" w:hAnsi="仿宋" w:eastAsia="仿宋_GB2312" w:cs="仿宋"/>
          <w:sz w:val="32"/>
          <w:szCs w:val="32"/>
          <w:lang w:val="en-US" w:eastAsia="zh-CN"/>
        </w:rPr>
        <w:t>，厂界</w:t>
      </w:r>
      <w:r>
        <w:rPr>
          <w:rFonts w:hint="eastAsia" w:ascii="仿宋_GB2312" w:hAnsi="仿宋" w:eastAsia="仿宋_GB2312" w:cs="仿宋"/>
          <w:sz w:val="32"/>
          <w:szCs w:val="32"/>
          <w:lang w:val="en-US" w:eastAsia="zh-CN"/>
        </w:rPr>
        <w:t>四周</w:t>
      </w:r>
      <w:r>
        <w:rPr>
          <w:rFonts w:hint="default" w:ascii="仿宋_GB2312" w:hAnsi="仿宋" w:eastAsia="仿宋_GB2312" w:cs="仿宋"/>
          <w:sz w:val="32"/>
          <w:szCs w:val="32"/>
          <w:lang w:val="en-US" w:eastAsia="zh-CN"/>
        </w:rPr>
        <w:t>噪声满足《工业企业厂界环境噪声排放标准》（GB12348-2008）</w:t>
      </w:r>
      <w:r>
        <w:rPr>
          <w:rFonts w:hint="eastAsia" w:ascii="仿宋_GB2312" w:hAnsi="仿宋" w:eastAsia="仿宋_GB2312" w:cs="仿宋"/>
          <w:sz w:val="32"/>
          <w:szCs w:val="32"/>
          <w:lang w:val="en-US" w:eastAsia="zh-CN"/>
        </w:rPr>
        <w:t>3</w:t>
      </w:r>
      <w:r>
        <w:rPr>
          <w:rFonts w:hint="default" w:ascii="仿宋_GB2312" w:hAnsi="仿宋" w:eastAsia="仿宋_GB2312" w:cs="仿宋"/>
          <w:sz w:val="32"/>
          <w:szCs w:val="32"/>
          <w:lang w:val="en-US" w:eastAsia="zh-CN"/>
        </w:rPr>
        <w:t>类标准要求</w:t>
      </w:r>
      <w:r>
        <w:rPr>
          <w:rFonts w:hint="eastAsia"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sz w:val="32"/>
          <w:szCs w:val="32"/>
          <w:lang w:val="en-GB" w:eastAsia="zh-CN"/>
        </w:rPr>
      </w:pPr>
      <w:r>
        <w:rPr>
          <w:rFonts w:hint="eastAsia" w:ascii="仿宋_GB2312" w:hAnsi="仿宋" w:eastAsia="仿宋_GB2312" w:cs="仿宋"/>
          <w:b/>
          <w:bCs/>
          <w:sz w:val="32"/>
          <w:szCs w:val="32"/>
          <w:lang w:val="en-US" w:eastAsia="zh-CN"/>
        </w:rPr>
        <w:t>（五）严格落实固体废物污染防治措施。</w:t>
      </w:r>
      <w:r>
        <w:rPr>
          <w:rFonts w:hint="eastAsia" w:ascii="仿宋_GB2312" w:hAnsi="仿宋" w:eastAsia="仿宋_GB2312" w:cs="仿宋"/>
          <w:sz w:val="32"/>
          <w:szCs w:val="32"/>
          <w:lang w:val="en-US" w:eastAsia="zh-CN"/>
        </w:rPr>
        <w:t>拟建设一般固废暂存间，占地面积为50m</w:t>
      </w:r>
      <w:r>
        <w:rPr>
          <w:rFonts w:hint="eastAsia" w:ascii="仿宋_GB2312" w:hAnsi="仿宋" w:eastAsia="仿宋_GB2312" w:cs="仿宋"/>
          <w:sz w:val="32"/>
          <w:szCs w:val="32"/>
          <w:vertAlign w:val="superscript"/>
          <w:lang w:val="en-US" w:eastAsia="zh-CN"/>
        </w:rPr>
        <w:t>2</w:t>
      </w:r>
      <w:r>
        <w:rPr>
          <w:rFonts w:hint="eastAsia" w:ascii="仿宋_GB2312" w:hAnsi="仿宋" w:eastAsia="仿宋_GB2312" w:cs="仿宋"/>
          <w:sz w:val="32"/>
          <w:szCs w:val="32"/>
          <w:lang w:val="en-US" w:eastAsia="zh-CN"/>
        </w:rPr>
        <w:t>（有效容积42m</w:t>
      </w:r>
      <w:r>
        <w:rPr>
          <w:rFonts w:hint="eastAsia" w:ascii="仿宋_GB2312" w:hAnsi="仿宋" w:eastAsia="仿宋_GB2312" w:cs="仿宋"/>
          <w:sz w:val="32"/>
          <w:szCs w:val="32"/>
          <w:vertAlign w:val="superscript"/>
          <w:lang w:val="en-US" w:eastAsia="zh-CN"/>
        </w:rPr>
        <w:t>3</w:t>
      </w:r>
      <w:r>
        <w:rPr>
          <w:rFonts w:hint="eastAsia" w:ascii="仿宋_GB2312" w:hAnsi="仿宋" w:eastAsia="仿宋_GB2312" w:cs="仿宋"/>
          <w:sz w:val="32"/>
          <w:szCs w:val="32"/>
          <w:lang w:val="en-US" w:eastAsia="zh-CN"/>
        </w:rPr>
        <w:t>），一般固废暂存间按《一般工业固体废物贮存和填埋污染控制标准》（GB18599-2020）要求执行，落实好相应防渗漏、防雨淋、防扬尘等环境保护要求。一般工业固体废物及处理措施，项目产生的次品作为低等品外售，废竹条、边角料、废包材、布袋除尘粉尘、废砂光/打磨材料外售综合利用，废布袋交由原厂家回收处理，隔油池油渣交由厨余垃圾公司处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拟建设危险废物暂存间，占地面积为100m</w:t>
      </w:r>
      <w:r>
        <w:rPr>
          <w:rFonts w:hint="eastAsia" w:ascii="仿宋_GB2312" w:hAnsi="仿宋" w:eastAsia="仿宋_GB2312" w:cs="仿宋"/>
          <w:sz w:val="32"/>
          <w:szCs w:val="32"/>
          <w:vertAlign w:val="superscript"/>
          <w:lang w:val="en-US" w:eastAsia="zh-CN"/>
        </w:rPr>
        <w:t>2</w:t>
      </w:r>
      <w:r>
        <w:rPr>
          <w:rFonts w:hint="eastAsia" w:ascii="仿宋_GB2312" w:hAnsi="仿宋" w:eastAsia="仿宋_GB2312" w:cs="仿宋"/>
          <w:sz w:val="32"/>
          <w:szCs w:val="32"/>
          <w:lang w:val="en-US" w:eastAsia="zh-CN"/>
        </w:rPr>
        <w:t>（有效容积84m</w:t>
      </w:r>
      <w:r>
        <w:rPr>
          <w:rFonts w:hint="eastAsia" w:ascii="仿宋_GB2312" w:hAnsi="仿宋" w:eastAsia="仿宋_GB2312" w:cs="仿宋"/>
          <w:sz w:val="32"/>
          <w:szCs w:val="32"/>
          <w:vertAlign w:val="superscript"/>
          <w:lang w:val="en-US" w:eastAsia="zh-CN"/>
        </w:rPr>
        <w:t>3</w:t>
      </w:r>
      <w:r>
        <w:rPr>
          <w:rFonts w:hint="eastAsia" w:ascii="仿宋_GB2312" w:hAnsi="仿宋" w:eastAsia="仿宋_GB2312" w:cs="仿宋"/>
          <w:sz w:val="32"/>
          <w:szCs w:val="32"/>
          <w:lang w:val="en-US" w:eastAsia="zh-CN"/>
        </w:rPr>
        <w:t>）。危废暂存间严格按《危险废物贮存污染控制标准》（GB18597-2023）中的贮存设施设计原则、危废堆放规范等相关要求进行设计、建造和管理</w:t>
      </w:r>
      <w:r>
        <w:rPr>
          <w:rFonts w:hint="eastAsia" w:ascii="仿宋_GB2312" w:hAnsi="仿宋" w:eastAsia="仿宋_GB2312" w:cs="仿宋"/>
          <w:sz w:val="32"/>
          <w:szCs w:val="32"/>
          <w:lang w:val="en-GB" w:eastAsia="zh-CN"/>
        </w:rPr>
        <w:t>。危险废物及处理措施，</w:t>
      </w:r>
      <w:r>
        <w:rPr>
          <w:rFonts w:hint="eastAsia" w:ascii="仿宋_GB2312" w:hAnsi="仿宋" w:eastAsia="仿宋_GB2312" w:cs="仿宋"/>
          <w:sz w:val="32"/>
          <w:szCs w:val="32"/>
          <w:lang w:val="en-US" w:eastAsia="zh-CN"/>
        </w:rPr>
        <w:t>废UV灯管、废包装桶、漆渣、废过滤材料、废活性炭、滤筒除尘粉尘、废滤筒、废漆磨材料、水帘柜废水、设备清洗废水、废导热油、废劳保用品、废机油、废机油桶贮存于危废暂存间，使用专用容器盛装，定期交由有资质的单位进行处置。</w:t>
      </w:r>
      <w:r>
        <w:rPr>
          <w:rFonts w:hint="default" w:ascii="仿宋_GB2312" w:hAnsi="仿宋" w:eastAsia="仿宋_GB2312" w:cs="仿宋"/>
          <w:sz w:val="32"/>
          <w:szCs w:val="32"/>
          <w:lang w:val="en-US" w:eastAsia="zh-CN"/>
        </w:rPr>
        <w:t>生活垃圾分类收集后交由环卫部门清运处理</w:t>
      </w:r>
      <w:r>
        <w:rPr>
          <w:rFonts w:hint="eastAsia"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（六）严格落实地下水、土壤污染防治措施。</w:t>
      </w:r>
      <w:r>
        <w:rPr>
          <w:rFonts w:hint="eastAsia" w:ascii="仿宋_GB2312" w:hAnsi="仿宋" w:eastAsia="仿宋_GB2312" w:cs="仿宋"/>
          <w:sz w:val="32"/>
          <w:szCs w:val="32"/>
          <w:lang w:val="en-US" w:eastAsia="zh-CN"/>
        </w:rPr>
        <w:t>做好源头控制。</w:t>
      </w:r>
      <w:r>
        <w:rPr>
          <w:rFonts w:hint="eastAsia" w:ascii="仿宋_GB2312" w:hAnsi="仿宋" w:eastAsia="仿宋_GB2312" w:cs="仿宋"/>
          <w:sz w:val="32"/>
          <w:szCs w:val="32"/>
          <w:lang w:val="zh-CN" w:eastAsia="zh-CN"/>
        </w:rPr>
        <w:t>选择先进、成熟的工艺技术、装备和较清洁的原辅材料，从源头上减少污染物的产生，严格按照国家相关规范要求，对处理工艺、物料管道、设备、污水储存及处理构筑物</w:t>
      </w:r>
      <w:r>
        <w:rPr>
          <w:rFonts w:hint="eastAsia" w:ascii="仿宋_GB2312" w:hAnsi="仿宋" w:eastAsia="仿宋_GB2312" w:cs="仿宋"/>
          <w:sz w:val="32"/>
          <w:szCs w:val="32"/>
          <w:lang w:val="en-US" w:eastAsia="zh-CN"/>
        </w:rPr>
        <w:t>/设备</w:t>
      </w:r>
      <w:r>
        <w:rPr>
          <w:rFonts w:hint="eastAsia" w:ascii="仿宋_GB2312" w:hAnsi="仿宋" w:eastAsia="仿宋_GB2312" w:cs="仿宋"/>
          <w:sz w:val="32"/>
          <w:szCs w:val="32"/>
          <w:lang w:val="zh-CN" w:eastAsia="zh-CN"/>
        </w:rPr>
        <w:t>采取相应的防护措施，防止和降低污染物的跑、冒、滴、漏，降低物料泄漏的环境风险</w:t>
      </w:r>
      <w:r>
        <w:rPr>
          <w:rFonts w:hint="eastAsia"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做好分区管控。</w:t>
      </w:r>
      <w:r>
        <w:rPr>
          <w:rFonts w:hint="eastAsia" w:ascii="仿宋_GB2312" w:hAnsi="仿宋" w:eastAsia="仿宋_GB2312" w:cs="仿宋"/>
          <w:sz w:val="32"/>
          <w:szCs w:val="32"/>
          <w:lang w:val="zh-CN" w:eastAsia="zh-CN"/>
        </w:rPr>
        <w:t>将</w:t>
      </w:r>
      <w:r>
        <w:rPr>
          <w:rFonts w:hint="eastAsia" w:ascii="仿宋_GB2312" w:hAnsi="仿宋" w:eastAsia="仿宋_GB2312" w:cs="仿宋"/>
          <w:sz w:val="32"/>
          <w:szCs w:val="32"/>
          <w:lang w:val="en-US" w:eastAsia="zh-CN"/>
        </w:rPr>
        <w:t>1#厂房内的喷漆房，2#厂房内的滚胶区、组胚区、冷压区、热压区、UV砂光线、水性漆喷涂线、锅炉房、烘干房、危化品仓库、危废暂存间</w:t>
      </w:r>
      <w:r>
        <w:rPr>
          <w:rFonts w:hint="eastAsia" w:ascii="仿宋_GB2312" w:hAnsi="仿宋" w:eastAsia="仿宋_GB2312" w:cs="仿宋"/>
          <w:sz w:val="32"/>
          <w:szCs w:val="32"/>
          <w:lang w:val="zh-CN" w:eastAsia="zh-CN"/>
        </w:rPr>
        <w:t>等划为重点防渗区，重点防渗区各单元防渗层渗透系数</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val="zh-CN" w:eastAsia="zh-CN"/>
        </w:rPr>
        <w:t>10</w:t>
      </w:r>
      <w:r>
        <w:rPr>
          <w:rFonts w:hint="eastAsia" w:ascii="仿宋_GB2312" w:hAnsi="仿宋" w:eastAsia="仿宋_GB2312" w:cs="仿宋"/>
          <w:sz w:val="32"/>
          <w:szCs w:val="32"/>
          <w:highlight w:val="none"/>
          <w:vertAlign w:val="superscript"/>
          <w:lang w:val="zh-CN" w:eastAsia="zh-CN"/>
        </w:rPr>
        <w:t>-</w:t>
      </w:r>
      <w:r>
        <w:rPr>
          <w:rFonts w:hint="eastAsia" w:ascii="仿宋_GB2312" w:hAnsi="仿宋" w:eastAsia="仿宋_GB2312" w:cs="仿宋"/>
          <w:sz w:val="32"/>
          <w:szCs w:val="32"/>
          <w:vertAlign w:val="superscript"/>
          <w:lang w:val="zh-CN" w:eastAsia="zh-CN"/>
        </w:rPr>
        <w:t>7</w:t>
      </w:r>
      <w:r>
        <w:rPr>
          <w:rFonts w:hint="eastAsia" w:ascii="仿宋_GB2312" w:hAnsi="仿宋" w:eastAsia="仿宋_GB2312" w:cs="仿宋"/>
          <w:sz w:val="32"/>
          <w:szCs w:val="32"/>
          <w:lang w:val="zh-CN" w:eastAsia="zh-CN"/>
        </w:rPr>
        <w:t>cm/s，等效黏土防渗层Mb</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val="zh-CN" w:eastAsia="zh-CN"/>
        </w:rPr>
        <w:t>6.0m；将</w:t>
      </w:r>
      <w:r>
        <w:rPr>
          <w:rFonts w:hint="eastAsia" w:ascii="仿宋_GB2312" w:hAnsi="仿宋" w:eastAsia="仿宋_GB2312" w:cs="仿宋"/>
          <w:sz w:val="32"/>
          <w:szCs w:val="32"/>
          <w:lang w:val="en-US" w:eastAsia="zh-CN"/>
        </w:rPr>
        <w:t>1#厂房内的家具机加工区、组装区、打磨区，2#厂房内的板材机加工区、一般固废暂存间、化粪池、隔油池</w:t>
      </w:r>
      <w:r>
        <w:rPr>
          <w:rFonts w:hint="eastAsia" w:ascii="仿宋_GB2312" w:hAnsi="仿宋" w:eastAsia="仿宋_GB2312" w:cs="仿宋"/>
          <w:sz w:val="32"/>
          <w:szCs w:val="32"/>
          <w:lang w:val="zh-CN" w:eastAsia="zh-CN"/>
        </w:rPr>
        <w:t>等划为一般防渗区，一般防渗区各单元防渗层渗透系数</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val="zh-CN" w:eastAsia="zh-CN"/>
        </w:rPr>
        <w:t>10</w:t>
      </w:r>
      <w:r>
        <w:rPr>
          <w:rFonts w:hint="eastAsia" w:ascii="仿宋_GB2312" w:hAnsi="仿宋" w:eastAsia="仿宋_GB2312" w:cs="仿宋"/>
          <w:sz w:val="32"/>
          <w:szCs w:val="32"/>
          <w:highlight w:val="none"/>
          <w:vertAlign w:val="superscript"/>
          <w:lang w:val="zh-CN" w:eastAsia="zh-CN"/>
        </w:rPr>
        <w:t>-</w:t>
      </w:r>
      <w:r>
        <w:rPr>
          <w:rFonts w:hint="eastAsia" w:ascii="仿宋_GB2312" w:hAnsi="仿宋" w:eastAsia="仿宋_GB2312" w:cs="仿宋"/>
          <w:sz w:val="32"/>
          <w:szCs w:val="32"/>
          <w:vertAlign w:val="superscript"/>
          <w:lang w:val="zh-CN" w:eastAsia="zh-CN"/>
        </w:rPr>
        <w:t>7</w:t>
      </w:r>
      <w:r>
        <w:rPr>
          <w:rFonts w:hint="eastAsia" w:ascii="仿宋_GB2312" w:hAnsi="仿宋" w:eastAsia="仿宋_GB2312" w:cs="仿宋"/>
          <w:sz w:val="32"/>
          <w:szCs w:val="32"/>
          <w:lang w:val="zh-CN" w:eastAsia="zh-CN"/>
        </w:rPr>
        <w:t>cm/s，等效黏土防渗层 Mb</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val="zh-CN" w:eastAsia="zh-CN"/>
        </w:rPr>
        <w:t>1.5m；</w:t>
      </w:r>
      <w:r>
        <w:rPr>
          <w:rFonts w:hint="eastAsia" w:ascii="仿宋_GB2312" w:hAnsi="仿宋" w:eastAsia="仿宋_GB2312" w:cs="仿宋"/>
          <w:sz w:val="32"/>
          <w:szCs w:val="32"/>
          <w:lang w:val="en-US" w:eastAsia="zh-CN"/>
        </w:rPr>
        <w:t>1#厂房内的生产板材暂存区、包装区、家具成品仓库，2#厂房内的竹条仓库、板材成品暂存区，仓库内设的原料仓库、板材成品仓库及厂内其他区域</w:t>
      </w:r>
      <w:r>
        <w:rPr>
          <w:rFonts w:hint="eastAsia" w:ascii="仿宋_GB2312" w:hAnsi="仿宋" w:eastAsia="仿宋_GB2312" w:cs="仿宋"/>
          <w:sz w:val="32"/>
          <w:szCs w:val="32"/>
          <w:lang w:val="zh-CN" w:eastAsia="zh-CN"/>
        </w:rPr>
        <w:t>地面做一般硬化处理</w:t>
      </w:r>
      <w:r>
        <w:rPr>
          <w:rFonts w:hint="eastAsia"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sz w:val="32"/>
          <w:szCs w:val="32"/>
          <w:lang w:val="en-GB" w:eastAsia="zh-CN"/>
        </w:rPr>
      </w:pPr>
      <w:r>
        <w:rPr>
          <w:rFonts w:hint="eastAsia" w:ascii="仿宋_GB2312" w:hAnsi="仿宋" w:eastAsia="仿宋_GB2312" w:cs="仿宋"/>
          <w:b/>
          <w:bCs/>
          <w:sz w:val="32"/>
          <w:szCs w:val="32"/>
          <w:lang w:val="en-US" w:eastAsia="zh-CN"/>
        </w:rPr>
        <w:t>（七）严格落实环境风险防范措施。</w:t>
      </w:r>
      <w:r>
        <w:rPr>
          <w:rFonts w:hint="default" w:ascii="仿宋_GB2312" w:hAnsi="仿宋" w:eastAsia="仿宋_GB2312" w:cs="仿宋"/>
          <w:sz w:val="32"/>
          <w:szCs w:val="32"/>
          <w:lang w:val="en-US" w:eastAsia="zh-CN"/>
        </w:rPr>
        <w:t>项目环境风险主要为原辅料泄漏、危险废物泄漏、火灾爆炸</w:t>
      </w:r>
      <w:r>
        <w:rPr>
          <w:rFonts w:hint="eastAsia" w:ascii="仿宋_GB2312" w:hAnsi="仿宋" w:eastAsia="仿宋_GB2312" w:cs="仿宋"/>
          <w:sz w:val="32"/>
          <w:szCs w:val="32"/>
          <w:highlight w:val="none"/>
          <w:lang w:val="en-US" w:eastAsia="zh-CN"/>
        </w:rPr>
        <w:t>等事故</w:t>
      </w:r>
      <w:bookmarkStart w:id="0" w:name="_GoBack"/>
      <w:bookmarkEnd w:id="0"/>
      <w:r>
        <w:rPr>
          <w:rFonts w:hint="default" w:ascii="仿宋_GB2312" w:hAnsi="仿宋" w:eastAsia="仿宋_GB2312" w:cs="仿宋"/>
          <w:sz w:val="32"/>
          <w:szCs w:val="32"/>
          <w:lang w:val="en-US" w:eastAsia="zh-CN"/>
        </w:rPr>
        <w:t>。项目</w:t>
      </w:r>
      <w:r>
        <w:rPr>
          <w:rFonts w:hint="eastAsia" w:ascii="仿宋_GB2312" w:hAnsi="仿宋" w:eastAsia="仿宋_GB2312" w:cs="仿宋"/>
          <w:sz w:val="32"/>
          <w:szCs w:val="32"/>
          <w:lang w:val="en-US" w:eastAsia="zh-CN"/>
        </w:rPr>
        <w:t>采取相应的</w:t>
      </w:r>
      <w:r>
        <w:rPr>
          <w:rFonts w:hint="default" w:ascii="仿宋_GB2312" w:hAnsi="仿宋" w:eastAsia="仿宋_GB2312" w:cs="仿宋"/>
          <w:sz w:val="32"/>
          <w:szCs w:val="32"/>
          <w:lang w:val="en-US" w:eastAsia="zh-CN"/>
        </w:rPr>
        <w:t>环境风险防范措施</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建立健全突发环境事故应急制度</w:t>
      </w:r>
      <w:r>
        <w:rPr>
          <w:rFonts w:hint="eastAsia" w:ascii="仿宋_GB2312" w:hAnsi="仿宋" w:eastAsia="仿宋_GB2312" w:cs="仿宋"/>
          <w:sz w:val="32"/>
          <w:szCs w:val="32"/>
          <w:lang w:val="en-US" w:eastAsia="zh-CN"/>
        </w:rPr>
        <w:t>，降低环境</w:t>
      </w:r>
      <w:r>
        <w:rPr>
          <w:rFonts w:hint="default" w:ascii="仿宋_GB2312" w:hAnsi="仿宋" w:eastAsia="仿宋_GB2312" w:cs="仿宋"/>
          <w:sz w:val="32"/>
          <w:szCs w:val="32"/>
          <w:lang w:val="en-US" w:eastAsia="zh-CN"/>
        </w:rPr>
        <w:t>风险事故发生概率</w:t>
      </w:r>
      <w:r>
        <w:rPr>
          <w:rFonts w:hint="eastAsia" w:ascii="仿宋_GB2312" w:hAnsi="仿宋" w:eastAsia="仿宋_GB2312" w:cs="仿宋"/>
          <w:sz w:val="32"/>
          <w:szCs w:val="32"/>
          <w:lang w:val="en-GB"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（八）提高管理和运营水平，加强非正常工况的生态环境保护工作。</w:t>
      </w:r>
      <w:r>
        <w:rPr>
          <w:rFonts w:hint="eastAsia" w:ascii="仿宋_GB2312" w:hAnsi="仿宋" w:eastAsia="仿宋_GB2312" w:cs="仿宋"/>
          <w:sz w:val="32"/>
          <w:szCs w:val="32"/>
          <w:lang w:val="en-US" w:eastAsia="zh-CN"/>
        </w:rPr>
        <w:t>定期对环保处理设施进行检查、维护，加强设备管理，认真做好设备、管道、阀门的检查工作，降低非正常工况发生频次及污染物排放量。</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（九）严格落实污染源和生态环境监测计划。</w:t>
      </w:r>
      <w:r>
        <w:rPr>
          <w:rFonts w:hint="eastAsia" w:ascii="仿宋_GB2312" w:hAnsi="仿宋" w:eastAsia="仿宋_GB2312" w:cs="仿宋"/>
          <w:sz w:val="32"/>
          <w:szCs w:val="32"/>
          <w:lang w:val="en-US" w:eastAsia="zh-CN"/>
        </w:rPr>
        <w:t>按照相关标准和规定要求，开展长期环境监测，保存原始监测记录，定期向公众公布污染物排放监测结果。</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三、其他要求</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（一）项目建设须严格执行配套的环境保护设施与主体工程“三同时”制度。</w:t>
      </w:r>
      <w:r>
        <w:rPr>
          <w:rFonts w:hint="eastAsia" w:ascii="仿宋_GB2312" w:hAnsi="仿宋" w:eastAsia="仿宋_GB2312" w:cs="仿宋"/>
          <w:sz w:val="32"/>
          <w:szCs w:val="32"/>
          <w:lang w:val="en-US" w:eastAsia="zh-CN"/>
        </w:rPr>
        <w:t>按规定程序开展环境保护设施竣工自主验收，合格后方可正式投入运行。加强重点环保设备设计、施工、运行安全管理。环境影响报告表经批准后，项目的性质、规模、地点、工艺或环境保护措施发生重大变动，应当重新报批环境影响报告表。自批准之日起超过五年后方开工建设的，环境影响报告表应当报审批部门重新审核。</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（二）积极主动配合接受生态环境主管部门的日常监督管理。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spacing w:line="620" w:lineRule="exact"/>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spacing w:line="620" w:lineRule="exact"/>
        <w:jc w:val="righ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上犹县行政审批局</w:t>
      </w:r>
    </w:p>
    <w:p>
      <w:pPr>
        <w:keepNext w:val="0"/>
        <w:keepLines w:val="0"/>
        <w:pageBreakBefore w:val="0"/>
        <w:widowControl w:val="0"/>
        <w:kinsoku/>
        <w:wordWrap/>
        <w:overflowPunct/>
        <w:topLinePunct w:val="0"/>
        <w:autoSpaceDE/>
        <w:autoSpaceDN/>
        <w:bidi w:val="0"/>
        <w:spacing w:line="620" w:lineRule="exact"/>
        <w:jc w:val="righ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2026年6月4日</w:t>
      </w:r>
    </w:p>
    <w:p>
      <w:pPr>
        <w:keepNext w:val="0"/>
        <w:keepLines w:val="0"/>
        <w:pageBreakBefore w:val="0"/>
        <w:widowControl w:val="0"/>
        <w:kinsoku/>
        <w:wordWrap/>
        <w:overflowPunct/>
        <w:topLinePunct w:val="0"/>
        <w:autoSpaceDE/>
        <w:autoSpaceDN/>
        <w:bidi w:val="0"/>
        <w:spacing w:line="620" w:lineRule="exact"/>
        <w:textAlignment w:val="auto"/>
        <w:rPr>
          <w:rFonts w:hint="eastAsia" w:ascii="仿宋_GB2312" w:hAnsi="仿宋" w:eastAsia="仿宋_GB2312" w:cs="仿宋"/>
          <w:sz w:val="32"/>
          <w:szCs w:val="32"/>
          <w:lang w:val="en-US" w:eastAsia="zh-CN"/>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rPr>
          <w:rFonts w:ascii="Calibri" w:eastAsia="宋体" w:cs="Times New Roman"/>
        </w:rPr>
      </w:pPr>
    </w:p>
    <w:p>
      <w:pPr>
        <w:keepNext w:val="0"/>
        <w:keepLines w:val="0"/>
        <w:pageBreakBefore w:val="0"/>
        <w:widowControl w:val="0"/>
        <w:kinsoku/>
        <w:wordWrap/>
        <w:overflowPunct/>
        <w:topLinePunct w:val="0"/>
        <w:bidi w:val="0"/>
        <w:spacing w:line="620" w:lineRule="exact"/>
        <w:textAlignment w:val="auto"/>
        <w:rPr>
          <w:rFonts w:hint="eastAsia" w:ascii="仿宋_GB2312" w:hAnsi="仿宋" w:eastAsia="仿宋_GB2312" w:cs="仿宋"/>
          <w:w w:val="98"/>
          <w:sz w:val="28"/>
          <w:szCs w:val="28"/>
          <w:lang w:val="en-US" w:eastAsia="zh-CN"/>
        </w:rPr>
      </w:pPr>
      <w:r>
        <w:rPr>
          <w:rFonts w:ascii="仿宋_GB2312" w:hAnsi="仿宋" w:eastAsia="仿宋_GB2312" w:cs="仿宋"/>
          <w:w w:val="98"/>
          <w:sz w:val="28"/>
          <w:szCs w:val="28"/>
        </w:rP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11430</wp:posOffset>
                </wp:positionV>
                <wp:extent cx="555434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5434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0.9pt;height:0pt;width:437.35pt;z-index:251663360;mso-width-relative:page;mso-height-relative:page;" filled="f" stroked="t" coordsize="21600,21600" o:gfxdata="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YfkBLRAAAABQEAAA8AAAAAAAAA&#10;AQAgAAAAIgAAAGRycy9kb3ducmV2LnhtbFBLAQIUABQAAAAIAIdO4kCZPFSW3wEAAKQDAAAOAAAA&#10;AAAAAAEAIAAAACABAABkcnMvZTJvRG9jLnhtbFBLBQYAAAAABgAGAFkBAABxBQAAAAA=&#10;">
                <v:fill on="f" focussize="0,0"/>
                <v:stroke color="#000000" joinstyle="round"/>
                <v:imagedata o:title=""/>
                <o:lock v:ext="edit" aspectratio="f"/>
              </v:line>
            </w:pict>
          </mc:Fallback>
        </mc:AlternateContent>
      </w:r>
      <w:r>
        <w:rPr>
          <w:rFonts w:hint="eastAsia" w:ascii="仿宋_GB2312" w:hAnsi="仿宋" w:eastAsia="仿宋_GB2312" w:cs="仿宋"/>
          <w:w w:val="98"/>
          <w:sz w:val="28"/>
          <w:szCs w:val="28"/>
        </w:rPr>
        <w:t>抄送：赣州市上犹生态环境局</w:t>
      </w:r>
      <w:r>
        <w:rPr>
          <w:rFonts w:hint="eastAsia" w:ascii="仿宋_GB2312" w:hAnsi="仿宋" w:eastAsia="仿宋_GB2312" w:cs="仿宋"/>
          <w:w w:val="98"/>
          <w:sz w:val="28"/>
          <w:szCs w:val="28"/>
          <w:lang w:val="en-US" w:eastAsia="zh-CN"/>
        </w:rPr>
        <w:t xml:space="preserve">     江西上犹工业园区管理委员会   </w:t>
      </w:r>
    </w:p>
    <w:p>
      <w:pPr>
        <w:keepNext w:val="0"/>
        <w:keepLines w:val="0"/>
        <w:pageBreakBefore w:val="0"/>
        <w:widowControl w:val="0"/>
        <w:kinsoku/>
        <w:wordWrap/>
        <w:overflowPunct/>
        <w:topLinePunct w:val="0"/>
        <w:bidi w:val="0"/>
        <w:spacing w:line="620" w:lineRule="exact"/>
        <w:textAlignment w:val="auto"/>
        <w:rPr>
          <w:rFonts w:hint="eastAsia" w:ascii="仿宋_GB2312" w:hAnsi="仿宋" w:eastAsia="仿宋_GB2312" w:cs="仿宋"/>
          <w:w w:val="98"/>
          <w:sz w:val="28"/>
          <w:szCs w:val="28"/>
          <w:lang w:val="en-US" w:eastAsia="zh-CN"/>
        </w:rPr>
      </w:pPr>
      <w:r>
        <w:rPr>
          <w:rFonts w:hint="eastAsia" w:ascii="仿宋_GB2312" w:hAnsi="仿宋" w:eastAsia="仿宋_GB2312" w:cs="仿宋"/>
          <w:w w:val="98"/>
          <w:sz w:val="28"/>
          <w:szCs w:val="28"/>
          <w:lang w:val="en-US" w:eastAsia="zh-CN"/>
        </w:rPr>
        <w:t>江西明腾工程咨询有限公司</w:t>
      </w:r>
    </w:p>
    <w:p>
      <w:pPr>
        <w:keepNext w:val="0"/>
        <w:keepLines w:val="0"/>
        <w:pageBreakBefore w:val="0"/>
        <w:widowControl w:val="0"/>
        <w:kinsoku/>
        <w:wordWrap/>
        <w:overflowPunct/>
        <w:topLinePunct w:val="0"/>
        <w:bidi w:val="0"/>
        <w:adjustRightInd w:val="0"/>
        <w:snapToGrid w:val="0"/>
        <w:spacing w:line="620" w:lineRule="exact"/>
        <w:ind w:right="110"/>
        <w:textAlignment w:val="auto"/>
      </w:pPr>
      <w:r>
        <w:rPr>
          <w:rFonts w:ascii="仿宋_GB2312"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33655</wp:posOffset>
                </wp:positionV>
                <wp:extent cx="555434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434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pt;margin-top:2.65pt;height:0pt;width:437.35pt;z-index:251661312;mso-width-relative:page;mso-height-relative:page;" filled="f" stroked="t" coordsize="21600,21600" o:gfxdata="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Olx1PUAAAABQEAAA8AAAAA&#10;AAAAAQAgAAAAIgAAAGRycy9kb3ducmV2LnhtbFBLAQIUABQAAAAIAIdO4kBWv09N3wEAAKQDAAAO&#10;AAAAAAAAAAEAIAAAACMBAABkcnMvZTJvRG9jLnhtbFBLBQYAAAAABgAGAFkBAAB0BQ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419100</wp:posOffset>
                </wp:positionV>
                <wp:extent cx="55651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651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33pt;height:0pt;width:438.2pt;z-index:251662336;mso-width-relative:page;mso-height-relative:page;" filled="f" stroked="t" coordsize="21600,21600" o:gfxdata="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E4IUbWAAAABwEAAA8AAAAA&#10;AAAAAQAgAAAAIgAAAGRycy9kb3ducmV2LnhtbFBLAQIUABQAAAAIAIdO4kCyM52v3QEAAKUDAAAO&#10;AAAAAAAAAAEAIAAAACUBAABkcnMvZTJvRG9jLnhtbFBLBQYAAAAABgAGAFkBAAB0BQAAAAA=&#10;">
                <v:fill on="f" focussize="0,0"/>
                <v:stroke weight="1pt" color="#000000" joinstyle="round"/>
                <v:imagedata o:title=""/>
                <o:lock v:ext="edit" aspectratio="f"/>
              </v:line>
            </w:pict>
          </mc:Fallback>
        </mc:AlternateContent>
      </w:r>
      <w:r>
        <w:rPr>
          <w:rFonts w:hint="eastAsia" w:ascii="仿宋_GB2312" w:hAnsi="Times New Roman" w:eastAsia="仿宋_GB2312" w:cs="Times New Roman"/>
          <w:sz w:val="28"/>
          <w:szCs w:val="28"/>
        </w:rPr>
        <w:t xml:space="preserve">上犹县行政审批局综合股                   </w:t>
      </w:r>
      <w:r>
        <w:rPr>
          <w:rFonts w:hint="eastAsia" w:cs="仿宋" w:asciiTheme="minorEastAsia" w:hAnsiTheme="minorEastAsia"/>
          <w:sz w:val="28"/>
          <w:szCs w:val="28"/>
        </w:rPr>
        <w:t>202</w:t>
      </w:r>
      <w:r>
        <w:rPr>
          <w:rFonts w:hint="eastAsia" w:cs="仿宋" w:asciiTheme="minorEastAsia" w:hAnsiTheme="minorEastAsia"/>
          <w:sz w:val="28"/>
          <w:szCs w:val="28"/>
          <w:lang w:val="en-US" w:eastAsia="zh-CN"/>
        </w:rPr>
        <w:t>6</w:t>
      </w:r>
      <w:r>
        <w:rPr>
          <w:rFonts w:hint="eastAsia" w:ascii="仿宋_GB2312" w:hAnsi="仿宋" w:eastAsia="仿宋_GB2312" w:cs="仿宋"/>
          <w:sz w:val="28"/>
          <w:szCs w:val="28"/>
        </w:rPr>
        <w:t>年</w:t>
      </w:r>
      <w:r>
        <w:rPr>
          <w:rFonts w:hint="eastAsia" w:ascii="仿宋_GB2312" w:hAnsi="仿宋" w:eastAsia="仿宋_GB2312" w:cs="仿宋"/>
          <w:sz w:val="28"/>
          <w:szCs w:val="28"/>
          <w:lang w:val="en-US" w:eastAsia="zh-CN"/>
        </w:rPr>
        <w:t>6</w:t>
      </w:r>
      <w:r>
        <w:rPr>
          <w:rFonts w:hint="eastAsia" w:ascii="仿宋_GB2312" w:hAnsi="仿宋" w:eastAsia="仿宋_GB2312" w:cs="仿宋"/>
          <w:sz w:val="28"/>
          <w:szCs w:val="28"/>
        </w:rPr>
        <w:t>月</w:t>
      </w:r>
      <w:r>
        <w:rPr>
          <w:rFonts w:hint="eastAsia" w:eastAsia="仿宋_GB2312" w:cs="仿宋" w:asciiTheme="minorEastAsia" w:hAnsiTheme="minorEastAsia"/>
          <w:sz w:val="28"/>
          <w:szCs w:val="28"/>
          <w:lang w:val="en-US" w:eastAsia="zh-CN"/>
        </w:rPr>
        <w:t>4</w:t>
      </w:r>
      <w:r>
        <w:rPr>
          <w:rFonts w:hint="eastAsia" w:ascii="仿宋_GB2312" w:hAnsi="仿宋" w:eastAsia="仿宋_GB2312" w:cs="仿宋"/>
          <w:sz w:val="28"/>
          <w:szCs w:val="28"/>
        </w:rPr>
        <w:t>日印发</w:t>
      </w:r>
    </w:p>
    <w:sectPr>
      <w:headerReference r:id="rId4" w:type="first"/>
      <w:footerReference r:id="rId7" w:type="first"/>
      <w:footerReference r:id="rId5" w:type="default"/>
      <w:headerReference r:id="rId3" w:type="even"/>
      <w:footerReference r:id="rId6"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snapToGrid w:val="0"/>
      <w:jc w:val="left"/>
      <w:rPr>
        <w:rFonts w:ascii="宋体" w:hAnsi="宋体" w:eastAsia="宋体" w:cs="Times New Roman"/>
        <w:sz w:val="28"/>
      </w:rPr>
    </w:pPr>
    <w:r>
      <w:rPr>
        <w:rFonts w:hint="eastAsia" w:ascii="宋体" w:hAnsi="宋体" w:eastAsia="宋体" w:cs="Times New Roman"/>
        <w:sz w:val="28"/>
      </w:rPr>
      <w:t xml:space="preserve">— </w:t>
    </w:r>
    <w:r>
      <w:rPr>
        <w:rFonts w:ascii="宋体" w:hAnsi="宋体" w:eastAsia="宋体" w:cs="Times New Roman"/>
        <w:sz w:val="28"/>
        <w:szCs w:val="28"/>
      </w:rPr>
      <w:fldChar w:fldCharType="begin"/>
    </w:r>
    <w:r>
      <w:rPr>
        <w:rFonts w:ascii="宋体" w:hAnsi="宋体" w:eastAsia="宋体" w:cs="Times New Roman"/>
        <w:sz w:val="28"/>
      </w:rPr>
      <w:instrText xml:space="preserve">PAGE  </w:instrText>
    </w:r>
    <w:r>
      <w:rPr>
        <w:rFonts w:ascii="宋体" w:hAnsi="宋体" w:eastAsia="宋体" w:cs="Times New Roman"/>
        <w:sz w:val="28"/>
        <w:szCs w:val="28"/>
      </w:rPr>
      <w:fldChar w:fldCharType="separate"/>
    </w:r>
    <w:r>
      <w:rPr>
        <w:rFonts w:ascii="宋体" w:hAnsi="宋体" w:eastAsia="宋体" w:cs="Times New Roman"/>
        <w:sz w:val="28"/>
      </w:rPr>
      <w:t>6</w:t>
    </w:r>
    <w:r>
      <w:rPr>
        <w:rFonts w:ascii="宋体" w:hAnsi="宋体" w:eastAsia="宋体" w:cs="Times New Roman"/>
        <w:sz w:val="28"/>
        <w:szCs w:val="28"/>
      </w:rPr>
      <w:fldChar w:fldCharType="end"/>
    </w:r>
    <w:r>
      <w:rPr>
        <w:rFonts w:hint="eastAsia" w:ascii="宋体" w:hAnsi="宋体" w:eastAsia="宋体" w:cs="Times New Roman"/>
        <w:sz w:val="28"/>
      </w:rPr>
      <w:t xml:space="preserve"> —</w:t>
    </w:r>
  </w:p>
  <w:p>
    <w:pPr>
      <w:tabs>
        <w:tab w:val="center" w:pos="4153"/>
        <w:tab w:val="right" w:pos="8306"/>
      </w:tabs>
      <w:snapToGrid w:val="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8BECD20-EA2E-4231-B398-EECE0AA85E0C}" w:val="WICy2fzV/1raisKME7L0N9JwTqA+OvoUpbgxe=YPFD4SZXhHc5Bt6QR3ujnmklGd8"/>
    <w:docVar w:name="commondata" w:val="eyJoZGlkIjoiM2MyNGFiYjA5YTEzM2QwNGRjZjVjZGVlNDZjNDEzMmYifQ=="/>
    <w:docVar w:name="DocumentID" w:val="{C3AA9ED1-654F-411B-87B7-D79B1C3BD3A6}"/>
  </w:docVars>
  <w:rsids>
    <w:rsidRoot w:val="0B2339D8"/>
    <w:rsid w:val="005B57CB"/>
    <w:rsid w:val="00875A8C"/>
    <w:rsid w:val="00933F07"/>
    <w:rsid w:val="00B62AF2"/>
    <w:rsid w:val="02126066"/>
    <w:rsid w:val="032724C5"/>
    <w:rsid w:val="033E1F62"/>
    <w:rsid w:val="03C64650"/>
    <w:rsid w:val="03D120AF"/>
    <w:rsid w:val="04697BE5"/>
    <w:rsid w:val="0482210D"/>
    <w:rsid w:val="05E934C2"/>
    <w:rsid w:val="09970BEC"/>
    <w:rsid w:val="0A1524CD"/>
    <w:rsid w:val="0A3E1750"/>
    <w:rsid w:val="0A62550D"/>
    <w:rsid w:val="0A9F251E"/>
    <w:rsid w:val="0ABD54CD"/>
    <w:rsid w:val="0B2339D8"/>
    <w:rsid w:val="0BBE75D5"/>
    <w:rsid w:val="0CC23199"/>
    <w:rsid w:val="0CF630C1"/>
    <w:rsid w:val="0D5F44D9"/>
    <w:rsid w:val="0E1419D5"/>
    <w:rsid w:val="0F2958F7"/>
    <w:rsid w:val="109C3E7E"/>
    <w:rsid w:val="11766588"/>
    <w:rsid w:val="117C655F"/>
    <w:rsid w:val="11AE7D2B"/>
    <w:rsid w:val="11D547A3"/>
    <w:rsid w:val="12BB7E59"/>
    <w:rsid w:val="13794265"/>
    <w:rsid w:val="13822816"/>
    <w:rsid w:val="13CF0CBB"/>
    <w:rsid w:val="148024A0"/>
    <w:rsid w:val="1492500C"/>
    <w:rsid w:val="15CA205A"/>
    <w:rsid w:val="171A7074"/>
    <w:rsid w:val="192553CB"/>
    <w:rsid w:val="1AC84C92"/>
    <w:rsid w:val="1B027D1A"/>
    <w:rsid w:val="1E757362"/>
    <w:rsid w:val="1E952C2C"/>
    <w:rsid w:val="1EA20892"/>
    <w:rsid w:val="1EB97816"/>
    <w:rsid w:val="1F3B1B5F"/>
    <w:rsid w:val="1F5B28E4"/>
    <w:rsid w:val="20591F10"/>
    <w:rsid w:val="22023DA6"/>
    <w:rsid w:val="22790B8B"/>
    <w:rsid w:val="23334268"/>
    <w:rsid w:val="23C039F6"/>
    <w:rsid w:val="24237BA6"/>
    <w:rsid w:val="2480392B"/>
    <w:rsid w:val="24B22F90"/>
    <w:rsid w:val="25F93A28"/>
    <w:rsid w:val="269E6E6D"/>
    <w:rsid w:val="276A7175"/>
    <w:rsid w:val="27A02F3E"/>
    <w:rsid w:val="27C460E5"/>
    <w:rsid w:val="28BF6885"/>
    <w:rsid w:val="28E85990"/>
    <w:rsid w:val="294A7FAB"/>
    <w:rsid w:val="2A183F30"/>
    <w:rsid w:val="2A680806"/>
    <w:rsid w:val="2AF51EAF"/>
    <w:rsid w:val="2B8F375C"/>
    <w:rsid w:val="2BB20001"/>
    <w:rsid w:val="2C8C3D4C"/>
    <w:rsid w:val="2C9416B3"/>
    <w:rsid w:val="2D000CB4"/>
    <w:rsid w:val="2DB1779A"/>
    <w:rsid w:val="2F4E690C"/>
    <w:rsid w:val="2FB951AF"/>
    <w:rsid w:val="30456075"/>
    <w:rsid w:val="31055E2A"/>
    <w:rsid w:val="31740D0A"/>
    <w:rsid w:val="333A69DB"/>
    <w:rsid w:val="33A79F1A"/>
    <w:rsid w:val="33DE1D3F"/>
    <w:rsid w:val="357B3AB1"/>
    <w:rsid w:val="35B01CD3"/>
    <w:rsid w:val="36D73558"/>
    <w:rsid w:val="37513B6C"/>
    <w:rsid w:val="385561F4"/>
    <w:rsid w:val="3980113F"/>
    <w:rsid w:val="3A646D91"/>
    <w:rsid w:val="3B484CF9"/>
    <w:rsid w:val="3B8400A3"/>
    <w:rsid w:val="3B962777"/>
    <w:rsid w:val="3D4F1D26"/>
    <w:rsid w:val="3D944009"/>
    <w:rsid w:val="3E8B1DB8"/>
    <w:rsid w:val="3E8C74FE"/>
    <w:rsid w:val="3F023231"/>
    <w:rsid w:val="3F1E7AFA"/>
    <w:rsid w:val="3F6935EF"/>
    <w:rsid w:val="40951D82"/>
    <w:rsid w:val="40E43FDA"/>
    <w:rsid w:val="429E3824"/>
    <w:rsid w:val="42D70ACD"/>
    <w:rsid w:val="436C0AAE"/>
    <w:rsid w:val="43A70BAF"/>
    <w:rsid w:val="44050D5F"/>
    <w:rsid w:val="44AB74EC"/>
    <w:rsid w:val="45D622C4"/>
    <w:rsid w:val="46615D65"/>
    <w:rsid w:val="481209F1"/>
    <w:rsid w:val="48DE6E3B"/>
    <w:rsid w:val="496A55CE"/>
    <w:rsid w:val="498020C2"/>
    <w:rsid w:val="4A9D3E59"/>
    <w:rsid w:val="4AE603C3"/>
    <w:rsid w:val="4BE8295D"/>
    <w:rsid w:val="4CAD7E44"/>
    <w:rsid w:val="4D994433"/>
    <w:rsid w:val="4EE37D8E"/>
    <w:rsid w:val="4F0F159B"/>
    <w:rsid w:val="4F6A7BD9"/>
    <w:rsid w:val="50386007"/>
    <w:rsid w:val="50A91DA8"/>
    <w:rsid w:val="51B360B7"/>
    <w:rsid w:val="51F6099B"/>
    <w:rsid w:val="54210FB7"/>
    <w:rsid w:val="54843528"/>
    <w:rsid w:val="57D531B8"/>
    <w:rsid w:val="58FD3BCC"/>
    <w:rsid w:val="5951265A"/>
    <w:rsid w:val="5A2E3EE0"/>
    <w:rsid w:val="5B070720"/>
    <w:rsid w:val="5B860DB6"/>
    <w:rsid w:val="5BB622D7"/>
    <w:rsid w:val="5BF7644F"/>
    <w:rsid w:val="5C593F6E"/>
    <w:rsid w:val="5CA66AA1"/>
    <w:rsid w:val="5D733C08"/>
    <w:rsid w:val="5E433B29"/>
    <w:rsid w:val="5E8446B6"/>
    <w:rsid w:val="5F034385"/>
    <w:rsid w:val="5FC06BDC"/>
    <w:rsid w:val="655B4B37"/>
    <w:rsid w:val="65BD10BF"/>
    <w:rsid w:val="66B728F2"/>
    <w:rsid w:val="6798174A"/>
    <w:rsid w:val="67A3767F"/>
    <w:rsid w:val="68231D95"/>
    <w:rsid w:val="682B66F0"/>
    <w:rsid w:val="68B612FB"/>
    <w:rsid w:val="69187931"/>
    <w:rsid w:val="692A2AC2"/>
    <w:rsid w:val="697F0366"/>
    <w:rsid w:val="6A8B4733"/>
    <w:rsid w:val="6C3B55DF"/>
    <w:rsid w:val="6C711BE6"/>
    <w:rsid w:val="6F36414A"/>
    <w:rsid w:val="702F4147"/>
    <w:rsid w:val="70334665"/>
    <w:rsid w:val="716B67CD"/>
    <w:rsid w:val="724E6E49"/>
    <w:rsid w:val="72E55E4A"/>
    <w:rsid w:val="73012361"/>
    <w:rsid w:val="73263AC3"/>
    <w:rsid w:val="733C02DF"/>
    <w:rsid w:val="739A4B33"/>
    <w:rsid w:val="74501897"/>
    <w:rsid w:val="74F576E6"/>
    <w:rsid w:val="75BB3DC8"/>
    <w:rsid w:val="76A72047"/>
    <w:rsid w:val="76C10067"/>
    <w:rsid w:val="76D91737"/>
    <w:rsid w:val="773855A4"/>
    <w:rsid w:val="786C6A7C"/>
    <w:rsid w:val="7B064EFC"/>
    <w:rsid w:val="7B1D7E47"/>
    <w:rsid w:val="7C393AE4"/>
    <w:rsid w:val="7CA47567"/>
    <w:rsid w:val="7D8C2F2A"/>
    <w:rsid w:val="7E926C44"/>
    <w:rsid w:val="8EEDF349"/>
    <w:rsid w:val="9ED360DC"/>
    <w:rsid w:val="BB8D4A06"/>
    <w:rsid w:val="BFFED178"/>
    <w:rsid w:val="CFC0C725"/>
    <w:rsid w:val="EFFFE1DB"/>
    <w:rsid w:val="FF7E14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next w:val="1"/>
    <w:qFormat/>
    <w:uiPriority w:val="0"/>
    <w:pPr>
      <w:ind w:firstLine="420"/>
    </w:pPr>
    <w:rPr>
      <w:rFonts w:ascii="仿宋_GB2312"/>
      <w:spacing w:val="4"/>
      <w:kern w:val="18"/>
      <w:szCs w:val="28"/>
    </w:rPr>
  </w:style>
  <w:style w:type="paragraph" w:styleId="4">
    <w:name w:val="annotation text"/>
    <w:basedOn w:val="1"/>
    <w:qFormat/>
    <w:uiPriority w:val="0"/>
    <w:pPr>
      <w:jc w:val="left"/>
    </w:pPr>
  </w:style>
  <w:style w:type="paragraph" w:styleId="5">
    <w:name w:val="Body Text"/>
    <w:basedOn w:val="1"/>
    <w:qFormat/>
    <w:uiPriority w:val="0"/>
    <w:rPr>
      <w:sz w:val="32"/>
    </w:rPr>
  </w:style>
  <w:style w:type="paragraph" w:styleId="6">
    <w:name w:val="Body Text Indent"/>
    <w:basedOn w:val="1"/>
    <w:next w:val="1"/>
    <w:qFormat/>
    <w:uiPriority w:val="0"/>
    <w:pPr>
      <w:spacing w:after="120"/>
      <w:ind w:left="420" w:leftChars="200"/>
    </w:pPr>
  </w:style>
  <w:style w:type="paragraph" w:styleId="7">
    <w:name w:val="Body Text Indent 2"/>
    <w:basedOn w:val="1"/>
    <w:qFormat/>
    <w:uiPriority w:val="0"/>
    <w:pPr>
      <w:spacing w:after="120" w:afterLines="0" w:line="480" w:lineRule="auto"/>
      <w:ind w:left="420" w:leftChars="200"/>
    </w:p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next w:val="1"/>
    <w:qFormat/>
    <w:uiPriority w:val="0"/>
    <w:pPr>
      <w:ind w:firstLine="420" w:firstLineChars="100"/>
    </w:pPr>
  </w:style>
  <w:style w:type="paragraph" w:styleId="11">
    <w:name w:val="Body Text First Indent 2"/>
    <w:basedOn w:val="6"/>
    <w:next w:val="10"/>
    <w:qFormat/>
    <w:uiPriority w:val="0"/>
    <w:pPr>
      <w:adjustRightInd w:val="0"/>
      <w:spacing w:line="360" w:lineRule="auto"/>
      <w:ind w:firstLine="420" w:firstLineChars="200"/>
      <w:jc w:val="left"/>
    </w:pPr>
    <w:rPr>
      <w:rFonts w:ascii="仿宋_GB2312" w:eastAsia="仿宋_GB2312"/>
      <w:spacing w:val="4"/>
      <w:kern w:val="18"/>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Default"/>
    <w:basedOn w:val="16"/>
    <w:next w:val="11"/>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customStyle="1" w:styleId="16">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7">
    <w:name w:val="xl27"/>
    <w:basedOn w:val="1"/>
    <w:qFormat/>
    <w:uiPriority w:val="0"/>
    <w:pPr>
      <w:widowControl/>
      <w:pBdr>
        <w:bottom w:val="single" w:color="auto" w:sz="12" w:space="0"/>
      </w:pBdr>
      <w:spacing w:before="100" w:after="100"/>
      <w:ind w:firstLine="839"/>
      <w:jc w:val="center"/>
    </w:pPr>
    <w:rPr>
      <w:rFonts w:ascii="宋体" w:hAnsi="宋体"/>
      <w:szCs w:val="20"/>
    </w:rPr>
  </w:style>
  <w:style w:type="paragraph" w:customStyle="1" w:styleId="18">
    <w:name w:val="Default1"/>
    <w:basedOn w:val="19"/>
    <w:next w:val="1"/>
    <w:qFormat/>
    <w:uiPriority w:val="0"/>
    <w:pPr>
      <w:widowControl w:val="0"/>
      <w:autoSpaceDE w:val="0"/>
      <w:autoSpaceDN w:val="0"/>
      <w:adjustRightInd w:val="0"/>
    </w:pPr>
    <w:rPr>
      <w:rFonts w:ascii="宋体" w:cs="宋体"/>
      <w:color w:val="000000"/>
      <w:sz w:val="24"/>
      <w:szCs w:val="24"/>
      <w:lang w:val="en-US" w:eastAsia="zh-CN"/>
    </w:rPr>
  </w:style>
  <w:style w:type="paragraph" w:customStyle="1" w:styleId="19">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0">
    <w:name w:val="A正文"/>
    <w:basedOn w:val="1"/>
    <w:qFormat/>
    <w:uiPriority w:val="0"/>
    <w:pPr>
      <w:snapToGrid w:val="0"/>
      <w:ind w:firstLine="480"/>
    </w:pPr>
    <w:rPr>
      <w:rFonts w:ascii="Times New Roman"/>
      <w:szCs w:val="21"/>
      <w:lang w:val="zh-CN"/>
    </w:rPr>
  </w:style>
  <w:style w:type="character" w:customStyle="1" w:styleId="21">
    <w:name w:val="页眉 Char"/>
    <w:basedOn w:val="14"/>
    <w:link w:val="9"/>
    <w:qFormat/>
    <w:uiPriority w:val="0"/>
    <w:rPr>
      <w:rFonts w:asciiTheme="minorHAnsi" w:hAnsiTheme="minorHAnsi" w:eastAsiaTheme="minorEastAsia" w:cstheme="minorBidi"/>
      <w:kern w:val="2"/>
      <w:sz w:val="18"/>
      <w:szCs w:val="18"/>
    </w:rPr>
  </w:style>
  <w:style w:type="character" w:customStyle="1" w:styleId="22">
    <w:name w:val="页脚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8</Pages>
  <Words>2570</Words>
  <Characters>319</Characters>
  <Lines>2</Lines>
  <Paragraphs>5</Paragraphs>
  <TotalTime>1</TotalTime>
  <ScaleCrop>false</ScaleCrop>
  <LinksUpToDate>false</LinksUpToDate>
  <CharactersWithSpaces>2884</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2024-12-27T15:28:00Z</dcterms:created>
  <dc:creator>admin</dc:creator>
  <cp:lastModifiedBy>一个合格的喝水人</cp:lastModifiedBy>
  <cp:lastPrinted>2025-04-03T10:05:00Z</cp:lastPrinted>
  <dcterms:modified xsi:type="dcterms:W3CDTF">2026-06-04T15:52:21Z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588C6A5128ED4D93708A1E6AA25FEEF7_43</vt:lpwstr>
  </property>
</Properties>
</file>