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textAlignment w:val="baseline"/>
        <w:rPr>
          <w:rFonts w:ascii="Times New Roman" w:hAnsi="Times New Roman" w:eastAsia="宋体" w:cs="Times New Roman"/>
          <w:kern w:val="0"/>
          <w:sz w:val="24"/>
          <w:szCs w:val="24"/>
        </w:rPr>
      </w:pPr>
      <w:r>
        <w:rPr>
          <w:rFonts w:hint="eastAsia" w:ascii="方正小标宋简体" w:hAnsi="Times New Roman" w:eastAsia="方正小标宋简体" w:cs="Times New Roman"/>
          <w:kern w:val="0"/>
          <w:sz w:val="44"/>
          <w:szCs w:val="44"/>
          <w:shd w:val="clear" w:color="auto" w:fill="FFFFFF"/>
        </w:rPr>
        <w:t>上犹县政府办2020年政府信息公开工作</w:t>
      </w:r>
    </w:p>
    <w:p>
      <w:pPr>
        <w:widowControl/>
        <w:shd w:val="clear" w:color="auto" w:fill="FFFFFF"/>
        <w:spacing w:line="560" w:lineRule="atLeast"/>
        <w:jc w:val="center"/>
        <w:textAlignment w:val="baseline"/>
        <w:rPr>
          <w:rFonts w:ascii="Times New Roman" w:hAnsi="Times New Roman" w:eastAsia="宋体" w:cs="Times New Roman"/>
          <w:kern w:val="0"/>
          <w:sz w:val="24"/>
          <w:szCs w:val="24"/>
        </w:rPr>
      </w:pPr>
      <w:r>
        <w:rPr>
          <w:rFonts w:hint="eastAsia" w:ascii="方正小标宋简体" w:hAnsi="Times New Roman" w:eastAsia="方正小标宋简体" w:cs="Times New Roman"/>
          <w:kern w:val="0"/>
          <w:sz w:val="44"/>
          <w:szCs w:val="44"/>
          <w:shd w:val="clear" w:color="auto" w:fill="FFFFFF"/>
        </w:rPr>
        <w:t>年度报告</w:t>
      </w:r>
    </w:p>
    <w:p>
      <w:pPr>
        <w:widowControl/>
        <w:shd w:val="clear" w:color="auto" w:fill="FFFFFF"/>
        <w:ind w:firstLine="420"/>
        <w:textAlignment w:val="baseline"/>
        <w:rPr>
          <w:rFonts w:ascii="Times New Roman" w:hAnsi="Times New Roman" w:eastAsia="宋体" w:cs="Times New Roman"/>
          <w:kern w:val="0"/>
          <w:sz w:val="24"/>
          <w:szCs w:val="24"/>
        </w:rPr>
      </w:pPr>
      <w:r>
        <w:rPr>
          <w:rFonts w:hint="eastAsia" w:ascii="宋体" w:hAnsi="宋体" w:eastAsia="宋体" w:cs="Times New Roman"/>
          <w:kern w:val="0"/>
          <w:sz w:val="32"/>
          <w:szCs w:val="32"/>
        </w:rPr>
        <w:t> </w:t>
      </w:r>
    </w:p>
    <w:p>
      <w:pPr>
        <w:widowControl/>
        <w:shd w:val="clear" w:color="auto" w:fill="FFFFFF"/>
        <w:spacing w:line="560" w:lineRule="atLeast"/>
        <w:ind w:firstLine="640"/>
        <w:textAlignment w:val="baseline"/>
        <w:rPr>
          <w:rFonts w:ascii="Calibri" w:hAnsi="Calibri" w:eastAsia="宋体" w:cs="宋体"/>
          <w:kern w:val="0"/>
          <w:szCs w:val="21"/>
        </w:rPr>
      </w:pPr>
      <w:r>
        <w:rPr>
          <w:rFonts w:hint="eastAsia" w:ascii="仿宋" w:hAnsi="仿宋" w:eastAsia="仿宋" w:cs="宋体"/>
          <w:kern w:val="0"/>
          <w:sz w:val="32"/>
          <w:szCs w:val="32"/>
        </w:rPr>
        <w:t>本报告依据《中华人民共和国政府信息公开条例》（国务院令第711号，以下简称新《条例》）和《国务院办公厅政府信息与政务公开办公室关于政府信息公开工作年度报告有关事项的通知》（国办公开办函〔2019〕60号）要求，由上犹县政府办结合有关统计数据编制。本年度报告中所列数据的统计期限自2020年1月1日起至2020年12月31日止。全文包括总体情况、主动公开政府信息情况、收到和处理政府信息公开申请情况、政府信息公开行政复议行政诉讼情况、存在的主要问题及改进情况、其他需要报告的事项等6个方面的内容。本年度报告的电子版可以从上犹县人民政府网站</w:t>
      </w:r>
    </w:p>
    <w:p>
      <w:pPr>
        <w:widowControl/>
        <w:shd w:val="clear" w:color="auto" w:fill="FFFFFF"/>
        <w:spacing w:line="560" w:lineRule="atLeast"/>
        <w:textAlignment w:val="baseline"/>
        <w:rPr>
          <w:rFonts w:ascii="Calibri" w:hAnsi="Calibri" w:eastAsia="宋体" w:cs="宋体"/>
          <w:kern w:val="0"/>
          <w:szCs w:val="21"/>
        </w:rPr>
      </w:pPr>
      <w:r>
        <w:rPr>
          <w:rFonts w:hint="eastAsia" w:ascii="仿宋" w:hAnsi="仿宋" w:eastAsia="仿宋" w:cs="宋体"/>
          <w:kern w:val="0"/>
          <w:sz w:val="32"/>
          <w:szCs w:val="32"/>
        </w:rPr>
        <w:t>（http://www.shangyou.gov.cn/syxxxgk/zfxxgknb/xxgk_gknb.shtml）下载。如对本报告有任何疑问，请与上犹县人民政府办公室联系（地址：赣州市上犹县犹江大道16号行政中心，电话：0797-8542306）。</w:t>
      </w:r>
    </w:p>
    <w:p>
      <w:pPr>
        <w:widowControl/>
        <w:shd w:val="clear" w:color="auto" w:fill="FFFFFF"/>
        <w:spacing w:line="560" w:lineRule="atLeast"/>
        <w:textAlignment w:val="baseline"/>
        <w:rPr>
          <w:rFonts w:ascii="Times New Roman" w:hAnsi="Times New Roman" w:eastAsia="宋体" w:cs="Times New Roman"/>
          <w:kern w:val="0"/>
          <w:sz w:val="24"/>
          <w:szCs w:val="24"/>
        </w:rPr>
      </w:pPr>
      <w:r>
        <w:rPr>
          <w:rFonts w:hint="eastAsia" w:ascii="宋体" w:hAnsi="宋体" w:eastAsia="宋体" w:cs="宋体"/>
          <w:kern w:val="0"/>
          <w:sz w:val="32"/>
          <w:szCs w:val="32"/>
          <w:shd w:val="clear" w:color="auto" w:fill="FFFFFF"/>
        </w:rPr>
        <w:t>     </w:t>
      </w:r>
      <w:r>
        <w:rPr>
          <w:rFonts w:hint="eastAsia" w:ascii="黑体" w:hAnsi="黑体" w:eastAsia="黑体" w:cs="Times New Roman"/>
          <w:kern w:val="0"/>
          <w:sz w:val="32"/>
          <w:szCs w:val="32"/>
          <w:shd w:val="clear" w:color="auto" w:fill="FFFFFF"/>
        </w:rPr>
        <w:t>一、总体情况</w:t>
      </w:r>
    </w:p>
    <w:p>
      <w:pPr>
        <w:widowControl/>
        <w:shd w:val="clear" w:color="auto" w:fill="FFFFFF"/>
        <w:spacing w:line="560" w:lineRule="atLeast"/>
        <w:ind w:firstLine="640"/>
        <w:textAlignment w:val="baseline"/>
        <w:rPr>
          <w:rFonts w:ascii="Times New Roman" w:hAnsi="Times New Roman" w:eastAsia="宋体" w:cs="Times New Roman"/>
          <w:kern w:val="0"/>
          <w:sz w:val="24"/>
          <w:szCs w:val="24"/>
        </w:rPr>
      </w:pPr>
      <w:r>
        <w:rPr>
          <w:rFonts w:hint="eastAsia" w:ascii="仿宋" w:hAnsi="仿宋" w:eastAsia="仿宋" w:cs="Times New Roman"/>
          <w:kern w:val="0"/>
          <w:sz w:val="32"/>
          <w:szCs w:val="32"/>
          <w:shd w:val="clear" w:color="auto" w:fill="FFFFFF"/>
        </w:rPr>
        <w:t>2020年上犹县政府办坚持以习近平新时代中国特色社会主义思想为指导，深入贯彻党的十九大和十九届二中、三中、四中、五中全会精神，严格落实《国务院办公厅印发〈关于全面推进政务公开工作的意见〉实施细则的通知》（国办发〔2016〕80号）和《国务院办公厅关于印发2020年政务公开工作要点的通知》（国办发〔2020〕17号）及《关于转发国办</w:t>
      </w:r>
      <w:r>
        <w:rPr>
          <w:rFonts w:hint="eastAsia" w:ascii="仿宋" w:hAnsi="仿宋" w:eastAsia="仿宋" w:cs="Times New Roman"/>
          <w:kern w:val="0"/>
          <w:sz w:val="32"/>
          <w:szCs w:val="32"/>
        </w:rPr>
        <w:t>国办公开办函〔2019〕60号、61号文件做好政府信息公开有关工作的通知</w:t>
      </w:r>
      <w:r>
        <w:rPr>
          <w:rFonts w:hint="eastAsia" w:ascii="仿宋" w:hAnsi="仿宋" w:eastAsia="仿宋" w:cs="Times New Roman"/>
          <w:kern w:val="0"/>
          <w:sz w:val="32"/>
          <w:szCs w:val="32"/>
          <w:shd w:val="clear" w:color="auto" w:fill="FFFFFF"/>
        </w:rPr>
        <w:t>》要求。同时对政务公开要点和年报编制工作，明确目标任务，紧紧围绕省、市工作重点及社会群众关注关切，着力提升政府信息公开质量，推进拓宽政府信息公开渠道，不断增强政府信息公开实效。</w:t>
      </w:r>
    </w:p>
    <w:p>
      <w:pPr>
        <w:widowControl/>
        <w:shd w:val="clear" w:color="auto" w:fill="FFFFFF"/>
        <w:spacing w:line="560" w:lineRule="atLeast"/>
        <w:textAlignment w:val="baseline"/>
        <w:rPr>
          <w:rFonts w:ascii="Calibri" w:hAnsi="Calibri" w:eastAsia="宋体" w:cs="宋体"/>
          <w:kern w:val="0"/>
          <w:szCs w:val="21"/>
        </w:rPr>
      </w:pPr>
      <w:r>
        <w:rPr>
          <w:rFonts w:hint="eastAsia" w:ascii="宋体" w:hAnsi="宋体" w:eastAsia="宋体" w:cs="宋体"/>
          <w:b/>
          <w:bCs/>
          <w:kern w:val="0"/>
          <w:sz w:val="32"/>
          <w:szCs w:val="32"/>
        </w:rPr>
        <w:t>   </w:t>
      </w:r>
      <w:r>
        <w:rPr>
          <w:rFonts w:hint="eastAsia" w:ascii="楷体" w:hAnsi="楷体" w:eastAsia="楷体" w:cs="宋体"/>
          <w:b/>
          <w:bCs/>
          <w:kern w:val="0"/>
          <w:sz w:val="32"/>
          <w:szCs w:val="32"/>
        </w:rPr>
        <w:t>（一）主动公开政府信息情况</w:t>
      </w:r>
    </w:p>
    <w:p>
      <w:pPr>
        <w:widowControl/>
        <w:shd w:val="clear" w:color="auto" w:fill="FFFFFF"/>
        <w:spacing w:line="560" w:lineRule="atLeast"/>
        <w:textAlignment w:val="baseline"/>
        <w:rPr>
          <w:rFonts w:ascii="Times New Roman" w:hAnsi="Times New Roman" w:eastAsia="宋体" w:cs="Times New Roman"/>
          <w:kern w:val="0"/>
          <w:sz w:val="24"/>
          <w:szCs w:val="24"/>
        </w:rPr>
      </w:pPr>
      <w:r>
        <w:rPr>
          <w:rFonts w:hint="eastAsia" w:ascii="宋体" w:hAnsi="宋体" w:eastAsia="宋体" w:cs="宋体"/>
          <w:kern w:val="0"/>
          <w:sz w:val="32"/>
          <w:szCs w:val="32"/>
          <w:shd w:val="clear" w:color="auto" w:fill="FFFFFF"/>
        </w:rPr>
        <w:t>   </w:t>
      </w:r>
      <w:r>
        <w:rPr>
          <w:rFonts w:hint="eastAsia" w:ascii="仿宋" w:hAnsi="仿宋" w:eastAsia="仿宋" w:cs="Times New Roman"/>
          <w:kern w:val="0"/>
          <w:sz w:val="32"/>
          <w:szCs w:val="32"/>
          <w:shd w:val="clear" w:color="auto" w:fill="FFFFFF"/>
        </w:rPr>
        <w:t>我办作为政务公开的牵头单位，积极做好政务公开的组织和起头作用，2020年通过政府信息公开平台公开政府信息883条，重点突出“五公开”和重点民生领域信息公开，具体情况如下。</w:t>
      </w:r>
    </w:p>
    <w:p>
      <w:pPr>
        <w:widowControl/>
        <w:shd w:val="clear" w:color="auto" w:fill="FFFFFF"/>
        <w:spacing w:line="560" w:lineRule="atLeast"/>
        <w:textAlignment w:val="baseline"/>
        <w:rPr>
          <w:rFonts w:ascii="Times New Roman" w:hAnsi="Times New Roman" w:eastAsia="宋体" w:cs="Times New Roman"/>
          <w:kern w:val="0"/>
          <w:sz w:val="24"/>
          <w:szCs w:val="24"/>
        </w:rPr>
      </w:pPr>
      <w:r>
        <w:rPr>
          <w:rFonts w:hint="eastAsia" w:ascii="宋体" w:hAnsi="宋体" w:eastAsia="宋体" w:cs="宋体"/>
          <w:b/>
          <w:bCs/>
          <w:kern w:val="0"/>
          <w:sz w:val="32"/>
          <w:szCs w:val="32"/>
          <w:shd w:val="clear" w:color="auto" w:fill="FFFFFF"/>
        </w:rPr>
        <w:t>   </w:t>
      </w:r>
      <w:r>
        <w:rPr>
          <w:rFonts w:hint="eastAsia" w:ascii="仿宋" w:hAnsi="仿宋" w:eastAsia="仿宋" w:cs="仿宋"/>
          <w:b/>
          <w:bCs/>
          <w:kern w:val="0"/>
          <w:sz w:val="32"/>
          <w:szCs w:val="32"/>
          <w:shd w:val="clear" w:color="auto" w:fill="FFFFFF"/>
        </w:rPr>
        <w:t xml:space="preserve"> 1.</w:t>
      </w:r>
      <w:r>
        <w:rPr>
          <w:rFonts w:hint="eastAsia" w:ascii="仿宋" w:hAnsi="仿宋" w:eastAsia="仿宋" w:cs="Times New Roman"/>
          <w:b/>
          <w:bCs/>
          <w:kern w:val="0"/>
          <w:sz w:val="32"/>
          <w:szCs w:val="32"/>
          <w:shd w:val="clear" w:color="auto" w:fill="FFFFFF"/>
        </w:rPr>
        <w:t>决策公开。</w:t>
      </w:r>
      <w:r>
        <w:rPr>
          <w:rFonts w:hint="eastAsia" w:ascii="仿宋" w:hAnsi="仿宋" w:eastAsia="仿宋" w:cs="Times New Roman"/>
          <w:kern w:val="0"/>
          <w:sz w:val="32"/>
          <w:szCs w:val="32"/>
          <w:shd w:val="clear" w:color="auto" w:fill="FFFFFF"/>
        </w:rPr>
        <w:t>大力做好重大行政决策法定程序、重大决策预公开制度、意见征集形式工作。凡是涉及重大行政决策都严格按照程序进行预公开，都向社会公众征求相关意见并及时公开意见征集结果。2020年共有6项重大行政决策，收集到来自社会各界的意见80条，结合实际情况共采用了20条，并都将采用结果在政府网站上及时公开。</w:t>
      </w:r>
    </w:p>
    <w:p>
      <w:pPr>
        <w:widowControl/>
        <w:shd w:val="clear" w:color="auto" w:fill="FFFFFF"/>
        <w:spacing w:line="560" w:lineRule="atLeast"/>
        <w:ind w:firstLine="643"/>
        <w:textAlignment w:val="baseline"/>
        <w:rPr>
          <w:rFonts w:ascii="Calibri" w:hAnsi="Calibri" w:eastAsia="宋体" w:cs="宋体"/>
          <w:kern w:val="0"/>
          <w:szCs w:val="21"/>
        </w:rPr>
      </w:pPr>
      <w:r>
        <w:rPr>
          <w:rFonts w:hint="eastAsia" w:ascii="宋体" w:hAnsi="宋体" w:eastAsia="宋体" w:cs="宋体"/>
          <w:b/>
          <w:bCs/>
          <w:kern w:val="0"/>
          <w:sz w:val="32"/>
          <w:szCs w:val="32"/>
          <w:shd w:val="clear" w:color="auto" w:fill="FFFFFF"/>
        </w:rPr>
        <w:t> </w:t>
      </w:r>
      <w:r>
        <w:rPr>
          <w:rFonts w:hint="eastAsia" w:ascii="仿宋" w:hAnsi="仿宋" w:eastAsia="仿宋" w:cs="仿宋"/>
          <w:b/>
          <w:bCs/>
          <w:kern w:val="0"/>
          <w:sz w:val="32"/>
          <w:szCs w:val="32"/>
          <w:shd w:val="clear" w:color="auto" w:fill="FFFFFF"/>
        </w:rPr>
        <w:t>2.</w:t>
      </w:r>
      <w:r>
        <w:rPr>
          <w:rFonts w:hint="eastAsia" w:ascii="仿宋" w:hAnsi="仿宋" w:eastAsia="仿宋" w:cs="宋体"/>
          <w:b/>
          <w:bCs/>
          <w:kern w:val="0"/>
          <w:sz w:val="32"/>
          <w:szCs w:val="32"/>
          <w:shd w:val="clear" w:color="auto" w:fill="FFFFFF"/>
        </w:rPr>
        <w:t>管理公开。</w:t>
      </w:r>
      <w:r>
        <w:rPr>
          <w:rFonts w:hint="eastAsia" w:ascii="仿宋" w:hAnsi="仿宋" w:eastAsia="仿宋" w:cs="宋体"/>
          <w:kern w:val="0"/>
          <w:sz w:val="32"/>
          <w:szCs w:val="32"/>
          <w:shd w:val="clear" w:color="auto" w:fill="FFFFFF"/>
        </w:rPr>
        <w:t>全面承接上级取消下放权力事项，该承接的一律承接，该取消的一律取消。共承接省、市政府下放行政权力</w:t>
      </w:r>
      <w:r>
        <w:rPr>
          <w:rFonts w:hint="eastAsia" w:ascii="宋体" w:hAnsi="宋体" w:eastAsia="宋体" w:cs="宋体"/>
          <w:kern w:val="0"/>
          <w:sz w:val="32"/>
          <w:szCs w:val="32"/>
          <w:shd w:val="clear" w:color="auto" w:fill="FFFFFF"/>
        </w:rPr>
        <w:t>204</w:t>
      </w:r>
      <w:r>
        <w:rPr>
          <w:rFonts w:hint="eastAsia" w:ascii="仿宋" w:hAnsi="仿宋" w:eastAsia="仿宋" w:cs="宋体"/>
          <w:kern w:val="0"/>
          <w:sz w:val="32"/>
          <w:szCs w:val="32"/>
          <w:shd w:val="clear" w:color="auto" w:fill="FFFFFF"/>
        </w:rPr>
        <w:t>项，取消行政权力</w:t>
      </w:r>
      <w:r>
        <w:rPr>
          <w:rFonts w:hint="eastAsia" w:ascii="宋体" w:hAnsi="宋体" w:eastAsia="宋体" w:cs="宋体"/>
          <w:kern w:val="0"/>
          <w:sz w:val="32"/>
          <w:szCs w:val="32"/>
          <w:shd w:val="clear" w:color="auto" w:fill="FFFFFF"/>
        </w:rPr>
        <w:t>312</w:t>
      </w:r>
      <w:r>
        <w:rPr>
          <w:rFonts w:hint="eastAsia" w:ascii="仿宋" w:hAnsi="仿宋" w:eastAsia="仿宋" w:cs="宋体"/>
          <w:kern w:val="0"/>
          <w:sz w:val="32"/>
          <w:szCs w:val="32"/>
          <w:shd w:val="clear" w:color="auto" w:fill="FFFFFF"/>
        </w:rPr>
        <w:t>项，调整行政权力</w:t>
      </w:r>
      <w:r>
        <w:rPr>
          <w:rFonts w:hint="eastAsia" w:ascii="宋体" w:hAnsi="宋体" w:eastAsia="宋体" w:cs="宋体"/>
          <w:kern w:val="0"/>
          <w:sz w:val="32"/>
          <w:szCs w:val="32"/>
          <w:shd w:val="clear" w:color="auto" w:fill="FFFFFF"/>
        </w:rPr>
        <w:t>373</w:t>
      </w:r>
      <w:r>
        <w:rPr>
          <w:rFonts w:hint="eastAsia" w:ascii="仿宋" w:hAnsi="仿宋" w:eastAsia="仿宋" w:cs="宋体"/>
          <w:kern w:val="0"/>
          <w:sz w:val="32"/>
          <w:szCs w:val="32"/>
          <w:shd w:val="clear" w:color="auto" w:fill="FFFFFF"/>
        </w:rPr>
        <w:t>项。县本级行政许可</w:t>
      </w:r>
      <w:r>
        <w:rPr>
          <w:rFonts w:hint="eastAsia" w:ascii="宋体" w:hAnsi="宋体" w:eastAsia="宋体" w:cs="宋体"/>
          <w:kern w:val="0"/>
          <w:sz w:val="32"/>
          <w:szCs w:val="32"/>
          <w:shd w:val="clear" w:color="auto" w:fill="FFFFFF"/>
        </w:rPr>
        <w:t>199</w:t>
      </w:r>
      <w:r>
        <w:rPr>
          <w:rFonts w:hint="eastAsia" w:ascii="仿宋" w:hAnsi="仿宋" w:eastAsia="仿宋" w:cs="宋体"/>
          <w:kern w:val="0"/>
          <w:sz w:val="32"/>
          <w:szCs w:val="32"/>
          <w:shd w:val="clear" w:color="auto" w:fill="FFFFFF"/>
        </w:rPr>
        <w:t>项，对比原来的县级保留</w:t>
      </w:r>
      <w:r>
        <w:rPr>
          <w:rFonts w:hint="eastAsia" w:ascii="宋体" w:hAnsi="宋体" w:eastAsia="宋体" w:cs="宋体"/>
          <w:kern w:val="0"/>
          <w:sz w:val="32"/>
          <w:szCs w:val="32"/>
          <w:shd w:val="clear" w:color="auto" w:fill="FFFFFF"/>
        </w:rPr>
        <w:t>371</w:t>
      </w:r>
      <w:r>
        <w:rPr>
          <w:rFonts w:hint="eastAsia" w:ascii="仿宋" w:hAnsi="仿宋" w:eastAsia="仿宋" w:cs="宋体"/>
          <w:kern w:val="0"/>
          <w:sz w:val="32"/>
          <w:szCs w:val="32"/>
          <w:shd w:val="clear" w:color="auto" w:fill="FFFFFF"/>
        </w:rPr>
        <w:t>项行政许可，在上级持续下放事项基础上，精简率为</w:t>
      </w:r>
      <w:r>
        <w:rPr>
          <w:rFonts w:hint="eastAsia" w:ascii="宋体" w:hAnsi="宋体" w:eastAsia="宋体" w:cs="宋体"/>
          <w:kern w:val="0"/>
          <w:sz w:val="32"/>
          <w:szCs w:val="32"/>
          <w:shd w:val="clear" w:color="auto" w:fill="FFFFFF"/>
        </w:rPr>
        <w:t>44%</w:t>
      </w:r>
      <w:r>
        <w:rPr>
          <w:rFonts w:hint="eastAsia" w:ascii="仿宋" w:hAnsi="仿宋" w:eastAsia="仿宋" w:cs="宋体"/>
          <w:kern w:val="0"/>
          <w:sz w:val="32"/>
          <w:szCs w:val="32"/>
          <w:shd w:val="clear" w:color="auto" w:fill="FFFFFF"/>
        </w:rPr>
        <w:t>。动态调整权责清单。目前权责清单调整为</w:t>
      </w:r>
      <w:r>
        <w:rPr>
          <w:rFonts w:hint="eastAsia" w:ascii="宋体" w:hAnsi="宋体" w:eastAsia="宋体" w:cs="宋体"/>
          <w:kern w:val="0"/>
          <w:sz w:val="32"/>
          <w:szCs w:val="32"/>
          <w:shd w:val="clear" w:color="auto" w:fill="FFFFFF"/>
        </w:rPr>
        <w:t>4348</w:t>
      </w:r>
      <w:r>
        <w:rPr>
          <w:rFonts w:hint="eastAsia" w:ascii="仿宋" w:hAnsi="仿宋" w:eastAsia="仿宋" w:cs="宋体"/>
          <w:kern w:val="0"/>
          <w:sz w:val="32"/>
          <w:szCs w:val="32"/>
          <w:shd w:val="clear" w:color="auto" w:fill="FFFFFF"/>
        </w:rPr>
        <w:t>项，实现政府权力事项“无死角”、权责清单全覆盖，编制了乡镇权责清单，保留权责事项</w:t>
      </w:r>
      <w:r>
        <w:rPr>
          <w:rFonts w:hint="eastAsia" w:ascii="宋体" w:hAnsi="宋体" w:eastAsia="宋体" w:cs="宋体"/>
          <w:kern w:val="0"/>
          <w:sz w:val="32"/>
          <w:szCs w:val="32"/>
          <w:shd w:val="clear" w:color="auto" w:fill="FFFFFF"/>
        </w:rPr>
        <w:t>131</w:t>
      </w:r>
      <w:r>
        <w:rPr>
          <w:rFonts w:hint="eastAsia" w:ascii="仿宋" w:hAnsi="仿宋" w:eastAsia="仿宋" w:cs="宋体"/>
          <w:kern w:val="0"/>
          <w:sz w:val="32"/>
          <w:szCs w:val="32"/>
          <w:shd w:val="clear" w:color="auto" w:fill="FFFFFF"/>
        </w:rPr>
        <w:t>项。利用江西省“互联网＋监管”平台和</w:t>
      </w:r>
      <w:r>
        <w:rPr>
          <w:rFonts w:hint="eastAsia" w:ascii="仿宋" w:hAnsi="仿宋" w:eastAsia="仿宋" w:cs="宋体"/>
          <w:kern w:val="0"/>
          <w:sz w:val="32"/>
          <w:szCs w:val="32"/>
          <w:shd w:val="clear" w:color="auto" w:fill="FFFFFF"/>
          <w:lang w:eastAsia="zh-CN"/>
        </w:rPr>
        <w:t>“双随机、一公开”</w:t>
      </w:r>
      <w:r>
        <w:rPr>
          <w:rFonts w:hint="eastAsia" w:ascii="仿宋" w:hAnsi="仿宋" w:eastAsia="仿宋" w:cs="宋体"/>
          <w:kern w:val="0"/>
          <w:sz w:val="32"/>
          <w:szCs w:val="32"/>
          <w:shd w:val="clear" w:color="auto" w:fill="FFFFFF"/>
        </w:rPr>
        <w:t>平台对行政执法进行公示和监管，</w:t>
      </w:r>
      <w:r>
        <w:rPr>
          <w:rFonts w:hint="eastAsia" w:ascii="仿宋" w:hAnsi="仿宋" w:eastAsia="仿宋" w:cs="宋体"/>
          <w:kern w:val="0"/>
          <w:sz w:val="32"/>
          <w:szCs w:val="32"/>
        </w:rPr>
        <w:t>涉及我县公安、城管、市监、教育、人社、卫健、司法等33个单位的598个行政检查事项、459项行政执法事项、491个行政执法人员、22748家检查对象。2020年，我县各行政执法单位通过随机确定抽查对象、随机选派执法人员的方式，落实“双随机”抽查制度，已经制定双随机检查计划251次，及时完成双随机抽查任务168次，未出现一次黄灯、红灯预警。严格依法行使自由裁量权，已完成行政执法案件316件。实现与“互联网+监管”系统的深度融合，覆盖检查实施清单379项，覆盖率达93.81%，向国家推送监</w:t>
      </w:r>
      <w:bookmarkStart w:id="0" w:name="_GoBack"/>
      <w:bookmarkEnd w:id="0"/>
      <w:r>
        <w:rPr>
          <w:rFonts w:hint="eastAsia" w:ascii="仿宋" w:hAnsi="仿宋" w:eastAsia="仿宋" w:cs="宋体"/>
          <w:kern w:val="0"/>
          <w:sz w:val="32"/>
          <w:szCs w:val="32"/>
        </w:rPr>
        <w:t>管行为数据1482条。并及时将抽查处理结果向社会公开公布，实现对各单位行政执法行为的有效监管。</w:t>
      </w:r>
    </w:p>
    <w:p>
      <w:pPr>
        <w:widowControl/>
        <w:shd w:val="clear" w:color="auto" w:fill="FFFFFF"/>
        <w:spacing w:line="560" w:lineRule="atLeast"/>
        <w:ind w:firstLine="641"/>
        <w:textAlignment w:val="baseline"/>
        <w:rPr>
          <w:rFonts w:ascii="Times New Roman" w:hAnsi="Times New Roman" w:eastAsia="宋体" w:cs="Times New Roman"/>
          <w:kern w:val="0"/>
          <w:sz w:val="24"/>
          <w:szCs w:val="24"/>
        </w:rPr>
      </w:pPr>
      <w:r>
        <w:rPr>
          <w:rFonts w:hint="eastAsia" w:ascii="仿宋" w:hAnsi="仿宋" w:eastAsia="仿宋" w:cs="Times New Roman"/>
          <w:b/>
          <w:bCs/>
          <w:kern w:val="0"/>
          <w:sz w:val="32"/>
          <w:szCs w:val="32"/>
          <w:shd w:val="clear" w:color="auto" w:fill="FFFFFF"/>
        </w:rPr>
        <w:t>3.服务公开。</w:t>
      </w:r>
      <w:r>
        <w:rPr>
          <w:rFonts w:hint="eastAsia" w:ascii="仿宋" w:hAnsi="仿宋" w:eastAsia="仿宋" w:cs="Times New Roman"/>
          <w:kern w:val="0"/>
          <w:sz w:val="32"/>
          <w:szCs w:val="32"/>
        </w:rPr>
        <w:t>梳理公布了县本级1263项公共服务事项，梳理公布了《上犹县县级行政审批中介服务事项目录清单》，明确县级行政审批中介服务事项</w:t>
      </w:r>
      <w:r>
        <w:rPr>
          <w:rFonts w:hint="eastAsia" w:ascii="宋体" w:hAnsi="宋体" w:eastAsia="宋体" w:cs="Times New Roman"/>
          <w:kern w:val="0"/>
          <w:sz w:val="32"/>
          <w:szCs w:val="32"/>
        </w:rPr>
        <w:t>47</w:t>
      </w:r>
      <w:r>
        <w:rPr>
          <w:rFonts w:hint="eastAsia" w:ascii="仿宋" w:hAnsi="仿宋" w:eastAsia="仿宋" w:cs="Times New Roman"/>
          <w:kern w:val="0"/>
          <w:sz w:val="32"/>
          <w:szCs w:val="32"/>
        </w:rPr>
        <w:t>项，涉及行政审批单位</w:t>
      </w:r>
      <w:r>
        <w:rPr>
          <w:rFonts w:hint="eastAsia" w:ascii="宋体" w:hAnsi="宋体" w:eastAsia="宋体" w:cs="Times New Roman"/>
          <w:kern w:val="0"/>
          <w:sz w:val="32"/>
          <w:szCs w:val="32"/>
        </w:rPr>
        <w:t>18</w:t>
      </w:r>
      <w:r>
        <w:rPr>
          <w:rFonts w:hint="eastAsia" w:ascii="仿宋" w:hAnsi="仿宋" w:eastAsia="仿宋" w:cs="Times New Roman"/>
          <w:kern w:val="0"/>
          <w:sz w:val="32"/>
          <w:szCs w:val="32"/>
        </w:rPr>
        <w:t>个。对行政审批中介服务事项实行清单管理，凡未列入《目录清单》的行政审批中介服务事项一律不再作为行政审批的管理条件。同时，对《目录清单》实行动态管理，随权力事项的调整，适时作出调整。整合各类政务服务资源，实现了全县</w:t>
      </w:r>
      <w:r>
        <w:rPr>
          <w:rFonts w:hint="eastAsia" w:ascii="宋体" w:hAnsi="宋体" w:eastAsia="宋体" w:cs="Times New Roman"/>
          <w:kern w:val="0"/>
          <w:sz w:val="32"/>
          <w:szCs w:val="32"/>
        </w:rPr>
        <w:t>90%</w:t>
      </w:r>
      <w:r>
        <w:rPr>
          <w:rFonts w:hint="eastAsia" w:ascii="仿宋" w:hAnsi="仿宋" w:eastAsia="仿宋" w:cs="Times New Roman"/>
          <w:kern w:val="0"/>
          <w:sz w:val="32"/>
          <w:szCs w:val="32"/>
        </w:rPr>
        <w:t>以上依申请政务服务事项</w:t>
      </w:r>
      <w:r>
        <w:rPr>
          <w:rFonts w:hint="eastAsia" w:ascii="宋体" w:hAnsi="宋体" w:eastAsia="宋体" w:cs="Times New Roman"/>
          <w:kern w:val="0"/>
          <w:sz w:val="32"/>
          <w:szCs w:val="32"/>
        </w:rPr>
        <w:t>“</w:t>
      </w:r>
      <w:r>
        <w:rPr>
          <w:rFonts w:hint="eastAsia" w:ascii="仿宋" w:hAnsi="仿宋" w:eastAsia="仿宋" w:cs="Times New Roman"/>
          <w:kern w:val="0"/>
          <w:sz w:val="32"/>
          <w:szCs w:val="32"/>
        </w:rPr>
        <w:t>网上办</w:t>
      </w:r>
      <w:r>
        <w:rPr>
          <w:rFonts w:hint="eastAsia" w:ascii="宋体" w:hAnsi="宋体" w:eastAsia="宋体" w:cs="Times New Roman"/>
          <w:kern w:val="0"/>
          <w:sz w:val="32"/>
          <w:szCs w:val="32"/>
        </w:rPr>
        <w:t>”</w:t>
      </w:r>
      <w:r>
        <w:rPr>
          <w:rFonts w:hint="eastAsia" w:ascii="仿宋" w:hAnsi="仿宋" w:eastAsia="仿宋" w:cs="Times New Roman"/>
          <w:kern w:val="0"/>
          <w:sz w:val="32"/>
          <w:szCs w:val="32"/>
        </w:rPr>
        <w:t>，并与全国政务服务平台实现对接。梳理编制了县本级政务服务事项依申请类</w:t>
      </w:r>
      <w:r>
        <w:rPr>
          <w:rFonts w:hint="eastAsia" w:ascii="宋体" w:hAnsi="宋体" w:eastAsia="宋体" w:cs="Times New Roman"/>
          <w:kern w:val="0"/>
          <w:sz w:val="32"/>
          <w:szCs w:val="32"/>
        </w:rPr>
        <w:t>1483</w:t>
      </w:r>
      <w:r>
        <w:rPr>
          <w:rFonts w:hint="eastAsia" w:ascii="仿宋" w:hAnsi="仿宋" w:eastAsia="仿宋" w:cs="Times New Roman"/>
          <w:kern w:val="0"/>
          <w:sz w:val="32"/>
          <w:szCs w:val="32"/>
        </w:rPr>
        <w:t>项，非依申请类</w:t>
      </w:r>
      <w:r>
        <w:rPr>
          <w:rFonts w:hint="eastAsia" w:ascii="宋体" w:hAnsi="宋体" w:eastAsia="宋体" w:cs="Times New Roman"/>
          <w:kern w:val="0"/>
          <w:sz w:val="32"/>
          <w:szCs w:val="32"/>
        </w:rPr>
        <w:t>4159</w:t>
      </w:r>
      <w:r>
        <w:rPr>
          <w:rFonts w:hint="eastAsia" w:ascii="仿宋" w:hAnsi="仿宋" w:eastAsia="仿宋" w:cs="Times New Roman"/>
          <w:kern w:val="0"/>
          <w:sz w:val="32"/>
          <w:szCs w:val="32"/>
        </w:rPr>
        <w:t>项，并对其中的</w:t>
      </w:r>
      <w:r>
        <w:rPr>
          <w:rFonts w:hint="eastAsia" w:ascii="宋体" w:hAnsi="宋体" w:eastAsia="宋体" w:cs="Times New Roman"/>
          <w:kern w:val="0"/>
          <w:sz w:val="32"/>
          <w:szCs w:val="32"/>
        </w:rPr>
        <w:t>992</w:t>
      </w:r>
      <w:r>
        <w:rPr>
          <w:rFonts w:hint="eastAsia" w:ascii="仿宋" w:hAnsi="仿宋" w:eastAsia="仿宋" w:cs="Times New Roman"/>
          <w:kern w:val="0"/>
          <w:sz w:val="32"/>
          <w:szCs w:val="32"/>
        </w:rPr>
        <w:t>项依申请类事项进行基本流程编制，链接“一窗式”受理平台并上线政务服务网。完成了乡镇级政务服务事项</w:t>
      </w:r>
      <w:r>
        <w:rPr>
          <w:rFonts w:hint="eastAsia" w:ascii="宋体" w:hAnsi="宋体" w:eastAsia="宋体" w:cs="Times New Roman"/>
          <w:kern w:val="0"/>
          <w:sz w:val="32"/>
          <w:szCs w:val="32"/>
        </w:rPr>
        <w:t>911</w:t>
      </w:r>
      <w:r>
        <w:rPr>
          <w:rFonts w:hint="eastAsia" w:ascii="仿宋" w:hAnsi="仿宋" w:eastAsia="仿宋" w:cs="Times New Roman"/>
          <w:kern w:val="0"/>
          <w:sz w:val="32"/>
          <w:szCs w:val="32"/>
        </w:rPr>
        <w:t>项全部对接一体化平台，通过</w:t>
      </w:r>
      <w:r>
        <w:rPr>
          <w:rFonts w:hint="eastAsia" w:ascii="宋体" w:hAnsi="宋体" w:eastAsia="宋体" w:cs="Times New Roman"/>
          <w:kern w:val="0"/>
          <w:sz w:val="32"/>
          <w:szCs w:val="32"/>
        </w:rPr>
        <w:t>“</w:t>
      </w:r>
      <w:r>
        <w:rPr>
          <w:rFonts w:hint="eastAsia" w:ascii="仿宋" w:hAnsi="仿宋" w:eastAsia="仿宋" w:cs="Times New Roman"/>
          <w:kern w:val="0"/>
          <w:sz w:val="32"/>
          <w:szCs w:val="32"/>
        </w:rPr>
        <w:t>一窗式</w:t>
      </w:r>
      <w:r>
        <w:rPr>
          <w:rFonts w:hint="eastAsia" w:ascii="宋体" w:hAnsi="宋体" w:eastAsia="宋体" w:cs="Times New Roman"/>
          <w:kern w:val="0"/>
          <w:sz w:val="32"/>
          <w:szCs w:val="32"/>
        </w:rPr>
        <w:t>”</w:t>
      </w:r>
      <w:r>
        <w:rPr>
          <w:rFonts w:hint="eastAsia" w:ascii="仿宋" w:hAnsi="仿宋" w:eastAsia="仿宋" w:cs="Times New Roman"/>
          <w:kern w:val="0"/>
          <w:sz w:val="32"/>
          <w:szCs w:val="32"/>
        </w:rPr>
        <w:t>综合系统延伸至乡镇建设方案，将实现乡镇政务服务事项由查询升级到办理。</w:t>
      </w:r>
    </w:p>
    <w:p>
      <w:pPr>
        <w:widowControl/>
        <w:shd w:val="clear" w:color="auto" w:fill="FFFFFF"/>
        <w:spacing w:line="560" w:lineRule="atLeast"/>
        <w:ind w:firstLine="641"/>
        <w:textAlignment w:val="baseline"/>
        <w:rPr>
          <w:rFonts w:ascii="Times New Roman" w:hAnsi="Times New Roman" w:eastAsia="宋体" w:cs="Times New Roman"/>
          <w:kern w:val="0"/>
          <w:sz w:val="24"/>
          <w:szCs w:val="24"/>
        </w:rPr>
      </w:pPr>
      <w:r>
        <w:rPr>
          <w:rFonts w:hint="eastAsia" w:ascii="宋体" w:hAnsi="宋体" w:eastAsia="宋体" w:cs="宋体"/>
          <w:b/>
          <w:bCs/>
          <w:kern w:val="0"/>
          <w:sz w:val="32"/>
          <w:szCs w:val="32"/>
          <w:shd w:val="clear" w:color="auto" w:fill="FFFFFF"/>
        </w:rPr>
        <w:t> </w:t>
      </w:r>
      <w:r>
        <w:rPr>
          <w:rFonts w:hint="eastAsia" w:ascii="仿宋" w:hAnsi="仿宋" w:eastAsia="仿宋" w:cs="仿宋"/>
          <w:b/>
          <w:bCs/>
          <w:kern w:val="0"/>
          <w:sz w:val="32"/>
          <w:szCs w:val="32"/>
          <w:shd w:val="clear" w:color="auto" w:fill="FFFFFF"/>
        </w:rPr>
        <w:t>4.</w:t>
      </w:r>
      <w:r>
        <w:rPr>
          <w:rFonts w:hint="eastAsia" w:ascii="仿宋" w:hAnsi="仿宋" w:eastAsia="仿宋" w:cs="Times New Roman"/>
          <w:b/>
          <w:bCs/>
          <w:kern w:val="0"/>
          <w:sz w:val="32"/>
          <w:szCs w:val="32"/>
          <w:shd w:val="clear" w:color="auto" w:fill="FFFFFF"/>
        </w:rPr>
        <w:t>结果公开。</w:t>
      </w:r>
      <w:r>
        <w:rPr>
          <w:rFonts w:hint="eastAsia" w:ascii="仿宋" w:hAnsi="仿宋" w:eastAsia="仿宋" w:cs="Times New Roman"/>
          <w:kern w:val="0"/>
          <w:sz w:val="32"/>
          <w:szCs w:val="32"/>
          <w:shd w:val="clear" w:color="auto" w:fill="FFFFFF"/>
        </w:rPr>
        <w:t>制定了重点工作督查考核制度，对每期政府常务会议上的重点工作进行责任分工，明确责任单位和完成时限，实时跟踪事项进展情况</w:t>
      </w:r>
    </w:p>
    <w:p>
      <w:pPr>
        <w:widowControl/>
        <w:shd w:val="clear" w:color="auto" w:fill="FFFFFF"/>
        <w:spacing w:line="560" w:lineRule="atLeast"/>
        <w:textAlignment w:val="baseline"/>
        <w:rPr>
          <w:rFonts w:ascii="Calibri" w:hAnsi="Calibri" w:eastAsia="宋体" w:cs="宋体"/>
          <w:kern w:val="0"/>
          <w:szCs w:val="21"/>
        </w:rPr>
      </w:pPr>
      <w:r>
        <w:rPr>
          <w:rFonts w:hint="eastAsia" w:ascii="宋体" w:hAnsi="宋体" w:eastAsia="宋体" w:cs="宋体"/>
          <w:b/>
          <w:bCs/>
          <w:kern w:val="0"/>
          <w:sz w:val="32"/>
          <w:szCs w:val="32"/>
          <w:shd w:val="clear" w:color="auto" w:fill="FFFFFF"/>
        </w:rPr>
        <w:t>   </w:t>
      </w:r>
      <w:r>
        <w:rPr>
          <w:rFonts w:hint="eastAsia" w:ascii="仿宋" w:hAnsi="仿宋" w:eastAsia="仿宋" w:cs="仿宋"/>
          <w:b/>
          <w:bCs/>
          <w:kern w:val="0"/>
          <w:sz w:val="32"/>
          <w:szCs w:val="32"/>
          <w:shd w:val="clear" w:color="auto" w:fill="FFFFFF"/>
        </w:rPr>
        <w:t xml:space="preserve"> 5.</w:t>
      </w:r>
      <w:r>
        <w:rPr>
          <w:rFonts w:hint="eastAsia" w:ascii="仿宋" w:hAnsi="仿宋" w:eastAsia="仿宋" w:cs="宋体"/>
          <w:b/>
          <w:bCs/>
          <w:kern w:val="0"/>
          <w:sz w:val="32"/>
          <w:szCs w:val="32"/>
          <w:shd w:val="clear" w:color="auto" w:fill="FFFFFF"/>
        </w:rPr>
        <w:t>执行公开。</w:t>
      </w:r>
      <w:r>
        <w:rPr>
          <w:rFonts w:hint="eastAsia" w:ascii="仿宋" w:hAnsi="仿宋" w:eastAsia="仿宋" w:cs="宋体"/>
          <w:kern w:val="0"/>
          <w:sz w:val="32"/>
          <w:szCs w:val="32"/>
          <w:shd w:val="clear" w:color="auto" w:fill="FFFFFF"/>
        </w:rPr>
        <w:t>大力做好财政预决算、公共资源配置、重大建设项目批准和实施、社会公益事业建设等重点领域信息公开。</w:t>
      </w:r>
      <w:r>
        <w:rPr>
          <w:rFonts w:hint="eastAsia" w:ascii="仿宋" w:hAnsi="仿宋" w:eastAsia="仿宋" w:cs="宋体"/>
          <w:kern w:val="0"/>
          <w:sz w:val="32"/>
          <w:szCs w:val="32"/>
        </w:rPr>
        <w:t>根据政务公开重点进行任务分解，明确公开责任单位和工作任务，深化“放管服”改革，优化营商环境。梳理公布了80项涉企服务事项，推行涉企优惠政策兑现代办服务。按照“一口受理、内部流转、集成服务、限时办结”的原则，在县行政服务办事大厅开设了企业“政策兑现”代办服务窗口，集中受理相关企业服务。同时，梳理了80项各类惠企政策同步上线至“赣服通”上犹分厅，实现惠企政策掌上汇聚，并设置一台惠企政策自助查询一体机，实现自动匹配企业可享受的优惠政策，提供办理依据、政策原文、兑现单位等资料查询服务。</w:t>
      </w:r>
    </w:p>
    <w:p>
      <w:pPr>
        <w:widowControl/>
        <w:shd w:val="clear" w:color="auto" w:fill="FFFFFF"/>
        <w:spacing w:line="560" w:lineRule="atLeast"/>
        <w:textAlignment w:val="baseline"/>
        <w:rPr>
          <w:rFonts w:ascii="Calibri" w:hAnsi="Calibri" w:eastAsia="宋体" w:cs="宋体"/>
          <w:kern w:val="0"/>
          <w:szCs w:val="21"/>
        </w:rPr>
      </w:pPr>
      <w:r>
        <w:rPr>
          <w:rFonts w:hint="eastAsia" w:ascii="宋体" w:hAnsi="宋体" w:eastAsia="宋体" w:cs="宋体"/>
          <w:b/>
          <w:bCs/>
          <w:kern w:val="0"/>
          <w:sz w:val="32"/>
          <w:szCs w:val="32"/>
        </w:rPr>
        <w:t>   </w:t>
      </w:r>
      <w:r>
        <w:rPr>
          <w:rFonts w:hint="eastAsia" w:ascii="楷体" w:hAnsi="楷体" w:eastAsia="楷体" w:cs="宋体"/>
          <w:b/>
          <w:bCs/>
          <w:kern w:val="0"/>
          <w:sz w:val="32"/>
          <w:szCs w:val="32"/>
        </w:rPr>
        <w:t>（二）依申请公开</w:t>
      </w:r>
    </w:p>
    <w:p>
      <w:pPr>
        <w:widowControl/>
        <w:shd w:val="clear" w:color="auto" w:fill="FFFFFF"/>
        <w:spacing w:line="560" w:lineRule="atLeast"/>
        <w:textAlignment w:val="baseline"/>
        <w:rPr>
          <w:rFonts w:ascii="Times New Roman" w:hAnsi="Times New Roman" w:eastAsia="宋体" w:cs="Times New Roman"/>
          <w:kern w:val="0"/>
          <w:sz w:val="24"/>
          <w:szCs w:val="24"/>
        </w:rPr>
      </w:pPr>
      <w:r>
        <w:rPr>
          <w:rFonts w:hint="eastAsia" w:ascii="宋体" w:hAnsi="宋体" w:eastAsia="宋体" w:cs="Times New Roman"/>
          <w:kern w:val="0"/>
          <w:sz w:val="32"/>
          <w:szCs w:val="32"/>
          <w:shd w:val="clear" w:color="auto" w:fill="FFFFFF"/>
        </w:rPr>
        <w:t>    </w:t>
      </w:r>
      <w:r>
        <w:rPr>
          <w:rFonts w:hint="eastAsia" w:ascii="仿宋" w:hAnsi="仿宋" w:eastAsia="仿宋" w:cs="Times New Roman"/>
          <w:kern w:val="0"/>
          <w:sz w:val="32"/>
          <w:szCs w:val="32"/>
          <w:shd w:val="clear" w:color="auto" w:fill="FFFFFF"/>
        </w:rPr>
        <w:t>根据《江西省人民政府政务公开办公室关于印发江西省政府信息依申请公开工作规范的通知》（赣府公开办函</w:t>
      </w:r>
      <w:r>
        <w:rPr>
          <w:rFonts w:hint="eastAsia" w:ascii="宋体" w:hAnsi="宋体" w:eastAsia="宋体" w:cs="Times New Roman"/>
          <w:kern w:val="0"/>
          <w:sz w:val="32"/>
          <w:szCs w:val="32"/>
          <w:shd w:val="clear" w:color="auto" w:fill="FFFFFF"/>
        </w:rPr>
        <w:t>〔2020〕1</w:t>
      </w:r>
      <w:r>
        <w:rPr>
          <w:rFonts w:hint="eastAsia" w:ascii="仿宋" w:hAnsi="仿宋" w:eastAsia="仿宋" w:cs="Times New Roman"/>
          <w:kern w:val="0"/>
          <w:sz w:val="32"/>
          <w:szCs w:val="32"/>
          <w:shd w:val="clear" w:color="auto" w:fill="FFFFFF"/>
        </w:rPr>
        <w:t>号）要求，我办</w:t>
      </w:r>
      <w:r>
        <w:rPr>
          <w:rFonts w:hint="eastAsia" w:ascii="仿宋" w:hAnsi="仿宋" w:eastAsia="仿宋" w:cs="Times New Roman"/>
          <w:kern w:val="0"/>
          <w:sz w:val="32"/>
          <w:szCs w:val="32"/>
        </w:rPr>
        <w:t>制发了《关于做好依申请公开工作的通知》明确依申请公开内容审查、职责区分、办理、答复等环节的要求，对符合要求的依申请事项，在15个工作日内进行回复，如不符合要求的第一时间告知申请人进行补正。依法依规制作了10种不同情况的答复文书，规范回复申请。根据申请人的要求及保存政府信息的实际情况，确定提供政府信息的具体形式（包括纸质、电子文档等），当面提供、邮政寄送或者电子发送给申请人。2020年，我办受理依申请公开5件，2019年结转1件，其中书面依申请公开5件，网上申请0件。已答复件数为6</w:t>
      </w:r>
      <w:r>
        <w:rPr>
          <w:rFonts w:hint="eastAsia" w:ascii="宋体" w:hAnsi="宋体" w:eastAsia="宋体" w:cs="宋体"/>
          <w:kern w:val="0"/>
          <w:sz w:val="32"/>
          <w:szCs w:val="32"/>
        </w:rPr>
        <w:t> </w:t>
      </w:r>
      <w:r>
        <w:rPr>
          <w:rFonts w:hint="eastAsia" w:ascii="仿宋" w:hAnsi="仿宋" w:eastAsia="仿宋" w:cs="Times New Roman"/>
          <w:kern w:val="0"/>
          <w:sz w:val="32"/>
          <w:szCs w:val="32"/>
        </w:rPr>
        <w:t>件，待答复件数0件，已答复件中包括“同意公开”。</w:t>
      </w:r>
    </w:p>
    <w:p>
      <w:pPr>
        <w:widowControl/>
        <w:shd w:val="clear" w:color="auto" w:fill="FFFFFF"/>
        <w:spacing w:line="560" w:lineRule="atLeast"/>
        <w:textAlignment w:val="baseline"/>
        <w:rPr>
          <w:rFonts w:ascii="Calibri" w:hAnsi="Calibri" w:eastAsia="宋体" w:cs="宋体"/>
          <w:kern w:val="0"/>
          <w:szCs w:val="21"/>
        </w:rPr>
      </w:pPr>
      <w:r>
        <w:rPr>
          <w:rFonts w:hint="eastAsia" w:ascii="宋体" w:hAnsi="宋体" w:eastAsia="宋体" w:cs="宋体"/>
          <w:b/>
          <w:bCs/>
          <w:kern w:val="0"/>
          <w:sz w:val="32"/>
          <w:szCs w:val="32"/>
        </w:rPr>
        <w:t>   </w:t>
      </w:r>
      <w:r>
        <w:rPr>
          <w:rFonts w:hint="eastAsia" w:ascii="楷体" w:hAnsi="楷体" w:eastAsia="楷体" w:cs="宋体"/>
          <w:b/>
          <w:bCs/>
          <w:kern w:val="0"/>
          <w:sz w:val="32"/>
          <w:szCs w:val="32"/>
        </w:rPr>
        <w:t>（三）政府信息管理</w:t>
      </w:r>
    </w:p>
    <w:p>
      <w:pPr>
        <w:widowControl/>
        <w:shd w:val="clear" w:color="auto" w:fill="FFFFFF"/>
        <w:spacing w:line="560" w:lineRule="atLeast"/>
        <w:textAlignment w:val="baseline"/>
        <w:rPr>
          <w:rFonts w:ascii="Times New Roman" w:hAnsi="Times New Roman" w:eastAsia="宋体" w:cs="Times New Roman"/>
          <w:kern w:val="0"/>
          <w:sz w:val="24"/>
          <w:szCs w:val="24"/>
        </w:rPr>
      </w:pPr>
      <w:r>
        <w:rPr>
          <w:rFonts w:hint="eastAsia" w:ascii="宋体" w:hAnsi="宋体" w:eastAsia="宋体" w:cs="宋体"/>
          <w:kern w:val="0"/>
          <w:sz w:val="32"/>
          <w:szCs w:val="32"/>
          <w:shd w:val="clear" w:color="auto" w:fill="FFFFFF"/>
        </w:rPr>
        <w:t>    </w:t>
      </w:r>
      <w:r>
        <w:rPr>
          <w:rFonts w:hint="eastAsia" w:ascii="仿宋" w:hAnsi="仿宋" w:eastAsia="仿宋" w:cs="Times New Roman"/>
          <w:kern w:val="0"/>
          <w:sz w:val="32"/>
          <w:szCs w:val="32"/>
          <w:shd w:val="clear" w:color="auto" w:fill="FFFFFF"/>
        </w:rPr>
        <w:t>围绕事项清单，重点抓好管理事项公开，扎实做好权力清单、服务清单等发布及动态调整情况的公开。服务公开。积极做好网上服务事项、办事指南、办理结果等信息公开。今年以来，共公开883条信息。</w:t>
      </w:r>
    </w:p>
    <w:p>
      <w:pPr>
        <w:widowControl/>
        <w:shd w:val="clear" w:color="auto" w:fill="FFFFFF"/>
        <w:spacing w:line="560" w:lineRule="atLeast"/>
        <w:textAlignment w:val="baseline"/>
        <w:rPr>
          <w:rFonts w:ascii="Calibri" w:hAnsi="Calibri" w:eastAsia="宋体" w:cs="宋体"/>
          <w:kern w:val="0"/>
          <w:szCs w:val="21"/>
        </w:rPr>
      </w:pPr>
      <w:r>
        <w:rPr>
          <w:rFonts w:hint="eastAsia" w:ascii="宋体" w:hAnsi="宋体" w:eastAsia="宋体" w:cs="宋体"/>
          <w:b/>
          <w:bCs/>
          <w:kern w:val="0"/>
          <w:sz w:val="32"/>
          <w:szCs w:val="32"/>
        </w:rPr>
        <w:t>    </w:t>
      </w:r>
      <w:r>
        <w:rPr>
          <w:rFonts w:hint="eastAsia" w:ascii="楷体" w:hAnsi="楷体" w:eastAsia="楷体" w:cs="宋体"/>
          <w:b/>
          <w:bCs/>
          <w:kern w:val="0"/>
          <w:sz w:val="32"/>
          <w:szCs w:val="32"/>
        </w:rPr>
        <w:t>（四）平台建设</w:t>
      </w:r>
    </w:p>
    <w:p>
      <w:pPr>
        <w:widowControl/>
        <w:shd w:val="clear" w:color="auto" w:fill="FFFFFF"/>
        <w:spacing w:line="560" w:lineRule="atLeast"/>
        <w:textAlignment w:val="baseline"/>
        <w:rPr>
          <w:rFonts w:ascii="Times New Roman" w:hAnsi="Times New Roman" w:eastAsia="宋体" w:cs="Times New Roman"/>
          <w:kern w:val="0"/>
          <w:sz w:val="24"/>
          <w:szCs w:val="24"/>
        </w:rPr>
      </w:pPr>
      <w:r>
        <w:rPr>
          <w:rFonts w:hint="eastAsia" w:ascii="宋体" w:hAnsi="宋体" w:eastAsia="宋体" w:cs="宋体"/>
          <w:b/>
          <w:bCs/>
          <w:kern w:val="0"/>
          <w:sz w:val="32"/>
          <w:szCs w:val="32"/>
        </w:rPr>
        <w:t>    </w:t>
      </w:r>
      <w:r>
        <w:rPr>
          <w:rFonts w:hint="eastAsia" w:ascii="仿宋" w:hAnsi="仿宋" w:eastAsia="仿宋" w:cs="Times New Roman"/>
          <w:kern w:val="0"/>
          <w:sz w:val="32"/>
          <w:szCs w:val="32"/>
          <w:shd w:val="clear" w:color="auto" w:fill="FFFFFF"/>
        </w:rPr>
        <w:t>政府信息公开渠道更加丰富。在做好政府网站信息公开的同时，利用“上犹政务”微信公众号等手段积极推送群众所盼所想的民生实事工作动态；信息公开质量更有保障。对栏目及下级子栏目进行了适度调整，将栏目内容以更直观、更便捷、更明了的方式进行展现。对公开稿件的文件排版进行了全面梳理，按照统一的图片、文字规格和标准进行新稿件的发布，并对原有稿件的排版进行了相应调整，全面提升民众阅读体验。公开机制制度更加完善。根据工作实际，对信息公开指南进行了重新编制，建立健全了规范性文件定期清理制度、政府信息公开属性调整机制、政务公开目录动态更新制度等一批机制制度，进一步保障政府信息公开工作的及时性、法制性、规范性。</w:t>
      </w:r>
    </w:p>
    <w:p>
      <w:pPr>
        <w:widowControl/>
        <w:shd w:val="clear" w:color="auto" w:fill="FFFFFF"/>
        <w:spacing w:line="560" w:lineRule="atLeast"/>
        <w:textAlignment w:val="baseline"/>
        <w:rPr>
          <w:rFonts w:ascii="Times New Roman" w:hAnsi="Times New Roman" w:eastAsia="宋体" w:cs="Times New Roman"/>
          <w:kern w:val="0"/>
          <w:sz w:val="24"/>
          <w:szCs w:val="24"/>
        </w:rPr>
      </w:pPr>
      <w:r>
        <w:rPr>
          <w:rFonts w:hint="eastAsia" w:ascii="宋体" w:hAnsi="宋体" w:eastAsia="宋体" w:cs="Times New Roman"/>
          <w:kern w:val="0"/>
          <w:sz w:val="32"/>
          <w:szCs w:val="32"/>
          <w:shd w:val="clear" w:color="auto" w:fill="FFFFFF"/>
        </w:rPr>
        <w:t>   </w:t>
      </w:r>
      <w:r>
        <w:rPr>
          <w:rFonts w:hint="eastAsia" w:ascii="楷体" w:hAnsi="楷体" w:eastAsia="楷体" w:cs="Times New Roman"/>
          <w:b/>
          <w:bCs/>
          <w:kern w:val="0"/>
          <w:sz w:val="32"/>
          <w:szCs w:val="32"/>
        </w:rPr>
        <w:t>（五）监督保障</w:t>
      </w:r>
    </w:p>
    <w:p>
      <w:pPr>
        <w:widowControl/>
        <w:shd w:val="clear" w:color="auto" w:fill="FFFFFF"/>
        <w:spacing w:line="560" w:lineRule="atLeast"/>
        <w:textAlignment w:val="baseline"/>
        <w:rPr>
          <w:rFonts w:ascii="Times New Roman" w:hAnsi="Times New Roman" w:eastAsia="宋体" w:cs="Times New Roman"/>
          <w:kern w:val="0"/>
          <w:sz w:val="24"/>
          <w:szCs w:val="24"/>
        </w:rPr>
      </w:pPr>
      <w:r>
        <w:rPr>
          <w:rFonts w:hint="eastAsia" w:ascii="宋体" w:hAnsi="宋体" w:eastAsia="宋体" w:cs="宋体"/>
          <w:kern w:val="0"/>
          <w:sz w:val="32"/>
          <w:szCs w:val="32"/>
        </w:rPr>
        <w:t>   </w:t>
      </w:r>
      <w:r>
        <w:rPr>
          <w:rFonts w:hint="eastAsia" w:ascii="仿宋" w:hAnsi="仿宋" w:eastAsia="仿宋" w:cs="Times New Roman"/>
          <w:kern w:val="0"/>
          <w:sz w:val="32"/>
          <w:szCs w:val="32"/>
        </w:rPr>
        <w:t>我办严格落实政务信息公开保证监督,做到了制度规范、审核严格、回复及时,未因此产生投诉、举报等纠纷,符合上级相关要求。2020年共完善和制发关于政务公开相关制度15项。设置了专门的股室（秘书股）负责政务公开工作，明确了分管领导和具体工作人员，划分了责任，并将政务公开工作纳入年终“五型”政府建设考核体系且占比不低于4%。</w:t>
      </w:r>
    </w:p>
    <w:p>
      <w:pPr>
        <w:widowControl/>
        <w:shd w:val="clear" w:color="auto" w:fill="FFFFFF"/>
        <w:spacing w:line="540" w:lineRule="atLeast"/>
        <w:textAlignment w:val="baseline"/>
        <w:rPr>
          <w:rFonts w:ascii="Calibri" w:hAnsi="Calibri" w:eastAsia="宋体" w:cs="宋体"/>
          <w:kern w:val="0"/>
          <w:szCs w:val="21"/>
        </w:rPr>
      </w:pPr>
      <w:r>
        <w:rPr>
          <w:rFonts w:hint="eastAsia" w:ascii="宋体" w:hAnsi="宋体" w:eastAsia="宋体" w:cs="宋体"/>
          <w:kern w:val="0"/>
          <w:sz w:val="32"/>
          <w:szCs w:val="32"/>
        </w:rPr>
        <w:t>    </w:t>
      </w:r>
      <w:r>
        <w:rPr>
          <w:rFonts w:hint="eastAsia" w:ascii="黑体" w:hAnsi="黑体" w:eastAsia="黑体" w:cs="宋体"/>
          <w:kern w:val="0"/>
          <w:sz w:val="32"/>
          <w:szCs w:val="32"/>
        </w:rPr>
        <w:t>二、主动公开政府信息情况</w:t>
      </w:r>
    </w:p>
    <w:tbl>
      <w:tblPr>
        <w:tblStyle w:val="3"/>
        <w:tblW w:w="8490" w:type="dxa"/>
        <w:jc w:val="center"/>
        <w:tblLayout w:type="autofit"/>
        <w:tblCellMar>
          <w:top w:w="0" w:type="dxa"/>
          <w:left w:w="0" w:type="dxa"/>
          <w:bottom w:w="0" w:type="dxa"/>
          <w:right w:w="0" w:type="dxa"/>
        </w:tblCellMar>
      </w:tblPr>
      <w:tblGrid>
        <w:gridCol w:w="1705"/>
        <w:gridCol w:w="2462"/>
        <w:gridCol w:w="2026"/>
        <w:gridCol w:w="2297"/>
      </w:tblGrid>
      <w:tr>
        <w:tblPrEx>
          <w:tblCellMar>
            <w:top w:w="0" w:type="dxa"/>
            <w:left w:w="0" w:type="dxa"/>
            <w:bottom w:w="0" w:type="dxa"/>
            <w:right w:w="0" w:type="dxa"/>
          </w:tblCellMar>
        </w:tblPrEx>
        <w:trPr>
          <w:jc w:val="center"/>
        </w:trPr>
        <w:tc>
          <w:tcPr>
            <w:tcW w:w="8484"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6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第二十条第（一）项</w:t>
            </w:r>
          </w:p>
        </w:tc>
      </w:tr>
      <w:tr>
        <w:tblPrEx>
          <w:tblCellMar>
            <w:top w:w="0" w:type="dxa"/>
            <w:left w:w="0" w:type="dxa"/>
            <w:bottom w:w="0" w:type="dxa"/>
            <w:right w:w="0" w:type="dxa"/>
          </w:tblCellMar>
        </w:tblPrEx>
        <w:trPr>
          <w:jc w:val="center"/>
        </w:trPr>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6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信息内容</w:t>
            </w: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6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本年新制作数量</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6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本年新公开数量</w:t>
            </w: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6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对外公开总数量</w:t>
            </w:r>
          </w:p>
        </w:tc>
      </w:tr>
      <w:tr>
        <w:tblPrEx>
          <w:tblCellMar>
            <w:top w:w="0" w:type="dxa"/>
            <w:left w:w="0" w:type="dxa"/>
            <w:bottom w:w="0" w:type="dxa"/>
            <w:right w:w="0" w:type="dxa"/>
          </w:tblCellMar>
        </w:tblPrEx>
        <w:trPr>
          <w:trHeight w:val="480" w:hRule="atLeast"/>
          <w:jc w:val="center"/>
        </w:trPr>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6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规</w:t>
            </w:r>
            <w:r>
              <w:rPr>
                <w:rFonts w:hint="eastAsia" w:ascii="宋体" w:hAnsi="宋体" w:eastAsia="宋体" w:cs="宋体"/>
                <w:kern w:val="0"/>
                <w:sz w:val="24"/>
                <w:szCs w:val="24"/>
              </w:rPr>
              <w:t>    </w:t>
            </w:r>
            <w:r>
              <w:rPr>
                <w:rFonts w:hint="eastAsia" w:ascii="仿宋" w:hAnsi="仿宋" w:eastAsia="仿宋" w:cs="宋体"/>
                <w:kern w:val="0"/>
                <w:sz w:val="24"/>
                <w:szCs w:val="24"/>
              </w:rPr>
              <w:t>章</w:t>
            </w: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6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0</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6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0</w:t>
            </w: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6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trHeight w:val="90" w:hRule="atLeast"/>
          <w:jc w:val="center"/>
        </w:trPr>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9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规范性文件（本单位制发的）</w:t>
            </w: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9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5</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9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5</w:t>
            </w: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9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82</w:t>
            </w:r>
          </w:p>
        </w:tc>
      </w:tr>
      <w:tr>
        <w:tblPrEx>
          <w:tblCellMar>
            <w:top w:w="0" w:type="dxa"/>
            <w:left w:w="0" w:type="dxa"/>
            <w:bottom w:w="0" w:type="dxa"/>
            <w:right w:w="0" w:type="dxa"/>
          </w:tblCellMar>
        </w:tblPrEx>
        <w:trPr>
          <w:jc w:val="center"/>
        </w:trPr>
        <w:tc>
          <w:tcPr>
            <w:tcW w:w="8484"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第二十条第（五）项</w:t>
            </w:r>
          </w:p>
        </w:tc>
      </w:tr>
      <w:tr>
        <w:tblPrEx>
          <w:tblCellMar>
            <w:top w:w="0" w:type="dxa"/>
            <w:left w:w="0" w:type="dxa"/>
            <w:bottom w:w="0" w:type="dxa"/>
            <w:right w:w="0" w:type="dxa"/>
          </w:tblCellMar>
        </w:tblPrEx>
        <w:trPr>
          <w:trHeight w:val="390" w:hRule="atLeast"/>
          <w:jc w:val="center"/>
        </w:trPr>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信息内容</w:t>
            </w: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上一年项目数量</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本年增/减</w:t>
            </w: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处理决定数量</w:t>
            </w:r>
          </w:p>
        </w:tc>
      </w:tr>
      <w:tr>
        <w:tblPrEx>
          <w:tblCellMar>
            <w:top w:w="0" w:type="dxa"/>
            <w:left w:w="0" w:type="dxa"/>
            <w:bottom w:w="0" w:type="dxa"/>
            <w:right w:w="0" w:type="dxa"/>
          </w:tblCellMar>
        </w:tblPrEx>
        <w:trPr>
          <w:trHeight w:val="420" w:hRule="atLeast"/>
          <w:jc w:val="center"/>
        </w:trPr>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行政许可</w:t>
            </w: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0</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0</w:t>
            </w: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其他对外管理服务事项</w:t>
            </w: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0</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0</w:t>
            </w: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trHeight w:val="420" w:hRule="atLeast"/>
          <w:jc w:val="center"/>
        </w:trPr>
        <w:tc>
          <w:tcPr>
            <w:tcW w:w="8484"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第二十条第（六）项</w:t>
            </w:r>
          </w:p>
        </w:tc>
      </w:tr>
      <w:tr>
        <w:tblPrEx>
          <w:tblCellMar>
            <w:top w:w="0" w:type="dxa"/>
            <w:left w:w="0" w:type="dxa"/>
            <w:bottom w:w="0" w:type="dxa"/>
            <w:right w:w="0" w:type="dxa"/>
          </w:tblCellMar>
        </w:tblPrEx>
        <w:trPr>
          <w:trHeight w:val="420" w:hRule="atLeast"/>
          <w:jc w:val="center"/>
        </w:trPr>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信息内容</w:t>
            </w: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上一年项目数量</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本年增/减</w:t>
            </w: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处理决定数量</w:t>
            </w:r>
          </w:p>
        </w:tc>
      </w:tr>
      <w:tr>
        <w:tblPrEx>
          <w:tblCellMar>
            <w:top w:w="0" w:type="dxa"/>
            <w:left w:w="0" w:type="dxa"/>
            <w:bottom w:w="0" w:type="dxa"/>
            <w:right w:w="0" w:type="dxa"/>
          </w:tblCellMar>
        </w:tblPrEx>
        <w:trPr>
          <w:trHeight w:val="330" w:hRule="atLeast"/>
          <w:jc w:val="center"/>
        </w:trPr>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行政处罚</w:t>
            </w: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0</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0</w:t>
            </w: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trHeight w:val="360" w:hRule="atLeast"/>
          <w:jc w:val="center"/>
        </w:trPr>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行政强制</w:t>
            </w: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0</w:t>
            </w:r>
          </w:p>
        </w:tc>
        <w:tc>
          <w:tcPr>
            <w:tcW w:w="20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0</w:t>
            </w:r>
          </w:p>
        </w:tc>
        <w:tc>
          <w:tcPr>
            <w:tcW w:w="22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8484"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第二十条第（八）项</w:t>
            </w:r>
          </w:p>
        </w:tc>
      </w:tr>
      <w:tr>
        <w:tblPrEx>
          <w:tblCellMar>
            <w:top w:w="0" w:type="dxa"/>
            <w:left w:w="0" w:type="dxa"/>
            <w:bottom w:w="0" w:type="dxa"/>
            <w:right w:w="0" w:type="dxa"/>
          </w:tblCellMar>
        </w:tblPrEx>
        <w:trPr>
          <w:trHeight w:val="570" w:hRule="atLeast"/>
          <w:jc w:val="center"/>
        </w:trPr>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textAlignment w:val="baseline"/>
              <w:rPr>
                <w:rFonts w:ascii="Calibri" w:hAnsi="Calibri" w:eastAsia="宋体" w:cs="宋体"/>
                <w:kern w:val="0"/>
                <w:szCs w:val="21"/>
              </w:rPr>
            </w:pPr>
            <w:r>
              <w:rPr>
                <w:rFonts w:hint="eastAsia" w:ascii="仿宋" w:hAnsi="仿宋" w:eastAsia="仿宋" w:cs="宋体"/>
                <w:kern w:val="0"/>
                <w:sz w:val="24"/>
                <w:szCs w:val="24"/>
              </w:rPr>
              <w:t>信息内容</w:t>
            </w: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上一年项目数量</w:t>
            </w:r>
          </w:p>
        </w:tc>
        <w:tc>
          <w:tcPr>
            <w:tcW w:w="432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本年增/减</w:t>
            </w:r>
          </w:p>
        </w:tc>
      </w:tr>
      <w:tr>
        <w:tblPrEx>
          <w:tblCellMar>
            <w:top w:w="0" w:type="dxa"/>
            <w:left w:w="0" w:type="dxa"/>
            <w:bottom w:w="0" w:type="dxa"/>
            <w:right w:w="0" w:type="dxa"/>
          </w:tblCellMar>
        </w:tblPrEx>
        <w:trPr>
          <w:jc w:val="center"/>
        </w:trPr>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textAlignment w:val="baseline"/>
              <w:rPr>
                <w:rFonts w:ascii="Calibri" w:hAnsi="Calibri" w:eastAsia="宋体" w:cs="宋体"/>
                <w:kern w:val="0"/>
                <w:szCs w:val="21"/>
              </w:rPr>
            </w:pPr>
            <w:r>
              <w:rPr>
                <w:rFonts w:hint="eastAsia" w:ascii="仿宋" w:hAnsi="仿宋" w:eastAsia="仿宋" w:cs="宋体"/>
                <w:kern w:val="0"/>
                <w:sz w:val="24"/>
                <w:szCs w:val="24"/>
              </w:rPr>
              <w:t>行政事业性收费</w:t>
            </w: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0</w:t>
            </w:r>
          </w:p>
        </w:tc>
        <w:tc>
          <w:tcPr>
            <w:tcW w:w="432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8484"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第二十条第（九）项</w:t>
            </w:r>
          </w:p>
        </w:tc>
      </w:tr>
      <w:tr>
        <w:tblPrEx>
          <w:tblCellMar>
            <w:top w:w="0" w:type="dxa"/>
            <w:left w:w="0" w:type="dxa"/>
            <w:bottom w:w="0" w:type="dxa"/>
            <w:right w:w="0" w:type="dxa"/>
          </w:tblCellMar>
        </w:tblPrEx>
        <w:trPr>
          <w:trHeight w:val="390" w:hRule="atLeast"/>
          <w:jc w:val="center"/>
        </w:trPr>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信息内容</w:t>
            </w: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采购项目数量</w:t>
            </w:r>
          </w:p>
        </w:tc>
        <w:tc>
          <w:tcPr>
            <w:tcW w:w="432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采购总金额</w:t>
            </w:r>
          </w:p>
        </w:tc>
      </w:tr>
      <w:tr>
        <w:tblPrEx>
          <w:tblCellMar>
            <w:top w:w="0" w:type="dxa"/>
            <w:left w:w="0" w:type="dxa"/>
            <w:bottom w:w="0" w:type="dxa"/>
            <w:right w:w="0" w:type="dxa"/>
          </w:tblCellMar>
        </w:tblPrEx>
        <w:trPr>
          <w:trHeight w:val="520" w:hRule="atLeast"/>
          <w:jc w:val="center"/>
        </w:trPr>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政府集中采购</w:t>
            </w:r>
          </w:p>
        </w:tc>
        <w:tc>
          <w:tcPr>
            <w:tcW w:w="24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1</w:t>
            </w:r>
          </w:p>
        </w:tc>
        <w:tc>
          <w:tcPr>
            <w:tcW w:w="432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textAlignment w:val="baseline"/>
              <w:rPr>
                <w:rFonts w:ascii="Calibri" w:hAnsi="Calibri" w:eastAsia="宋体" w:cs="宋体"/>
                <w:kern w:val="0"/>
                <w:szCs w:val="21"/>
              </w:rPr>
            </w:pPr>
            <w:r>
              <w:rPr>
                <w:rFonts w:hint="eastAsia" w:ascii="仿宋" w:hAnsi="仿宋" w:eastAsia="仿宋" w:cs="宋体"/>
                <w:kern w:val="0"/>
                <w:sz w:val="24"/>
                <w:szCs w:val="24"/>
              </w:rPr>
              <w:t>13.6万</w:t>
            </w:r>
          </w:p>
        </w:tc>
      </w:tr>
    </w:tbl>
    <w:p>
      <w:pPr>
        <w:widowControl/>
        <w:shd w:val="clear" w:color="auto" w:fill="FFFFFF"/>
        <w:spacing w:line="540" w:lineRule="atLeast"/>
        <w:textAlignment w:val="baseline"/>
        <w:rPr>
          <w:rFonts w:ascii="Calibri" w:hAnsi="Calibri" w:eastAsia="宋体" w:cs="宋体"/>
          <w:kern w:val="0"/>
          <w:szCs w:val="21"/>
        </w:rPr>
      </w:pPr>
      <w:r>
        <w:rPr>
          <w:rFonts w:hint="eastAsia" w:ascii="黑体" w:hAnsi="黑体" w:eastAsia="黑体" w:cs="宋体"/>
          <w:kern w:val="0"/>
          <w:sz w:val="32"/>
          <w:szCs w:val="32"/>
        </w:rPr>
        <w:t>三、收到和处理政府信息公开申请情况</w:t>
      </w:r>
    </w:p>
    <w:tbl>
      <w:tblPr>
        <w:tblStyle w:val="3"/>
        <w:tblW w:w="9071" w:type="dxa"/>
        <w:jc w:val="center"/>
        <w:tblLayout w:type="autofit"/>
        <w:tblCellMar>
          <w:top w:w="0" w:type="dxa"/>
          <w:left w:w="0" w:type="dxa"/>
          <w:bottom w:w="0" w:type="dxa"/>
          <w:right w:w="0" w:type="dxa"/>
        </w:tblCellMar>
      </w:tblPr>
      <w:tblGrid>
        <w:gridCol w:w="636"/>
        <w:gridCol w:w="1266"/>
        <w:gridCol w:w="1380"/>
        <w:gridCol w:w="816"/>
        <w:gridCol w:w="816"/>
        <w:gridCol w:w="816"/>
        <w:gridCol w:w="816"/>
        <w:gridCol w:w="893"/>
        <w:gridCol w:w="816"/>
        <w:gridCol w:w="816"/>
      </w:tblGrid>
      <w:tr>
        <w:tblPrEx>
          <w:tblCellMar>
            <w:top w:w="0" w:type="dxa"/>
            <w:left w:w="0" w:type="dxa"/>
            <w:bottom w:w="0" w:type="dxa"/>
            <w:right w:w="0" w:type="dxa"/>
          </w:tblCellMar>
        </w:tblPrEx>
        <w:trPr>
          <w:jc w:val="center"/>
        </w:trPr>
        <w:tc>
          <w:tcPr>
            <w:tcW w:w="3543"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20"/>
              <w:jc w:val="center"/>
              <w:textAlignment w:val="baseline"/>
              <w:rPr>
                <w:rFonts w:ascii="Calibri" w:hAnsi="Calibri" w:eastAsia="宋体" w:cs="宋体"/>
                <w:kern w:val="0"/>
                <w:szCs w:val="21"/>
              </w:rPr>
            </w:pPr>
            <w:r>
              <w:rPr>
                <w:rFonts w:hint="eastAsia" w:ascii="宋体" w:hAnsi="宋体" w:eastAsia="宋体" w:cs="宋体"/>
                <w:kern w:val="0"/>
                <w:szCs w:val="21"/>
              </w:rPr>
              <w:t>（本列数据的勾稽关系为：第一项加第二项之和，等于第三项加第四项之和）</w:t>
            </w:r>
          </w:p>
        </w:tc>
        <w:tc>
          <w:tcPr>
            <w:tcW w:w="5528"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20"/>
              <w:jc w:val="center"/>
              <w:textAlignment w:val="baseline"/>
              <w:rPr>
                <w:rFonts w:ascii="Calibri" w:hAnsi="Calibri" w:eastAsia="宋体" w:cs="宋体"/>
                <w:kern w:val="0"/>
                <w:szCs w:val="21"/>
              </w:rPr>
            </w:pPr>
            <w:r>
              <w:rPr>
                <w:rFonts w:hint="eastAsia" w:ascii="宋体" w:hAnsi="宋体" w:eastAsia="宋体" w:cs="宋体"/>
                <w:kern w:val="0"/>
                <w:szCs w:val="21"/>
              </w:rPr>
              <w:t>申请人情况</w:t>
            </w:r>
          </w:p>
        </w:tc>
      </w:tr>
      <w:tr>
        <w:tblPrEx>
          <w:tblCellMar>
            <w:top w:w="0" w:type="dxa"/>
            <w:left w:w="0" w:type="dxa"/>
            <w:bottom w:w="0" w:type="dxa"/>
            <w:right w:w="0" w:type="dxa"/>
          </w:tblCellMar>
        </w:tblPrEx>
        <w:trPr>
          <w:trHeight w:val="602"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80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baseline"/>
              <w:rPr>
                <w:rFonts w:ascii="Calibri" w:hAnsi="Calibri" w:eastAsia="宋体" w:cs="宋体"/>
                <w:kern w:val="0"/>
                <w:szCs w:val="21"/>
              </w:rPr>
            </w:pPr>
            <w:r>
              <w:rPr>
                <w:rFonts w:hint="eastAsia" w:ascii="宋体" w:hAnsi="宋体" w:eastAsia="宋体" w:cs="宋体"/>
                <w:kern w:val="0"/>
                <w:szCs w:val="21"/>
              </w:rPr>
              <w:t>自然人</w:t>
            </w:r>
          </w:p>
        </w:tc>
        <w:tc>
          <w:tcPr>
            <w:tcW w:w="3981"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20"/>
              <w:jc w:val="center"/>
              <w:textAlignment w:val="baseline"/>
              <w:rPr>
                <w:rFonts w:ascii="Calibri" w:hAnsi="Calibri" w:eastAsia="宋体" w:cs="宋体"/>
                <w:kern w:val="0"/>
                <w:szCs w:val="21"/>
              </w:rPr>
            </w:pPr>
            <w:r>
              <w:rPr>
                <w:rFonts w:hint="eastAsia" w:ascii="宋体" w:hAnsi="宋体" w:eastAsia="宋体" w:cs="宋体"/>
                <w:kern w:val="0"/>
                <w:szCs w:val="21"/>
              </w:rPr>
              <w:t>法人或其他组织</w:t>
            </w:r>
          </w:p>
        </w:tc>
        <w:tc>
          <w:tcPr>
            <w:tcW w:w="74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baseline"/>
              <w:rPr>
                <w:rFonts w:ascii="Calibri" w:hAnsi="Calibri" w:eastAsia="宋体" w:cs="宋体"/>
                <w:kern w:val="0"/>
                <w:szCs w:val="21"/>
              </w:rPr>
            </w:pPr>
            <w:r>
              <w:rPr>
                <w:rFonts w:hint="eastAsia" w:ascii="宋体" w:hAnsi="宋体" w:eastAsia="宋体" w:cs="宋体"/>
                <w:kern w:val="0"/>
                <w:szCs w:val="21"/>
              </w:rPr>
              <w:t>总计</w:t>
            </w:r>
          </w:p>
        </w:tc>
      </w:tr>
      <w:tr>
        <w:tblPrEx>
          <w:tblCellMar>
            <w:top w:w="0" w:type="dxa"/>
            <w:left w:w="0" w:type="dxa"/>
            <w:bottom w:w="0" w:type="dxa"/>
            <w:right w:w="0" w:type="dxa"/>
          </w:tblCellMar>
        </w:tblPrEx>
        <w:trPr>
          <w:trHeight w:val="682"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baseline"/>
              <w:rPr>
                <w:rFonts w:ascii="Calibri" w:hAnsi="Calibri" w:eastAsia="宋体" w:cs="宋体"/>
                <w:kern w:val="0"/>
                <w:szCs w:val="21"/>
              </w:rPr>
            </w:pPr>
            <w:r>
              <w:rPr>
                <w:rFonts w:hint="eastAsia" w:ascii="宋体" w:hAnsi="宋体" w:eastAsia="宋体" w:cs="宋体"/>
                <w:kern w:val="0"/>
                <w:szCs w:val="21"/>
              </w:rPr>
              <w:t>商业企业</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baseline"/>
              <w:rPr>
                <w:rFonts w:ascii="Calibri" w:hAnsi="Calibri" w:eastAsia="宋体" w:cs="宋体"/>
                <w:kern w:val="0"/>
                <w:szCs w:val="21"/>
              </w:rPr>
            </w:pPr>
            <w:r>
              <w:rPr>
                <w:rFonts w:hint="eastAsia" w:ascii="宋体" w:hAnsi="宋体" w:eastAsia="宋体" w:cs="宋体"/>
                <w:kern w:val="0"/>
                <w:szCs w:val="21"/>
              </w:rPr>
              <w:t>科研机构</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baseline"/>
              <w:rPr>
                <w:rFonts w:ascii="Calibri" w:hAnsi="Calibri" w:eastAsia="宋体" w:cs="宋体"/>
                <w:kern w:val="0"/>
                <w:szCs w:val="21"/>
              </w:rPr>
            </w:pPr>
            <w:r>
              <w:rPr>
                <w:rFonts w:hint="eastAsia" w:ascii="宋体" w:hAnsi="宋体" w:eastAsia="宋体" w:cs="宋体"/>
                <w:kern w:val="0"/>
                <w:szCs w:val="21"/>
              </w:rPr>
              <w:t>社会公益组织</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baseline"/>
              <w:rPr>
                <w:rFonts w:ascii="Calibri" w:hAnsi="Calibri" w:eastAsia="宋体" w:cs="宋体"/>
                <w:kern w:val="0"/>
                <w:szCs w:val="21"/>
              </w:rPr>
            </w:pPr>
            <w:r>
              <w:rPr>
                <w:rFonts w:hint="eastAsia" w:ascii="宋体" w:hAnsi="宋体" w:eastAsia="宋体" w:cs="宋体"/>
                <w:kern w:val="0"/>
                <w:szCs w:val="21"/>
              </w:rPr>
              <w:t>法律服务机构</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baseline"/>
              <w:rPr>
                <w:rFonts w:ascii="Calibri" w:hAnsi="Calibri" w:eastAsia="宋体" w:cs="宋体"/>
                <w:kern w:val="0"/>
                <w:szCs w:val="21"/>
              </w:rPr>
            </w:pPr>
            <w:r>
              <w:rPr>
                <w:rFonts w:hint="eastAsia" w:ascii="宋体" w:hAnsi="宋体" w:eastAsia="宋体" w:cs="宋体"/>
                <w:kern w:val="0"/>
                <w:szCs w:val="21"/>
              </w:rPr>
              <w:t>其他</w:t>
            </w: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r>
      <w:tr>
        <w:tblPrEx>
          <w:tblCellMar>
            <w:top w:w="0" w:type="dxa"/>
            <w:left w:w="0" w:type="dxa"/>
            <w:bottom w:w="0" w:type="dxa"/>
            <w:right w:w="0" w:type="dxa"/>
          </w:tblCellMar>
        </w:tblPrEx>
        <w:trPr>
          <w:trHeight w:val="459" w:hRule="atLeast"/>
          <w:jc w:val="center"/>
        </w:trPr>
        <w:tc>
          <w:tcPr>
            <w:tcW w:w="3543"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baseline"/>
              <w:rPr>
                <w:rFonts w:ascii="Calibri" w:hAnsi="Calibri" w:eastAsia="宋体" w:cs="宋体"/>
                <w:kern w:val="0"/>
                <w:szCs w:val="21"/>
              </w:rPr>
            </w:pPr>
            <w:r>
              <w:rPr>
                <w:rFonts w:hint="eastAsia" w:ascii="宋体" w:hAnsi="宋体" w:eastAsia="宋体" w:cs="宋体"/>
                <w:kern w:val="0"/>
                <w:szCs w:val="21"/>
              </w:rPr>
              <w:t>一、本年新收政府信息公开申请数量</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5</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5</w:t>
            </w:r>
          </w:p>
        </w:tc>
      </w:tr>
      <w:tr>
        <w:tblPrEx>
          <w:tblCellMar>
            <w:top w:w="0" w:type="dxa"/>
            <w:left w:w="0" w:type="dxa"/>
            <w:bottom w:w="0" w:type="dxa"/>
            <w:right w:w="0" w:type="dxa"/>
          </w:tblCellMar>
        </w:tblPrEx>
        <w:trPr>
          <w:trHeight w:val="457" w:hRule="atLeast"/>
          <w:jc w:val="center"/>
        </w:trPr>
        <w:tc>
          <w:tcPr>
            <w:tcW w:w="3543"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baseline"/>
              <w:rPr>
                <w:rFonts w:ascii="Calibri" w:hAnsi="Calibri" w:eastAsia="宋体" w:cs="宋体"/>
                <w:kern w:val="0"/>
                <w:szCs w:val="21"/>
              </w:rPr>
            </w:pPr>
            <w:r>
              <w:rPr>
                <w:rFonts w:hint="eastAsia" w:ascii="宋体" w:hAnsi="宋体" w:eastAsia="宋体" w:cs="宋体"/>
                <w:kern w:val="0"/>
                <w:szCs w:val="21"/>
              </w:rPr>
              <w:t>二、上年结转政府信息公开申请数量</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1</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1</w:t>
            </w:r>
          </w:p>
        </w:tc>
      </w:tr>
      <w:tr>
        <w:tblPrEx>
          <w:tblCellMar>
            <w:top w:w="0" w:type="dxa"/>
            <w:left w:w="0" w:type="dxa"/>
            <w:bottom w:w="0" w:type="dxa"/>
            <w:right w:w="0" w:type="dxa"/>
          </w:tblCellMar>
        </w:tblPrEx>
        <w:trPr>
          <w:jc w:val="center"/>
        </w:trPr>
        <w:tc>
          <w:tcPr>
            <w:tcW w:w="63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baseline"/>
              <w:rPr>
                <w:rFonts w:ascii="Calibri" w:hAnsi="Calibri" w:eastAsia="宋体" w:cs="宋体"/>
                <w:kern w:val="0"/>
                <w:szCs w:val="21"/>
              </w:rPr>
            </w:pPr>
            <w:r>
              <w:rPr>
                <w:rFonts w:hint="eastAsia" w:ascii="宋体" w:hAnsi="宋体" w:eastAsia="宋体" w:cs="宋体"/>
                <w:kern w:val="0"/>
                <w:szCs w:val="21"/>
              </w:rPr>
              <w:t>三、本年度办理结果</w:t>
            </w:r>
          </w:p>
        </w:tc>
        <w:tc>
          <w:tcPr>
            <w:tcW w:w="290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textAlignment w:val="baseline"/>
              <w:rPr>
                <w:rFonts w:ascii="Calibri" w:hAnsi="Calibri" w:eastAsia="宋体" w:cs="宋体"/>
                <w:kern w:val="0"/>
                <w:szCs w:val="21"/>
              </w:rPr>
            </w:pPr>
            <w:r>
              <w:rPr>
                <w:rFonts w:hint="eastAsia" w:ascii="楷体" w:hAnsi="楷体" w:eastAsia="楷体" w:cs="宋体"/>
                <w:kern w:val="0"/>
                <w:szCs w:val="21"/>
              </w:rPr>
              <w:t>（一）予以公开</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5</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5</w:t>
            </w:r>
          </w:p>
        </w:tc>
      </w:tr>
      <w:tr>
        <w:tblPrEx>
          <w:tblCellMar>
            <w:top w:w="0" w:type="dxa"/>
            <w:left w:w="0" w:type="dxa"/>
            <w:bottom w:w="0" w:type="dxa"/>
            <w:right w:w="0" w:type="dxa"/>
          </w:tblCellMar>
        </w:tblPrEx>
        <w:trPr>
          <w:trHeight w:val="847"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290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textAlignment w:val="baseline"/>
              <w:rPr>
                <w:rFonts w:ascii="Calibri" w:hAnsi="Calibri" w:eastAsia="宋体" w:cs="宋体"/>
                <w:kern w:val="0"/>
                <w:szCs w:val="21"/>
              </w:rPr>
            </w:pPr>
            <w:r>
              <w:rPr>
                <w:rFonts w:hint="eastAsia" w:ascii="楷体" w:hAnsi="楷体" w:eastAsia="楷体" w:cs="宋体"/>
                <w:kern w:val="0"/>
                <w:szCs w:val="21"/>
              </w:rPr>
              <w:t>（二）部分公开（区分处理的，只计这一情形，不计其他情形）</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26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textAlignment w:val="baseline"/>
              <w:rPr>
                <w:rFonts w:ascii="Calibri" w:hAnsi="Calibri" w:eastAsia="宋体" w:cs="宋体"/>
                <w:kern w:val="0"/>
                <w:szCs w:val="21"/>
              </w:rPr>
            </w:pPr>
            <w:r>
              <w:rPr>
                <w:rFonts w:hint="eastAsia" w:ascii="楷体" w:hAnsi="楷体" w:eastAsia="楷体" w:cs="宋体"/>
                <w:kern w:val="0"/>
                <w:szCs w:val="21"/>
              </w:rPr>
              <w:t>（三）不予公开</w:t>
            </w:r>
          </w:p>
        </w:tc>
        <w:tc>
          <w:tcPr>
            <w:tcW w:w="16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textAlignment w:val="baseline"/>
              <w:rPr>
                <w:rFonts w:ascii="Calibri" w:hAnsi="Calibri" w:eastAsia="宋体" w:cs="宋体"/>
                <w:kern w:val="0"/>
                <w:szCs w:val="21"/>
              </w:rPr>
            </w:pPr>
            <w:r>
              <w:rPr>
                <w:rFonts w:ascii="Times New Roman" w:hAnsi="Times New Roman" w:eastAsia="宋体" w:cs="Times New Roman"/>
                <w:kern w:val="0"/>
                <w:szCs w:val="21"/>
              </w:rPr>
              <w:t>1.</w:t>
            </w:r>
            <w:r>
              <w:rPr>
                <w:rFonts w:hint="eastAsia" w:ascii="楷体" w:hAnsi="楷体" w:eastAsia="楷体" w:cs="宋体"/>
                <w:kern w:val="0"/>
                <w:szCs w:val="21"/>
              </w:rPr>
              <w:t>属于国家秘密</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r>
      <w:tr>
        <w:tblPrEx>
          <w:tblCellMar>
            <w:top w:w="0" w:type="dxa"/>
            <w:left w:w="0" w:type="dxa"/>
            <w:bottom w:w="0" w:type="dxa"/>
            <w:right w:w="0" w:type="dxa"/>
          </w:tblCellMar>
        </w:tblPrEx>
        <w:trPr>
          <w:trHeight w:val="74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6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textAlignment w:val="baseline"/>
              <w:rPr>
                <w:rFonts w:ascii="Calibri" w:hAnsi="Calibri" w:eastAsia="宋体" w:cs="宋体"/>
                <w:kern w:val="0"/>
                <w:szCs w:val="21"/>
              </w:rPr>
            </w:pPr>
            <w:r>
              <w:rPr>
                <w:rFonts w:ascii="Times New Roman" w:hAnsi="Times New Roman" w:eastAsia="宋体" w:cs="Times New Roman"/>
                <w:kern w:val="0"/>
                <w:szCs w:val="21"/>
              </w:rPr>
              <w:t>2.</w:t>
            </w:r>
            <w:r>
              <w:rPr>
                <w:rFonts w:hint="eastAsia" w:ascii="楷体" w:hAnsi="楷体" w:eastAsia="楷体" w:cs="宋体"/>
                <w:kern w:val="0"/>
                <w:szCs w:val="21"/>
              </w:rPr>
              <w:t>其他法律行政法规禁止公开</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6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textAlignment w:val="baseline"/>
              <w:rPr>
                <w:rFonts w:ascii="Calibri" w:hAnsi="Calibri" w:eastAsia="宋体" w:cs="宋体"/>
                <w:kern w:val="0"/>
                <w:szCs w:val="21"/>
              </w:rPr>
            </w:pPr>
            <w:r>
              <w:rPr>
                <w:rFonts w:ascii="Times New Roman" w:hAnsi="Times New Roman" w:eastAsia="宋体" w:cs="Times New Roman"/>
                <w:kern w:val="0"/>
                <w:szCs w:val="21"/>
              </w:rPr>
              <w:t>3.</w:t>
            </w:r>
            <w:r>
              <w:rPr>
                <w:rFonts w:hint="eastAsia" w:ascii="楷体" w:hAnsi="楷体" w:eastAsia="楷体" w:cs="宋体"/>
                <w:kern w:val="0"/>
                <w:szCs w:val="21"/>
              </w:rPr>
              <w:t>危及</w:t>
            </w:r>
            <w:r>
              <w:rPr>
                <w:rFonts w:ascii="Times New Roman" w:hAnsi="Times New Roman" w:eastAsia="宋体" w:cs="Times New Roman"/>
                <w:kern w:val="0"/>
                <w:szCs w:val="21"/>
              </w:rPr>
              <w:t>“</w:t>
            </w:r>
            <w:r>
              <w:rPr>
                <w:rFonts w:hint="eastAsia" w:ascii="楷体" w:hAnsi="楷体" w:eastAsia="楷体" w:cs="宋体"/>
                <w:kern w:val="0"/>
                <w:szCs w:val="21"/>
              </w:rPr>
              <w:t>三安全一稳定</w:t>
            </w:r>
            <w:r>
              <w:rPr>
                <w:rFonts w:ascii="Times New Roman" w:hAnsi="Times New Roman" w:eastAsia="宋体" w:cs="Times New Roman"/>
                <w:kern w:val="0"/>
                <w:szCs w:val="21"/>
              </w:rPr>
              <w:t>”</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6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textAlignment w:val="baseline"/>
              <w:rPr>
                <w:rFonts w:ascii="Calibri" w:hAnsi="Calibri" w:eastAsia="宋体" w:cs="宋体"/>
                <w:kern w:val="0"/>
                <w:szCs w:val="21"/>
              </w:rPr>
            </w:pPr>
            <w:r>
              <w:rPr>
                <w:rFonts w:ascii="Times New Roman" w:hAnsi="Times New Roman" w:eastAsia="宋体" w:cs="Times New Roman"/>
                <w:kern w:val="0"/>
                <w:szCs w:val="21"/>
              </w:rPr>
              <w:t>4.</w:t>
            </w:r>
            <w:r>
              <w:rPr>
                <w:rFonts w:hint="eastAsia" w:ascii="楷体" w:hAnsi="楷体" w:eastAsia="楷体" w:cs="宋体"/>
                <w:kern w:val="0"/>
                <w:szCs w:val="21"/>
              </w:rPr>
              <w:t>保护第三方合法权益</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6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baseline"/>
              <w:rPr>
                <w:rFonts w:ascii="Calibri" w:hAnsi="Calibri" w:eastAsia="宋体" w:cs="宋体"/>
                <w:kern w:val="0"/>
                <w:szCs w:val="21"/>
              </w:rPr>
            </w:pPr>
            <w:r>
              <w:rPr>
                <w:rFonts w:ascii="Times New Roman" w:hAnsi="Times New Roman" w:eastAsia="宋体" w:cs="Times New Roman"/>
                <w:kern w:val="0"/>
                <w:szCs w:val="21"/>
              </w:rPr>
              <w:t>5.</w:t>
            </w:r>
            <w:r>
              <w:rPr>
                <w:rFonts w:hint="eastAsia" w:ascii="楷体" w:hAnsi="楷体" w:eastAsia="楷体" w:cs="宋体"/>
                <w:kern w:val="0"/>
                <w:szCs w:val="21"/>
              </w:rPr>
              <w:t>属于三类内部事务信息</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40"/>
              <w:jc w:val="center"/>
              <w:textAlignment w:val="baseline"/>
              <w:rPr>
                <w:rFonts w:ascii="Calibri" w:hAnsi="Calibri" w:eastAsia="宋体" w:cs="宋体"/>
                <w:kern w:val="0"/>
                <w:szCs w:val="21"/>
              </w:rPr>
            </w:pPr>
            <w:r>
              <w:rPr>
                <w:rFonts w:ascii="Times New Roman" w:hAnsi="Times New Roman" w:eastAsia="宋体" w:cs="Times New Roman"/>
                <w:kern w:val="0"/>
                <w:sz w:val="22"/>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6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baseline"/>
              <w:rPr>
                <w:rFonts w:ascii="Calibri" w:hAnsi="Calibri" w:eastAsia="宋体" w:cs="宋体"/>
                <w:kern w:val="0"/>
                <w:szCs w:val="21"/>
              </w:rPr>
            </w:pPr>
            <w:r>
              <w:rPr>
                <w:rFonts w:ascii="Times New Roman" w:hAnsi="Times New Roman" w:eastAsia="宋体" w:cs="Times New Roman"/>
                <w:kern w:val="0"/>
                <w:szCs w:val="21"/>
              </w:rPr>
              <w:t>6.</w:t>
            </w:r>
            <w:r>
              <w:rPr>
                <w:rFonts w:hint="eastAsia" w:ascii="楷体" w:hAnsi="楷体" w:eastAsia="楷体" w:cs="宋体"/>
                <w:kern w:val="0"/>
                <w:szCs w:val="21"/>
              </w:rPr>
              <w:t>属于四类过程性信息</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r>
      <w:tr>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6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baseline"/>
              <w:rPr>
                <w:rFonts w:ascii="Calibri" w:hAnsi="Calibri" w:eastAsia="宋体" w:cs="宋体"/>
                <w:kern w:val="0"/>
                <w:szCs w:val="21"/>
              </w:rPr>
            </w:pPr>
            <w:r>
              <w:rPr>
                <w:rFonts w:ascii="Times New Roman" w:hAnsi="Times New Roman" w:eastAsia="宋体" w:cs="Times New Roman"/>
                <w:kern w:val="0"/>
                <w:szCs w:val="21"/>
              </w:rPr>
              <w:t>7.</w:t>
            </w:r>
            <w:r>
              <w:rPr>
                <w:rFonts w:hint="eastAsia" w:ascii="楷体" w:hAnsi="楷体" w:eastAsia="楷体" w:cs="宋体"/>
                <w:kern w:val="0"/>
                <w:szCs w:val="21"/>
              </w:rPr>
              <w:t>属于行政执法案卷</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6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baseline"/>
              <w:rPr>
                <w:rFonts w:ascii="Calibri" w:hAnsi="Calibri" w:eastAsia="宋体" w:cs="宋体"/>
                <w:kern w:val="0"/>
                <w:szCs w:val="21"/>
              </w:rPr>
            </w:pPr>
            <w:r>
              <w:rPr>
                <w:rFonts w:ascii="Times New Roman" w:hAnsi="Times New Roman" w:eastAsia="宋体" w:cs="Times New Roman"/>
                <w:kern w:val="0"/>
                <w:szCs w:val="21"/>
              </w:rPr>
              <w:t>8.</w:t>
            </w:r>
            <w:r>
              <w:rPr>
                <w:rFonts w:hint="eastAsia" w:ascii="楷体" w:hAnsi="楷体" w:eastAsia="楷体" w:cs="宋体"/>
                <w:kern w:val="0"/>
                <w:szCs w:val="21"/>
              </w:rPr>
              <w:t>属于行政查询事项</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26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baseline"/>
              <w:rPr>
                <w:rFonts w:ascii="Calibri" w:hAnsi="Calibri" w:eastAsia="宋体" w:cs="宋体"/>
                <w:kern w:val="0"/>
                <w:szCs w:val="21"/>
              </w:rPr>
            </w:pPr>
            <w:r>
              <w:rPr>
                <w:rFonts w:hint="eastAsia" w:ascii="楷体" w:hAnsi="楷体" w:eastAsia="楷体" w:cs="宋体"/>
                <w:kern w:val="0"/>
                <w:szCs w:val="21"/>
              </w:rPr>
              <w:t>（四）无法提供</w:t>
            </w:r>
          </w:p>
        </w:tc>
        <w:tc>
          <w:tcPr>
            <w:tcW w:w="16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baseline"/>
              <w:rPr>
                <w:rFonts w:ascii="Calibri" w:hAnsi="Calibri" w:eastAsia="宋体" w:cs="宋体"/>
                <w:kern w:val="0"/>
                <w:szCs w:val="21"/>
              </w:rPr>
            </w:pPr>
            <w:r>
              <w:rPr>
                <w:rFonts w:ascii="Times New Roman" w:hAnsi="Times New Roman" w:eastAsia="宋体" w:cs="Times New Roman"/>
                <w:kern w:val="0"/>
                <w:szCs w:val="21"/>
              </w:rPr>
              <w:t>1.</w:t>
            </w:r>
            <w:r>
              <w:rPr>
                <w:rFonts w:hint="eastAsia" w:ascii="楷体" w:hAnsi="楷体" w:eastAsia="楷体" w:cs="宋体"/>
                <w:kern w:val="0"/>
                <w:szCs w:val="21"/>
              </w:rPr>
              <w:t>本机关不掌握相关政府信息</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1</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1</w:t>
            </w:r>
          </w:p>
        </w:tc>
      </w:tr>
      <w:tr>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6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baseline"/>
              <w:rPr>
                <w:rFonts w:ascii="Calibri" w:hAnsi="Calibri" w:eastAsia="宋体" w:cs="宋体"/>
                <w:kern w:val="0"/>
                <w:szCs w:val="21"/>
              </w:rPr>
            </w:pPr>
            <w:r>
              <w:rPr>
                <w:rFonts w:ascii="Times New Roman" w:hAnsi="Times New Roman" w:eastAsia="宋体" w:cs="Times New Roman"/>
                <w:kern w:val="0"/>
                <w:szCs w:val="21"/>
              </w:rPr>
              <w:t>2.</w:t>
            </w:r>
            <w:r>
              <w:rPr>
                <w:rFonts w:hint="eastAsia" w:ascii="楷体" w:hAnsi="楷体" w:eastAsia="楷体" w:cs="宋体"/>
                <w:kern w:val="0"/>
                <w:szCs w:val="21"/>
              </w:rPr>
              <w:t>没有现成信息需要另行制作</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6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baseline"/>
              <w:rPr>
                <w:rFonts w:ascii="Calibri" w:hAnsi="Calibri" w:eastAsia="宋体" w:cs="宋体"/>
                <w:kern w:val="0"/>
                <w:szCs w:val="21"/>
              </w:rPr>
            </w:pPr>
            <w:r>
              <w:rPr>
                <w:rFonts w:ascii="Times New Roman" w:hAnsi="Times New Roman" w:eastAsia="宋体" w:cs="Times New Roman"/>
                <w:kern w:val="0"/>
                <w:szCs w:val="21"/>
              </w:rPr>
              <w:t>3.</w:t>
            </w:r>
            <w:r>
              <w:rPr>
                <w:rFonts w:hint="eastAsia" w:ascii="楷体" w:hAnsi="楷体" w:eastAsia="楷体" w:cs="宋体"/>
                <w:kern w:val="0"/>
                <w:szCs w:val="21"/>
              </w:rPr>
              <w:t>补正后申请内容仍不明确</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26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20"/>
              <w:jc w:val="center"/>
              <w:textAlignment w:val="baseline"/>
              <w:rPr>
                <w:rFonts w:ascii="Calibri" w:hAnsi="Calibri" w:eastAsia="宋体" w:cs="宋体"/>
                <w:kern w:val="0"/>
                <w:szCs w:val="21"/>
              </w:rPr>
            </w:pPr>
            <w:r>
              <w:rPr>
                <w:rFonts w:hint="eastAsia" w:ascii="楷体" w:hAnsi="楷体" w:eastAsia="楷体" w:cs="宋体"/>
                <w:kern w:val="0"/>
                <w:szCs w:val="21"/>
              </w:rPr>
              <w:t>（五）不予处理</w:t>
            </w:r>
          </w:p>
        </w:tc>
        <w:tc>
          <w:tcPr>
            <w:tcW w:w="16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baseline"/>
              <w:rPr>
                <w:rFonts w:ascii="Calibri" w:hAnsi="Calibri" w:eastAsia="宋体" w:cs="宋体"/>
                <w:kern w:val="0"/>
                <w:szCs w:val="21"/>
              </w:rPr>
            </w:pPr>
            <w:r>
              <w:rPr>
                <w:rFonts w:ascii="Times New Roman" w:hAnsi="Times New Roman" w:eastAsia="宋体" w:cs="Times New Roman"/>
                <w:kern w:val="0"/>
                <w:szCs w:val="21"/>
              </w:rPr>
              <w:t>1.</w:t>
            </w:r>
            <w:r>
              <w:rPr>
                <w:rFonts w:hint="eastAsia" w:ascii="楷体" w:hAnsi="楷体" w:eastAsia="楷体" w:cs="宋体"/>
                <w:kern w:val="0"/>
                <w:szCs w:val="21"/>
              </w:rPr>
              <w:t>信访举报投诉类申请</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6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baseline"/>
              <w:rPr>
                <w:rFonts w:ascii="Calibri" w:hAnsi="Calibri" w:eastAsia="宋体" w:cs="宋体"/>
                <w:kern w:val="0"/>
                <w:szCs w:val="21"/>
              </w:rPr>
            </w:pPr>
            <w:r>
              <w:rPr>
                <w:rFonts w:ascii="Times New Roman" w:hAnsi="Times New Roman" w:eastAsia="宋体" w:cs="Times New Roman"/>
                <w:kern w:val="0"/>
                <w:szCs w:val="21"/>
              </w:rPr>
              <w:t>2.</w:t>
            </w:r>
            <w:r>
              <w:rPr>
                <w:rFonts w:hint="eastAsia" w:ascii="楷体" w:hAnsi="楷体" w:eastAsia="楷体" w:cs="宋体"/>
                <w:kern w:val="0"/>
                <w:szCs w:val="21"/>
              </w:rPr>
              <w:t>重复申请</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6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baseline"/>
              <w:rPr>
                <w:rFonts w:ascii="Calibri" w:hAnsi="Calibri" w:eastAsia="宋体" w:cs="宋体"/>
                <w:kern w:val="0"/>
                <w:szCs w:val="21"/>
              </w:rPr>
            </w:pPr>
            <w:r>
              <w:rPr>
                <w:rFonts w:ascii="Times New Roman" w:hAnsi="Times New Roman" w:eastAsia="宋体" w:cs="Times New Roman"/>
                <w:kern w:val="0"/>
                <w:szCs w:val="21"/>
              </w:rPr>
              <w:t>3.</w:t>
            </w:r>
            <w:r>
              <w:rPr>
                <w:rFonts w:hint="eastAsia" w:ascii="楷体" w:hAnsi="楷体" w:eastAsia="楷体" w:cs="宋体"/>
                <w:kern w:val="0"/>
                <w:szCs w:val="21"/>
              </w:rPr>
              <w:t>要求提供公开出版物</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6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baseline"/>
              <w:rPr>
                <w:rFonts w:ascii="Calibri" w:hAnsi="Calibri" w:eastAsia="宋体" w:cs="宋体"/>
                <w:kern w:val="0"/>
                <w:szCs w:val="21"/>
              </w:rPr>
            </w:pPr>
            <w:r>
              <w:rPr>
                <w:rFonts w:ascii="Times New Roman" w:hAnsi="Times New Roman" w:eastAsia="宋体" w:cs="Times New Roman"/>
                <w:kern w:val="0"/>
                <w:szCs w:val="21"/>
              </w:rPr>
              <w:t>4.</w:t>
            </w:r>
            <w:r>
              <w:rPr>
                <w:rFonts w:hint="eastAsia" w:ascii="楷体" w:hAnsi="楷体" w:eastAsia="楷体" w:cs="宋体"/>
                <w:kern w:val="0"/>
                <w:szCs w:val="21"/>
              </w:rPr>
              <w:t>无正当理由大量反复申请</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r>
      <w:tr>
        <w:tblPrEx>
          <w:tblCellMar>
            <w:top w:w="0" w:type="dxa"/>
            <w:left w:w="0" w:type="dxa"/>
            <w:bottom w:w="0" w:type="dxa"/>
            <w:right w:w="0" w:type="dxa"/>
          </w:tblCellMar>
        </w:tblPrEx>
        <w:trPr>
          <w:trHeight w:val="113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6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baseline"/>
              <w:rPr>
                <w:rFonts w:ascii="Calibri" w:hAnsi="Calibri" w:eastAsia="宋体" w:cs="宋体"/>
                <w:kern w:val="0"/>
                <w:szCs w:val="21"/>
              </w:rPr>
            </w:pPr>
            <w:r>
              <w:rPr>
                <w:rFonts w:ascii="Times New Roman" w:hAnsi="Times New Roman" w:eastAsia="宋体" w:cs="Times New Roman"/>
                <w:kern w:val="0"/>
                <w:szCs w:val="21"/>
              </w:rPr>
              <w:t>5.</w:t>
            </w:r>
            <w:r>
              <w:rPr>
                <w:rFonts w:hint="eastAsia" w:ascii="楷体" w:hAnsi="楷体" w:eastAsia="楷体" w:cs="宋体"/>
                <w:kern w:val="0"/>
                <w:szCs w:val="21"/>
              </w:rPr>
              <w:t>要求行政机关确认或重新出具已获取信息</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290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baseline"/>
              <w:rPr>
                <w:rFonts w:ascii="Calibri" w:hAnsi="Calibri" w:eastAsia="宋体" w:cs="宋体"/>
                <w:kern w:val="0"/>
                <w:szCs w:val="21"/>
              </w:rPr>
            </w:pPr>
            <w:r>
              <w:rPr>
                <w:rFonts w:hint="eastAsia" w:ascii="楷体" w:hAnsi="楷体" w:eastAsia="楷体" w:cs="宋体"/>
                <w:kern w:val="0"/>
                <w:szCs w:val="21"/>
              </w:rPr>
              <w:t>（六）其他处理</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290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baseline"/>
              <w:rPr>
                <w:rFonts w:ascii="Calibri" w:hAnsi="Calibri" w:eastAsia="宋体" w:cs="宋体"/>
                <w:kern w:val="0"/>
                <w:szCs w:val="21"/>
              </w:rPr>
            </w:pPr>
            <w:r>
              <w:rPr>
                <w:rFonts w:hint="eastAsia" w:ascii="楷体" w:hAnsi="楷体" w:eastAsia="楷体" w:cs="宋体"/>
                <w:kern w:val="0"/>
                <w:szCs w:val="21"/>
              </w:rPr>
              <w:t>（七）总计</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6</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6</w:t>
            </w:r>
          </w:p>
        </w:tc>
      </w:tr>
      <w:tr>
        <w:tblPrEx>
          <w:tblCellMar>
            <w:top w:w="0" w:type="dxa"/>
            <w:left w:w="0" w:type="dxa"/>
            <w:bottom w:w="0" w:type="dxa"/>
            <w:right w:w="0" w:type="dxa"/>
          </w:tblCellMar>
        </w:tblPrEx>
        <w:trPr>
          <w:jc w:val="center"/>
        </w:trPr>
        <w:tc>
          <w:tcPr>
            <w:tcW w:w="3543"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baseline"/>
              <w:rPr>
                <w:rFonts w:ascii="Calibri" w:hAnsi="Calibri" w:eastAsia="宋体" w:cs="宋体"/>
                <w:kern w:val="0"/>
                <w:szCs w:val="21"/>
              </w:rPr>
            </w:pPr>
            <w:r>
              <w:rPr>
                <w:rFonts w:hint="eastAsia" w:ascii="宋体" w:hAnsi="宋体" w:eastAsia="宋体" w:cs="宋体"/>
                <w:kern w:val="0"/>
                <w:szCs w:val="21"/>
              </w:rPr>
              <w:t>四、结转下年度继续办理</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c>
          <w:tcPr>
            <w:tcW w:w="7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baseline"/>
              <w:rPr>
                <w:rFonts w:ascii="Calibri" w:hAnsi="Calibri" w:eastAsia="宋体" w:cs="宋体"/>
                <w:kern w:val="0"/>
                <w:szCs w:val="21"/>
              </w:rPr>
            </w:pPr>
            <w:r>
              <w:rPr>
                <w:rFonts w:ascii="Times New Roman" w:hAnsi="Times New Roman" w:eastAsia="宋体" w:cs="Times New Roman"/>
                <w:kern w:val="0"/>
                <w:sz w:val="24"/>
                <w:szCs w:val="24"/>
              </w:rPr>
              <w:t>0</w:t>
            </w:r>
          </w:p>
        </w:tc>
      </w:tr>
    </w:tbl>
    <w:p>
      <w:pPr>
        <w:widowControl/>
        <w:shd w:val="clear" w:color="auto" w:fill="FFFFFF"/>
        <w:spacing w:line="540" w:lineRule="atLeast"/>
        <w:textAlignment w:val="baseline"/>
        <w:rPr>
          <w:rFonts w:ascii="Calibri" w:hAnsi="Calibri" w:eastAsia="宋体" w:cs="宋体"/>
          <w:kern w:val="0"/>
          <w:szCs w:val="21"/>
        </w:rPr>
      </w:pPr>
      <w:r>
        <w:rPr>
          <w:rFonts w:hint="eastAsia" w:ascii="黑体" w:hAnsi="黑体" w:eastAsia="黑体" w:cs="宋体"/>
          <w:kern w:val="0"/>
          <w:sz w:val="32"/>
          <w:szCs w:val="32"/>
        </w:rPr>
        <w:t>四、政府信息公开行政复议、行政诉讼情况</w:t>
      </w:r>
    </w:p>
    <w:tbl>
      <w:tblPr>
        <w:tblStyle w:val="3"/>
        <w:tblW w:w="8520" w:type="dxa"/>
        <w:jc w:val="center"/>
        <w:tblLayout w:type="autofit"/>
        <w:tblCellMar>
          <w:top w:w="0" w:type="dxa"/>
          <w:left w:w="0" w:type="dxa"/>
          <w:bottom w:w="0" w:type="dxa"/>
          <w:right w:w="0" w:type="dxa"/>
        </w:tblCellMar>
      </w:tblPr>
      <w:tblGrid>
        <w:gridCol w:w="568"/>
        <w:gridCol w:w="568"/>
        <w:gridCol w:w="568"/>
        <w:gridCol w:w="568"/>
        <w:gridCol w:w="568"/>
        <w:gridCol w:w="568"/>
        <w:gridCol w:w="568"/>
        <w:gridCol w:w="568"/>
        <w:gridCol w:w="568"/>
        <w:gridCol w:w="568"/>
        <w:gridCol w:w="568"/>
        <w:gridCol w:w="568"/>
        <w:gridCol w:w="568"/>
        <w:gridCol w:w="568"/>
        <w:gridCol w:w="568"/>
      </w:tblGrid>
      <w:tr>
        <w:tblPrEx>
          <w:tblCellMar>
            <w:top w:w="0" w:type="dxa"/>
            <w:left w:w="0" w:type="dxa"/>
            <w:bottom w:w="0" w:type="dxa"/>
            <w:right w:w="0" w:type="dxa"/>
          </w:tblCellMar>
        </w:tblPrEx>
        <w:trPr>
          <w:jc w:val="center"/>
        </w:trPr>
        <w:tc>
          <w:tcPr>
            <w:tcW w:w="284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rPr>
              <w:t>行政复议</w:t>
            </w:r>
            <w:r>
              <w:rPr>
                <w:rFonts w:hint="eastAsia" w:ascii="仿宋" w:hAnsi="仿宋" w:eastAsia="仿宋" w:cs="宋体"/>
                <w:kern w:val="0"/>
                <w:sz w:val="32"/>
                <w:szCs w:val="32"/>
              </w:rPr>
              <w:br w:type="textWrapping"/>
            </w:r>
            <w:r>
              <w:rPr>
                <w:rFonts w:hint="eastAsia" w:ascii="仿宋" w:hAnsi="仿宋" w:eastAsia="仿宋" w:cs="宋体"/>
                <w:kern w:val="0"/>
                <w:sz w:val="32"/>
                <w:szCs w:val="32"/>
              </w:rPr>
              <w:t>（因政府信息公开被行政复议）</w:t>
            </w:r>
          </w:p>
        </w:tc>
        <w:tc>
          <w:tcPr>
            <w:tcW w:w="5680"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rPr>
              <w:t>行政诉讼</w:t>
            </w:r>
            <w:r>
              <w:rPr>
                <w:rFonts w:hint="eastAsia" w:ascii="仿宋" w:hAnsi="仿宋" w:eastAsia="仿宋" w:cs="宋体"/>
                <w:kern w:val="0"/>
                <w:sz w:val="32"/>
                <w:szCs w:val="32"/>
              </w:rPr>
              <w:br w:type="textWrapping"/>
            </w:r>
            <w:r>
              <w:rPr>
                <w:rFonts w:hint="eastAsia" w:ascii="仿宋" w:hAnsi="仿宋" w:eastAsia="仿宋" w:cs="宋体"/>
                <w:kern w:val="0"/>
                <w:sz w:val="32"/>
                <w:szCs w:val="32"/>
              </w:rPr>
              <w:t>（因政府信息公开被行政诉讼）</w:t>
            </w:r>
          </w:p>
        </w:tc>
      </w:tr>
      <w:tr>
        <w:tblPrEx>
          <w:tblCellMar>
            <w:top w:w="0" w:type="dxa"/>
            <w:left w:w="0" w:type="dxa"/>
            <w:bottom w:w="0" w:type="dxa"/>
            <w:right w:w="0" w:type="dxa"/>
          </w:tblCellMar>
        </w:tblPrEx>
        <w:trPr>
          <w:jc w:val="center"/>
        </w:trPr>
        <w:tc>
          <w:tcPr>
            <w:tcW w:w="56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rPr>
              <w:t>结果维护</w:t>
            </w:r>
          </w:p>
        </w:tc>
        <w:tc>
          <w:tcPr>
            <w:tcW w:w="56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rPr>
              <w:t>结果纠正</w:t>
            </w:r>
          </w:p>
        </w:tc>
        <w:tc>
          <w:tcPr>
            <w:tcW w:w="56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rPr>
              <w:t>其他结果</w:t>
            </w:r>
          </w:p>
        </w:tc>
        <w:tc>
          <w:tcPr>
            <w:tcW w:w="56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rPr>
              <w:t>尚未审结</w:t>
            </w:r>
          </w:p>
        </w:tc>
        <w:tc>
          <w:tcPr>
            <w:tcW w:w="56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rPr>
              <w:t>总计</w:t>
            </w:r>
          </w:p>
        </w:tc>
        <w:tc>
          <w:tcPr>
            <w:tcW w:w="2840"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shd w:val="clear" w:color="auto" w:fill="FFFFFF"/>
              </w:rPr>
              <w:t>未经复议直接起诉</w:t>
            </w:r>
          </w:p>
        </w:tc>
        <w:tc>
          <w:tcPr>
            <w:tcW w:w="2840"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5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rPr>
              <w:t>结果维护</w:t>
            </w:r>
          </w:p>
        </w:tc>
        <w:tc>
          <w:tcPr>
            <w:tcW w:w="5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rPr>
              <w:t>结果纠正</w:t>
            </w:r>
          </w:p>
        </w:tc>
        <w:tc>
          <w:tcPr>
            <w:tcW w:w="5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rPr>
              <w:t>其他结果</w:t>
            </w:r>
          </w:p>
        </w:tc>
        <w:tc>
          <w:tcPr>
            <w:tcW w:w="5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rPr>
              <w:t>尚未审结</w:t>
            </w:r>
          </w:p>
        </w:tc>
        <w:tc>
          <w:tcPr>
            <w:tcW w:w="5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rPr>
              <w:t>总计</w:t>
            </w:r>
          </w:p>
        </w:tc>
        <w:tc>
          <w:tcPr>
            <w:tcW w:w="5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rPr>
              <w:t>结果维护</w:t>
            </w:r>
          </w:p>
        </w:tc>
        <w:tc>
          <w:tcPr>
            <w:tcW w:w="5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rPr>
              <w:t>结果纠正</w:t>
            </w:r>
          </w:p>
        </w:tc>
        <w:tc>
          <w:tcPr>
            <w:tcW w:w="5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rPr>
              <w:t>其他结果</w:t>
            </w:r>
          </w:p>
        </w:tc>
        <w:tc>
          <w:tcPr>
            <w:tcW w:w="5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rPr>
              <w:t>尚未审结</w:t>
            </w:r>
          </w:p>
        </w:tc>
        <w:tc>
          <w:tcPr>
            <w:tcW w:w="5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atLeast"/>
              <w:jc w:val="center"/>
              <w:textAlignment w:val="baseline"/>
              <w:rPr>
                <w:rFonts w:ascii="Calibri" w:hAnsi="Calibri" w:eastAsia="宋体" w:cs="宋体"/>
                <w:kern w:val="0"/>
                <w:szCs w:val="21"/>
              </w:rPr>
            </w:pPr>
            <w:r>
              <w:rPr>
                <w:rFonts w:hint="eastAsia" w:ascii="仿宋" w:hAnsi="仿宋" w:eastAsia="仿宋" w:cs="宋体"/>
                <w:kern w:val="0"/>
                <w:sz w:val="32"/>
                <w:szCs w:val="32"/>
              </w:rPr>
              <w:t>总计</w:t>
            </w:r>
          </w:p>
        </w:tc>
      </w:tr>
      <w:tr>
        <w:tblPrEx>
          <w:tblCellMar>
            <w:top w:w="0" w:type="dxa"/>
            <w:left w:w="0" w:type="dxa"/>
            <w:bottom w:w="0" w:type="dxa"/>
            <w:right w:w="0" w:type="dxa"/>
          </w:tblCellMar>
        </w:tblPrEx>
        <w:trPr>
          <w:jc w:val="center"/>
        </w:trPr>
        <w:tc>
          <w:tcPr>
            <w:tcW w:w="56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540" w:lineRule="atLeast"/>
              <w:textAlignment w:val="baseline"/>
              <w:rPr>
                <w:rFonts w:ascii="Calibri" w:hAnsi="Calibri" w:eastAsia="宋体" w:cs="宋体"/>
                <w:kern w:val="0"/>
                <w:szCs w:val="21"/>
              </w:rPr>
            </w:pPr>
            <w:r>
              <w:rPr>
                <w:rFonts w:hint="eastAsia" w:ascii="仿宋" w:hAnsi="仿宋" w:eastAsia="仿宋" w:cs="宋体"/>
                <w:kern w:val="0"/>
                <w:sz w:val="32"/>
                <w:szCs w:val="32"/>
              </w:rPr>
              <w:t>0</w:t>
            </w:r>
          </w:p>
        </w:tc>
        <w:tc>
          <w:tcPr>
            <w:tcW w:w="5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40" w:lineRule="atLeast"/>
              <w:textAlignment w:val="baseline"/>
              <w:rPr>
                <w:rFonts w:ascii="Calibri" w:hAnsi="Calibri" w:eastAsia="宋体" w:cs="宋体"/>
                <w:kern w:val="0"/>
                <w:szCs w:val="21"/>
              </w:rPr>
            </w:pPr>
            <w:r>
              <w:rPr>
                <w:rFonts w:hint="eastAsia" w:ascii="仿宋" w:hAnsi="仿宋" w:eastAsia="仿宋" w:cs="宋体"/>
                <w:kern w:val="0"/>
                <w:sz w:val="32"/>
                <w:szCs w:val="32"/>
              </w:rPr>
              <w:t>0</w:t>
            </w:r>
          </w:p>
        </w:tc>
        <w:tc>
          <w:tcPr>
            <w:tcW w:w="5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40" w:lineRule="atLeast"/>
              <w:textAlignment w:val="baseline"/>
              <w:rPr>
                <w:rFonts w:ascii="Calibri" w:hAnsi="Calibri" w:eastAsia="宋体" w:cs="宋体"/>
                <w:kern w:val="0"/>
                <w:szCs w:val="21"/>
              </w:rPr>
            </w:pPr>
            <w:r>
              <w:rPr>
                <w:rFonts w:hint="eastAsia" w:ascii="仿宋" w:hAnsi="仿宋" w:eastAsia="仿宋" w:cs="宋体"/>
                <w:kern w:val="0"/>
                <w:sz w:val="32"/>
                <w:szCs w:val="32"/>
              </w:rPr>
              <w:t>0</w:t>
            </w:r>
          </w:p>
        </w:tc>
        <w:tc>
          <w:tcPr>
            <w:tcW w:w="5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40" w:lineRule="atLeast"/>
              <w:textAlignment w:val="baseline"/>
              <w:rPr>
                <w:rFonts w:ascii="Calibri" w:hAnsi="Calibri" w:eastAsia="宋体" w:cs="宋体"/>
                <w:kern w:val="0"/>
                <w:szCs w:val="21"/>
              </w:rPr>
            </w:pPr>
            <w:r>
              <w:rPr>
                <w:rFonts w:hint="eastAsia" w:ascii="仿宋" w:hAnsi="仿宋" w:eastAsia="仿宋" w:cs="宋体"/>
                <w:kern w:val="0"/>
                <w:sz w:val="32"/>
                <w:szCs w:val="32"/>
              </w:rPr>
              <w:t>0</w:t>
            </w:r>
          </w:p>
        </w:tc>
        <w:tc>
          <w:tcPr>
            <w:tcW w:w="5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40" w:lineRule="atLeast"/>
              <w:textAlignment w:val="baseline"/>
              <w:rPr>
                <w:rFonts w:ascii="Calibri" w:hAnsi="Calibri" w:eastAsia="宋体" w:cs="宋体"/>
                <w:kern w:val="0"/>
                <w:szCs w:val="21"/>
              </w:rPr>
            </w:pPr>
            <w:r>
              <w:rPr>
                <w:rFonts w:hint="eastAsia" w:ascii="仿宋" w:hAnsi="仿宋" w:eastAsia="仿宋" w:cs="宋体"/>
                <w:kern w:val="0"/>
                <w:sz w:val="32"/>
                <w:szCs w:val="32"/>
              </w:rPr>
              <w:t>0</w:t>
            </w:r>
          </w:p>
        </w:tc>
        <w:tc>
          <w:tcPr>
            <w:tcW w:w="5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40" w:lineRule="atLeast"/>
              <w:textAlignment w:val="baseline"/>
              <w:rPr>
                <w:rFonts w:ascii="Calibri" w:hAnsi="Calibri" w:eastAsia="宋体" w:cs="宋体"/>
                <w:kern w:val="0"/>
                <w:szCs w:val="21"/>
              </w:rPr>
            </w:pPr>
            <w:r>
              <w:rPr>
                <w:rFonts w:hint="eastAsia" w:ascii="仿宋" w:hAnsi="仿宋" w:eastAsia="仿宋" w:cs="宋体"/>
                <w:kern w:val="0"/>
                <w:sz w:val="32"/>
                <w:szCs w:val="32"/>
              </w:rPr>
              <w:t>0</w:t>
            </w:r>
          </w:p>
        </w:tc>
        <w:tc>
          <w:tcPr>
            <w:tcW w:w="5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40" w:lineRule="atLeast"/>
              <w:textAlignment w:val="baseline"/>
              <w:rPr>
                <w:rFonts w:ascii="Calibri" w:hAnsi="Calibri" w:eastAsia="宋体" w:cs="宋体"/>
                <w:kern w:val="0"/>
                <w:szCs w:val="21"/>
              </w:rPr>
            </w:pPr>
            <w:r>
              <w:rPr>
                <w:rFonts w:hint="eastAsia" w:ascii="仿宋" w:hAnsi="仿宋" w:eastAsia="仿宋" w:cs="宋体"/>
                <w:kern w:val="0"/>
                <w:sz w:val="32"/>
                <w:szCs w:val="32"/>
              </w:rPr>
              <w:t>0</w:t>
            </w:r>
          </w:p>
        </w:tc>
        <w:tc>
          <w:tcPr>
            <w:tcW w:w="5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40" w:lineRule="atLeast"/>
              <w:textAlignment w:val="baseline"/>
              <w:rPr>
                <w:rFonts w:ascii="Calibri" w:hAnsi="Calibri" w:eastAsia="宋体" w:cs="宋体"/>
                <w:kern w:val="0"/>
                <w:szCs w:val="21"/>
              </w:rPr>
            </w:pPr>
            <w:r>
              <w:rPr>
                <w:rFonts w:hint="eastAsia" w:ascii="仿宋" w:hAnsi="仿宋" w:eastAsia="仿宋" w:cs="宋体"/>
                <w:kern w:val="0"/>
                <w:sz w:val="32"/>
                <w:szCs w:val="32"/>
              </w:rPr>
              <w:t>0</w:t>
            </w:r>
          </w:p>
        </w:tc>
        <w:tc>
          <w:tcPr>
            <w:tcW w:w="5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40" w:lineRule="atLeast"/>
              <w:textAlignment w:val="baseline"/>
              <w:rPr>
                <w:rFonts w:ascii="Calibri" w:hAnsi="Calibri" w:eastAsia="宋体" w:cs="宋体"/>
                <w:kern w:val="0"/>
                <w:szCs w:val="21"/>
              </w:rPr>
            </w:pPr>
            <w:r>
              <w:rPr>
                <w:rFonts w:hint="eastAsia" w:ascii="仿宋" w:hAnsi="仿宋" w:eastAsia="仿宋" w:cs="宋体"/>
                <w:kern w:val="0"/>
                <w:sz w:val="32"/>
                <w:szCs w:val="32"/>
              </w:rPr>
              <w:t>0</w:t>
            </w:r>
          </w:p>
        </w:tc>
        <w:tc>
          <w:tcPr>
            <w:tcW w:w="5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40" w:lineRule="atLeast"/>
              <w:textAlignment w:val="baseline"/>
              <w:rPr>
                <w:rFonts w:ascii="Calibri" w:hAnsi="Calibri" w:eastAsia="宋体" w:cs="宋体"/>
                <w:kern w:val="0"/>
                <w:szCs w:val="21"/>
              </w:rPr>
            </w:pPr>
            <w:r>
              <w:rPr>
                <w:rFonts w:hint="eastAsia" w:ascii="仿宋" w:hAnsi="仿宋" w:eastAsia="仿宋" w:cs="宋体"/>
                <w:kern w:val="0"/>
                <w:sz w:val="32"/>
                <w:szCs w:val="32"/>
              </w:rPr>
              <w:t>0</w:t>
            </w:r>
          </w:p>
        </w:tc>
        <w:tc>
          <w:tcPr>
            <w:tcW w:w="5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40" w:lineRule="atLeast"/>
              <w:textAlignment w:val="baseline"/>
              <w:rPr>
                <w:rFonts w:ascii="Calibri" w:hAnsi="Calibri" w:eastAsia="宋体" w:cs="宋体"/>
                <w:kern w:val="0"/>
                <w:szCs w:val="21"/>
              </w:rPr>
            </w:pPr>
            <w:r>
              <w:rPr>
                <w:rFonts w:hint="eastAsia" w:ascii="仿宋" w:hAnsi="仿宋" w:eastAsia="仿宋" w:cs="宋体"/>
                <w:kern w:val="0"/>
                <w:sz w:val="32"/>
                <w:szCs w:val="32"/>
              </w:rPr>
              <w:t>0</w:t>
            </w:r>
          </w:p>
        </w:tc>
        <w:tc>
          <w:tcPr>
            <w:tcW w:w="5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40" w:lineRule="atLeast"/>
              <w:textAlignment w:val="baseline"/>
              <w:rPr>
                <w:rFonts w:ascii="Calibri" w:hAnsi="Calibri" w:eastAsia="宋体" w:cs="宋体"/>
                <w:kern w:val="0"/>
                <w:szCs w:val="21"/>
              </w:rPr>
            </w:pPr>
            <w:r>
              <w:rPr>
                <w:rFonts w:hint="eastAsia" w:ascii="仿宋" w:hAnsi="仿宋" w:eastAsia="仿宋" w:cs="宋体"/>
                <w:kern w:val="0"/>
                <w:sz w:val="32"/>
                <w:szCs w:val="32"/>
              </w:rPr>
              <w:t>0</w:t>
            </w:r>
          </w:p>
        </w:tc>
        <w:tc>
          <w:tcPr>
            <w:tcW w:w="5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40" w:lineRule="atLeast"/>
              <w:textAlignment w:val="baseline"/>
              <w:rPr>
                <w:rFonts w:ascii="Calibri" w:hAnsi="Calibri" w:eastAsia="宋体" w:cs="宋体"/>
                <w:kern w:val="0"/>
                <w:szCs w:val="21"/>
              </w:rPr>
            </w:pPr>
            <w:r>
              <w:rPr>
                <w:rFonts w:hint="eastAsia" w:ascii="仿宋" w:hAnsi="仿宋" w:eastAsia="仿宋" w:cs="宋体"/>
                <w:kern w:val="0"/>
                <w:sz w:val="32"/>
                <w:szCs w:val="32"/>
              </w:rPr>
              <w:t>0</w:t>
            </w:r>
          </w:p>
        </w:tc>
        <w:tc>
          <w:tcPr>
            <w:tcW w:w="5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40" w:lineRule="atLeast"/>
              <w:textAlignment w:val="baseline"/>
              <w:rPr>
                <w:rFonts w:ascii="Calibri" w:hAnsi="Calibri" w:eastAsia="宋体" w:cs="宋体"/>
                <w:kern w:val="0"/>
                <w:szCs w:val="21"/>
              </w:rPr>
            </w:pPr>
            <w:r>
              <w:rPr>
                <w:rFonts w:hint="eastAsia" w:ascii="仿宋" w:hAnsi="仿宋" w:eastAsia="仿宋" w:cs="宋体"/>
                <w:kern w:val="0"/>
                <w:sz w:val="32"/>
                <w:szCs w:val="32"/>
              </w:rPr>
              <w:t>0</w:t>
            </w:r>
          </w:p>
        </w:tc>
        <w:tc>
          <w:tcPr>
            <w:tcW w:w="5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540" w:lineRule="atLeast"/>
              <w:textAlignment w:val="baseline"/>
              <w:rPr>
                <w:rFonts w:ascii="Calibri" w:hAnsi="Calibri" w:eastAsia="宋体" w:cs="宋体"/>
                <w:kern w:val="0"/>
                <w:szCs w:val="21"/>
              </w:rPr>
            </w:pPr>
            <w:r>
              <w:rPr>
                <w:rFonts w:hint="eastAsia" w:ascii="仿宋" w:hAnsi="仿宋" w:eastAsia="仿宋" w:cs="宋体"/>
                <w:kern w:val="0"/>
                <w:sz w:val="32"/>
                <w:szCs w:val="32"/>
              </w:rPr>
              <w:t>0</w:t>
            </w:r>
          </w:p>
        </w:tc>
      </w:tr>
    </w:tbl>
    <w:p>
      <w:pPr>
        <w:widowControl/>
        <w:shd w:val="clear" w:color="auto" w:fill="FFFFFF"/>
        <w:spacing w:line="560" w:lineRule="atLeast"/>
        <w:textAlignment w:val="baseline"/>
        <w:rPr>
          <w:rFonts w:ascii="Times New Roman" w:hAnsi="Times New Roman" w:eastAsia="宋体" w:cs="Times New Roman"/>
          <w:kern w:val="0"/>
          <w:sz w:val="24"/>
          <w:szCs w:val="24"/>
        </w:rPr>
      </w:pPr>
      <w:r>
        <w:rPr>
          <w:rFonts w:hint="eastAsia" w:ascii="宋体" w:hAnsi="宋体" w:eastAsia="宋体" w:cs="宋体"/>
          <w:kern w:val="0"/>
          <w:sz w:val="32"/>
          <w:szCs w:val="32"/>
          <w:shd w:val="clear" w:color="auto" w:fill="FFFFFF"/>
        </w:rPr>
        <w:t>    </w:t>
      </w:r>
      <w:r>
        <w:rPr>
          <w:rFonts w:hint="eastAsia" w:ascii="黑体" w:hAnsi="黑体" w:eastAsia="黑体" w:cs="Times New Roman"/>
          <w:kern w:val="0"/>
          <w:sz w:val="32"/>
          <w:szCs w:val="32"/>
          <w:shd w:val="clear" w:color="auto" w:fill="FFFFFF"/>
        </w:rPr>
        <w:t>五、存在的主要问题及改进情况</w:t>
      </w:r>
    </w:p>
    <w:p>
      <w:pPr>
        <w:widowControl/>
        <w:shd w:val="clear" w:color="auto" w:fill="FFFFFF"/>
        <w:spacing w:line="560" w:lineRule="atLeast"/>
        <w:textAlignment w:val="baseline"/>
        <w:rPr>
          <w:rFonts w:ascii="Times New Roman" w:hAnsi="Times New Roman" w:eastAsia="宋体" w:cs="Times New Roman"/>
          <w:kern w:val="0"/>
          <w:sz w:val="24"/>
          <w:szCs w:val="24"/>
        </w:rPr>
      </w:pPr>
      <w:r>
        <w:rPr>
          <w:rFonts w:hint="eastAsia" w:ascii="宋体" w:hAnsi="宋体" w:eastAsia="宋体" w:cs="宋体"/>
          <w:kern w:val="0"/>
          <w:sz w:val="32"/>
          <w:szCs w:val="32"/>
        </w:rPr>
        <w:t>   </w:t>
      </w:r>
      <w:r>
        <w:rPr>
          <w:rFonts w:hint="eastAsia" w:ascii="仿宋" w:hAnsi="仿宋" w:eastAsia="仿宋" w:cs="仿宋"/>
          <w:kern w:val="0"/>
          <w:sz w:val="32"/>
          <w:szCs w:val="32"/>
        </w:rPr>
        <w:t xml:space="preserve"> 2020</w:t>
      </w:r>
      <w:r>
        <w:rPr>
          <w:rFonts w:hint="eastAsia" w:ascii="仿宋" w:hAnsi="仿宋" w:eastAsia="仿宋" w:cs="Times New Roman"/>
          <w:kern w:val="0"/>
          <w:sz w:val="32"/>
          <w:szCs w:val="32"/>
        </w:rPr>
        <w:t>年，我办在政府信息公开上取得了一定成效，但仍存在问题与不足，主要体现在：一是公开质量不高，公开的及时性和有效性不强；二是对政府信息公开的有关细则和政策的把握还不够全面；三是主动公开中的规范性文件及其他文件公开数量不够；四是政策解读较单一等问题。为此我办将采取以下措施积极改进。</w:t>
      </w:r>
    </w:p>
    <w:p>
      <w:pPr>
        <w:widowControl/>
        <w:shd w:val="clear" w:color="auto" w:fill="FFFFFF"/>
        <w:spacing w:line="560" w:lineRule="atLeast"/>
        <w:textAlignment w:val="baseline"/>
        <w:rPr>
          <w:rFonts w:ascii="Times New Roman" w:hAnsi="Times New Roman" w:eastAsia="宋体" w:cs="Times New Roman"/>
          <w:kern w:val="0"/>
          <w:sz w:val="24"/>
          <w:szCs w:val="24"/>
        </w:rPr>
      </w:pPr>
      <w:r>
        <w:rPr>
          <w:rFonts w:hint="eastAsia" w:ascii="仿宋" w:hAnsi="仿宋" w:eastAsia="仿宋" w:cs="Times New Roman"/>
          <w:kern w:val="0"/>
          <w:sz w:val="32"/>
          <w:szCs w:val="32"/>
        </w:rPr>
        <w:t>　　</w:t>
      </w:r>
      <w:r>
        <w:rPr>
          <w:rFonts w:hint="eastAsia" w:ascii="仿宋" w:hAnsi="仿宋" w:eastAsia="仿宋" w:cs="Times New Roman"/>
          <w:b/>
          <w:bCs/>
          <w:kern w:val="0"/>
          <w:sz w:val="32"/>
          <w:szCs w:val="32"/>
        </w:rPr>
        <w:t>一是</w:t>
      </w:r>
      <w:r>
        <w:rPr>
          <w:rFonts w:hint="eastAsia" w:ascii="仿宋" w:hAnsi="仿宋" w:eastAsia="仿宋" w:cs="Times New Roman"/>
          <w:kern w:val="0"/>
          <w:sz w:val="32"/>
          <w:szCs w:val="32"/>
        </w:rPr>
        <w:t>加强信息公开工作的业务学习，逐步提高政府信息公开规范化水平。进一步把《中华人民共和国政府信息公开条例》的学习作为干部培训的重要内容列入日常培训计划并组织实施。除了积极参加有关部门对信息化工作人员的业务培训，同时加强我办各股室人员信息公开工作的业务学习。</w:t>
      </w:r>
    </w:p>
    <w:p>
      <w:pPr>
        <w:widowControl/>
        <w:shd w:val="clear" w:color="auto" w:fill="FFFFFF"/>
        <w:spacing w:line="560" w:lineRule="atLeast"/>
        <w:textAlignment w:val="baseline"/>
        <w:rPr>
          <w:rFonts w:ascii="Times New Roman" w:hAnsi="Times New Roman" w:eastAsia="宋体" w:cs="Times New Roman"/>
          <w:kern w:val="0"/>
          <w:sz w:val="24"/>
          <w:szCs w:val="24"/>
        </w:rPr>
      </w:pPr>
      <w:r>
        <w:rPr>
          <w:rFonts w:hint="eastAsia" w:ascii="仿宋" w:hAnsi="仿宋" w:eastAsia="仿宋" w:cs="Times New Roman"/>
          <w:kern w:val="0"/>
          <w:sz w:val="32"/>
          <w:szCs w:val="32"/>
        </w:rPr>
        <w:t>　　</w:t>
      </w:r>
      <w:r>
        <w:rPr>
          <w:rFonts w:hint="eastAsia" w:ascii="仿宋" w:hAnsi="仿宋" w:eastAsia="仿宋" w:cs="Times New Roman"/>
          <w:b/>
          <w:bCs/>
          <w:kern w:val="0"/>
          <w:sz w:val="32"/>
          <w:szCs w:val="32"/>
        </w:rPr>
        <w:t>二是</w:t>
      </w:r>
      <w:r>
        <w:rPr>
          <w:rFonts w:hint="eastAsia" w:ascii="仿宋" w:hAnsi="仿宋" w:eastAsia="仿宋" w:cs="Times New Roman"/>
          <w:kern w:val="0"/>
          <w:sz w:val="32"/>
          <w:szCs w:val="32"/>
        </w:rPr>
        <w:t>进一步深化公开内容。拓宽政府信息公开渠道，开展多种形式的公开方式，更好地发挥政府服务功能，服务经济、服务社会、服务人民。将我办政府信息公开工作不断引向深入。同时加大督办力度，督促各乡（镇）、各部门（单位）严格按有关规定和制度做好信息公开工作。</w:t>
      </w:r>
    </w:p>
    <w:p>
      <w:pPr>
        <w:widowControl/>
        <w:shd w:val="clear" w:color="auto" w:fill="FFFFFF"/>
        <w:spacing w:line="560" w:lineRule="atLeast"/>
        <w:ind w:firstLine="643"/>
        <w:textAlignment w:val="baseline"/>
        <w:rPr>
          <w:rFonts w:ascii="Times New Roman" w:hAnsi="Times New Roman" w:eastAsia="宋体" w:cs="Times New Roman"/>
          <w:kern w:val="0"/>
          <w:sz w:val="24"/>
          <w:szCs w:val="24"/>
        </w:rPr>
      </w:pPr>
      <w:r>
        <w:rPr>
          <w:rFonts w:hint="eastAsia" w:ascii="仿宋" w:hAnsi="仿宋" w:eastAsia="仿宋" w:cs="Times New Roman"/>
          <w:b/>
          <w:bCs/>
          <w:kern w:val="0"/>
          <w:sz w:val="32"/>
          <w:szCs w:val="32"/>
        </w:rPr>
        <w:t>三是</w:t>
      </w:r>
      <w:r>
        <w:rPr>
          <w:rFonts w:hint="eastAsia" w:ascii="仿宋" w:hAnsi="仿宋" w:eastAsia="仿宋" w:cs="Times New Roman"/>
          <w:kern w:val="0"/>
          <w:sz w:val="32"/>
          <w:szCs w:val="32"/>
        </w:rPr>
        <w:t>加强解读回应。建立健全重大决策事项的全链条解读机制。做好政策发布前的预解读工作，加强舆情分析研判；政策制定过程中按照“谁起草，谁解读”的原则，做到政策文件与解读材料同起草、同审签、同发布；政策发布后做好政策的深度阐释。对经济社会热点、企业和群众办事创业的堵点痛点，切实加强舆情监测、研判、回应，做到群众需求迅速捕捉、疑问疑惑限时解答、改进措施及时跟进，确保正确的舆论导向，增强政府的公信力。</w:t>
      </w:r>
    </w:p>
    <w:p>
      <w:pPr>
        <w:widowControl/>
        <w:shd w:val="clear" w:color="auto" w:fill="FFFFFF"/>
        <w:spacing w:line="560" w:lineRule="atLeast"/>
        <w:ind w:firstLine="420"/>
        <w:textAlignment w:val="baseline"/>
        <w:rPr>
          <w:rFonts w:ascii="Times New Roman" w:hAnsi="Times New Roman" w:eastAsia="宋体" w:cs="Times New Roman"/>
          <w:kern w:val="0"/>
          <w:sz w:val="24"/>
          <w:szCs w:val="24"/>
        </w:rPr>
      </w:pPr>
      <w:r>
        <w:rPr>
          <w:rFonts w:hint="eastAsia" w:ascii="宋体" w:hAnsi="宋体" w:eastAsia="宋体" w:cs="宋体"/>
          <w:kern w:val="0"/>
          <w:sz w:val="32"/>
          <w:szCs w:val="32"/>
          <w:shd w:val="clear" w:color="auto" w:fill="FFFFFF"/>
        </w:rPr>
        <w:t> </w:t>
      </w:r>
      <w:r>
        <w:rPr>
          <w:rFonts w:hint="eastAsia" w:ascii="黑体" w:hAnsi="黑体" w:eastAsia="黑体" w:cs="Times New Roman"/>
          <w:kern w:val="0"/>
          <w:sz w:val="32"/>
          <w:szCs w:val="32"/>
          <w:shd w:val="clear" w:color="auto" w:fill="FFFFFF"/>
        </w:rPr>
        <w:t>六、其他需要报告的事项</w:t>
      </w:r>
    </w:p>
    <w:p>
      <w:pPr>
        <w:widowControl/>
        <w:shd w:val="clear" w:color="auto" w:fill="FFFFFF"/>
        <w:spacing w:line="560" w:lineRule="atLeast"/>
        <w:ind w:firstLine="420"/>
        <w:textAlignment w:val="baseline"/>
        <w:rPr>
          <w:rFonts w:ascii="Times New Roman" w:hAnsi="Times New Roman" w:eastAsia="宋体" w:cs="Times New Roman"/>
          <w:kern w:val="0"/>
          <w:sz w:val="24"/>
          <w:szCs w:val="24"/>
        </w:rPr>
      </w:pPr>
      <w:r>
        <w:rPr>
          <w:rFonts w:hint="eastAsia" w:ascii="宋体" w:hAnsi="宋体" w:eastAsia="宋体" w:cs="宋体"/>
          <w:kern w:val="0"/>
          <w:sz w:val="32"/>
          <w:szCs w:val="32"/>
          <w:shd w:val="clear" w:color="auto" w:fill="FFFFFF"/>
        </w:rPr>
        <w:t>         </w:t>
      </w:r>
      <w:r>
        <w:rPr>
          <w:rFonts w:hint="eastAsia" w:ascii="仿宋" w:hAnsi="仿宋" w:eastAsia="仿宋" w:cs="Times New Roman"/>
          <w:kern w:val="0"/>
          <w:sz w:val="32"/>
          <w:szCs w:val="32"/>
          <w:shd w:val="clear" w:color="auto" w:fill="FFFFFF"/>
        </w:rPr>
        <w:t>无。</w:t>
      </w:r>
    </w:p>
    <w:p>
      <w:pPr>
        <w:widowControl/>
        <w:shd w:val="clear" w:color="auto" w:fill="FFFFFF"/>
        <w:spacing w:line="560" w:lineRule="atLeast"/>
        <w:ind w:firstLine="420"/>
        <w:jc w:val="right"/>
        <w:textAlignment w:val="baseline"/>
        <w:rPr>
          <w:rFonts w:ascii="Times New Roman" w:hAnsi="Times New Roman" w:eastAsia="宋体" w:cs="Times New Roman"/>
          <w:kern w:val="0"/>
          <w:sz w:val="24"/>
          <w:szCs w:val="24"/>
        </w:rPr>
      </w:pPr>
      <w:r>
        <w:rPr>
          <w:rFonts w:hint="eastAsia" w:ascii="宋体" w:hAnsi="宋体" w:eastAsia="宋体" w:cs="宋体"/>
          <w:kern w:val="0"/>
          <w:sz w:val="32"/>
          <w:szCs w:val="32"/>
          <w:shd w:val="clear" w:color="auto" w:fill="FFFFFF"/>
        </w:rPr>
        <w:t>                            </w:t>
      </w:r>
      <w:r>
        <w:rPr>
          <w:rFonts w:hint="eastAsia" w:ascii="仿宋" w:hAnsi="仿宋" w:eastAsia="仿宋" w:cs="仿宋"/>
          <w:kern w:val="0"/>
          <w:sz w:val="32"/>
          <w:szCs w:val="32"/>
          <w:shd w:val="clear" w:color="auto" w:fill="FFFFFF"/>
        </w:rPr>
        <w:t xml:space="preserve"> 2021</w:t>
      </w:r>
      <w:r>
        <w:rPr>
          <w:rFonts w:hint="eastAsia" w:ascii="仿宋" w:hAnsi="仿宋" w:eastAsia="仿宋" w:cs="Times New Roman"/>
          <w:kern w:val="0"/>
          <w:sz w:val="32"/>
          <w:szCs w:val="32"/>
          <w:shd w:val="clear" w:color="auto" w:fill="FFFFFF"/>
        </w:rPr>
        <w:t>年1月28日</w:t>
      </w:r>
    </w:p>
    <w:p>
      <w:pPr>
        <w:widowControl/>
        <w:shd w:val="clear" w:color="auto" w:fill="FFFFFF"/>
        <w:textAlignment w:val="baseline"/>
        <w:rPr>
          <w:rFonts w:ascii="Calibri" w:hAnsi="Calibri" w:eastAsia="宋体" w:cs="宋体"/>
          <w:kern w:val="0"/>
          <w:szCs w:val="21"/>
        </w:rPr>
      </w:pPr>
      <w:r>
        <w:rPr>
          <w:rFonts w:ascii="Calibri" w:hAnsi="Calibri" w:eastAsia="宋体" w:cs="宋体"/>
          <w:kern w:val="0"/>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0ZDUwZDk2YzZkMjEwY2RmYzc2MDMwYjMxMmIzNzMifQ=="/>
    <w:docVar w:name="KSO_WPS_MARK_KEY" w:val="432164aa-5369-4257-ac71-486d9e1ffcfa"/>
  </w:docVars>
  <w:rsids>
    <w:rsidRoot w:val="002F11E0"/>
    <w:rsid w:val="00005BCB"/>
    <w:rsid w:val="0000794D"/>
    <w:rsid w:val="00015AAC"/>
    <w:rsid w:val="0001739D"/>
    <w:rsid w:val="00021637"/>
    <w:rsid w:val="000248A4"/>
    <w:rsid w:val="00030141"/>
    <w:rsid w:val="000367FB"/>
    <w:rsid w:val="00041E5B"/>
    <w:rsid w:val="000428E6"/>
    <w:rsid w:val="00053ADC"/>
    <w:rsid w:val="00056079"/>
    <w:rsid w:val="000610A6"/>
    <w:rsid w:val="000618E9"/>
    <w:rsid w:val="00065604"/>
    <w:rsid w:val="0006724E"/>
    <w:rsid w:val="00067332"/>
    <w:rsid w:val="00067AAE"/>
    <w:rsid w:val="0007481A"/>
    <w:rsid w:val="00075FB4"/>
    <w:rsid w:val="0009134C"/>
    <w:rsid w:val="00092C7D"/>
    <w:rsid w:val="000A3FC1"/>
    <w:rsid w:val="000A43BC"/>
    <w:rsid w:val="000A4840"/>
    <w:rsid w:val="000B0069"/>
    <w:rsid w:val="000B0B0A"/>
    <w:rsid w:val="000B59A8"/>
    <w:rsid w:val="000B6FB0"/>
    <w:rsid w:val="000C4F21"/>
    <w:rsid w:val="000C6946"/>
    <w:rsid w:val="000D1246"/>
    <w:rsid w:val="000D4263"/>
    <w:rsid w:val="000E7E16"/>
    <w:rsid w:val="000F56B9"/>
    <w:rsid w:val="000F5D2E"/>
    <w:rsid w:val="000F7357"/>
    <w:rsid w:val="00100F94"/>
    <w:rsid w:val="00103D0E"/>
    <w:rsid w:val="0010411F"/>
    <w:rsid w:val="0010512C"/>
    <w:rsid w:val="001066C5"/>
    <w:rsid w:val="00107433"/>
    <w:rsid w:val="001209F8"/>
    <w:rsid w:val="001308CA"/>
    <w:rsid w:val="00133247"/>
    <w:rsid w:val="0013570C"/>
    <w:rsid w:val="00140013"/>
    <w:rsid w:val="00153D98"/>
    <w:rsid w:val="00154204"/>
    <w:rsid w:val="001554E8"/>
    <w:rsid w:val="0015611D"/>
    <w:rsid w:val="00160714"/>
    <w:rsid w:val="001647F1"/>
    <w:rsid w:val="00175D62"/>
    <w:rsid w:val="0017670F"/>
    <w:rsid w:val="00182332"/>
    <w:rsid w:val="0018752D"/>
    <w:rsid w:val="00187968"/>
    <w:rsid w:val="001A0744"/>
    <w:rsid w:val="001A0AE6"/>
    <w:rsid w:val="001A2468"/>
    <w:rsid w:val="001A60E6"/>
    <w:rsid w:val="001A6BB6"/>
    <w:rsid w:val="001B0FF6"/>
    <w:rsid w:val="001C112F"/>
    <w:rsid w:val="001D0334"/>
    <w:rsid w:val="001D296C"/>
    <w:rsid w:val="001E2437"/>
    <w:rsid w:val="001E3433"/>
    <w:rsid w:val="001E6777"/>
    <w:rsid w:val="001E6D29"/>
    <w:rsid w:val="001E7796"/>
    <w:rsid w:val="001F4E41"/>
    <w:rsid w:val="00201DE6"/>
    <w:rsid w:val="00204299"/>
    <w:rsid w:val="00210301"/>
    <w:rsid w:val="00210399"/>
    <w:rsid w:val="00210DC3"/>
    <w:rsid w:val="00213B68"/>
    <w:rsid w:val="00216E14"/>
    <w:rsid w:val="00235676"/>
    <w:rsid w:val="0023656B"/>
    <w:rsid w:val="002477AC"/>
    <w:rsid w:val="002538FE"/>
    <w:rsid w:val="0025432F"/>
    <w:rsid w:val="002575B4"/>
    <w:rsid w:val="0026333F"/>
    <w:rsid w:val="00263BFB"/>
    <w:rsid w:val="00265AF1"/>
    <w:rsid w:val="00270A28"/>
    <w:rsid w:val="002809F2"/>
    <w:rsid w:val="0028144E"/>
    <w:rsid w:val="002827A8"/>
    <w:rsid w:val="00282CF9"/>
    <w:rsid w:val="00291D74"/>
    <w:rsid w:val="00292089"/>
    <w:rsid w:val="002A17F0"/>
    <w:rsid w:val="002A4966"/>
    <w:rsid w:val="002A6BB4"/>
    <w:rsid w:val="002A7629"/>
    <w:rsid w:val="002B5BFC"/>
    <w:rsid w:val="002C4012"/>
    <w:rsid w:val="002C5C3D"/>
    <w:rsid w:val="002C5D89"/>
    <w:rsid w:val="002E160A"/>
    <w:rsid w:val="002E4D65"/>
    <w:rsid w:val="002E5E4B"/>
    <w:rsid w:val="002F11E0"/>
    <w:rsid w:val="00300877"/>
    <w:rsid w:val="003019CF"/>
    <w:rsid w:val="00301F59"/>
    <w:rsid w:val="003022E7"/>
    <w:rsid w:val="003031B0"/>
    <w:rsid w:val="0030782E"/>
    <w:rsid w:val="0031197E"/>
    <w:rsid w:val="003119F6"/>
    <w:rsid w:val="0031459F"/>
    <w:rsid w:val="00316115"/>
    <w:rsid w:val="00316EDF"/>
    <w:rsid w:val="00320785"/>
    <w:rsid w:val="0032119F"/>
    <w:rsid w:val="003230BC"/>
    <w:rsid w:val="0032330B"/>
    <w:rsid w:val="00327ACE"/>
    <w:rsid w:val="00334F09"/>
    <w:rsid w:val="00340392"/>
    <w:rsid w:val="00342380"/>
    <w:rsid w:val="00347512"/>
    <w:rsid w:val="00354788"/>
    <w:rsid w:val="00354930"/>
    <w:rsid w:val="00372325"/>
    <w:rsid w:val="0037249D"/>
    <w:rsid w:val="003760A5"/>
    <w:rsid w:val="00376440"/>
    <w:rsid w:val="003861E3"/>
    <w:rsid w:val="00392860"/>
    <w:rsid w:val="00394018"/>
    <w:rsid w:val="00396228"/>
    <w:rsid w:val="00396DA8"/>
    <w:rsid w:val="003972B6"/>
    <w:rsid w:val="003A2B58"/>
    <w:rsid w:val="003A2EFF"/>
    <w:rsid w:val="003A79F4"/>
    <w:rsid w:val="003B4D38"/>
    <w:rsid w:val="003B6CE4"/>
    <w:rsid w:val="003B74D9"/>
    <w:rsid w:val="003D0787"/>
    <w:rsid w:val="003D51F2"/>
    <w:rsid w:val="003D5C83"/>
    <w:rsid w:val="003E144C"/>
    <w:rsid w:val="003E1711"/>
    <w:rsid w:val="003E4D3F"/>
    <w:rsid w:val="003E7BD8"/>
    <w:rsid w:val="003F3149"/>
    <w:rsid w:val="003F4A06"/>
    <w:rsid w:val="003F54CC"/>
    <w:rsid w:val="00401D8E"/>
    <w:rsid w:val="004055F1"/>
    <w:rsid w:val="00406CF9"/>
    <w:rsid w:val="00407643"/>
    <w:rsid w:val="004107E3"/>
    <w:rsid w:val="00410B81"/>
    <w:rsid w:val="0041334A"/>
    <w:rsid w:val="0041377C"/>
    <w:rsid w:val="00413D0F"/>
    <w:rsid w:val="00414EBA"/>
    <w:rsid w:val="00416890"/>
    <w:rsid w:val="00417CFA"/>
    <w:rsid w:val="0042197F"/>
    <w:rsid w:val="004242C9"/>
    <w:rsid w:val="004304C1"/>
    <w:rsid w:val="00430C13"/>
    <w:rsid w:val="00430D5A"/>
    <w:rsid w:val="00431688"/>
    <w:rsid w:val="004343E6"/>
    <w:rsid w:val="0044047A"/>
    <w:rsid w:val="00444583"/>
    <w:rsid w:val="00446D87"/>
    <w:rsid w:val="00452482"/>
    <w:rsid w:val="004536B3"/>
    <w:rsid w:val="00457FEA"/>
    <w:rsid w:val="00460E15"/>
    <w:rsid w:val="0046307E"/>
    <w:rsid w:val="00466163"/>
    <w:rsid w:val="00467044"/>
    <w:rsid w:val="00471C39"/>
    <w:rsid w:val="004759C6"/>
    <w:rsid w:val="0047731B"/>
    <w:rsid w:val="00477CE7"/>
    <w:rsid w:val="00481A8D"/>
    <w:rsid w:val="00481C36"/>
    <w:rsid w:val="00484B14"/>
    <w:rsid w:val="0048503E"/>
    <w:rsid w:val="0049594A"/>
    <w:rsid w:val="00495EA8"/>
    <w:rsid w:val="00496D26"/>
    <w:rsid w:val="004A544C"/>
    <w:rsid w:val="004B09C7"/>
    <w:rsid w:val="004B13AA"/>
    <w:rsid w:val="004B3F2D"/>
    <w:rsid w:val="004B4B38"/>
    <w:rsid w:val="004C1937"/>
    <w:rsid w:val="004C7C57"/>
    <w:rsid w:val="004D388A"/>
    <w:rsid w:val="004D3A9C"/>
    <w:rsid w:val="004D63C9"/>
    <w:rsid w:val="004E37D0"/>
    <w:rsid w:val="004E3890"/>
    <w:rsid w:val="004E4CC8"/>
    <w:rsid w:val="004E7EB3"/>
    <w:rsid w:val="00501D4B"/>
    <w:rsid w:val="00502BEE"/>
    <w:rsid w:val="00504DCE"/>
    <w:rsid w:val="005055C9"/>
    <w:rsid w:val="00505CB7"/>
    <w:rsid w:val="00506317"/>
    <w:rsid w:val="005114AE"/>
    <w:rsid w:val="00511800"/>
    <w:rsid w:val="0051402A"/>
    <w:rsid w:val="00514D2F"/>
    <w:rsid w:val="00520973"/>
    <w:rsid w:val="00522E98"/>
    <w:rsid w:val="005250D1"/>
    <w:rsid w:val="00537D81"/>
    <w:rsid w:val="005401C1"/>
    <w:rsid w:val="005426C4"/>
    <w:rsid w:val="005450E4"/>
    <w:rsid w:val="00547EF8"/>
    <w:rsid w:val="00555E0A"/>
    <w:rsid w:val="00556FA9"/>
    <w:rsid w:val="00561872"/>
    <w:rsid w:val="00564837"/>
    <w:rsid w:val="00570091"/>
    <w:rsid w:val="005719C7"/>
    <w:rsid w:val="00571C1B"/>
    <w:rsid w:val="00577073"/>
    <w:rsid w:val="0058327C"/>
    <w:rsid w:val="00586EF2"/>
    <w:rsid w:val="00587BB5"/>
    <w:rsid w:val="00590483"/>
    <w:rsid w:val="00591681"/>
    <w:rsid w:val="00593606"/>
    <w:rsid w:val="005936B7"/>
    <w:rsid w:val="00593B3C"/>
    <w:rsid w:val="00594334"/>
    <w:rsid w:val="00594610"/>
    <w:rsid w:val="00596A7B"/>
    <w:rsid w:val="005A2874"/>
    <w:rsid w:val="005A3854"/>
    <w:rsid w:val="005B2B0C"/>
    <w:rsid w:val="005B4220"/>
    <w:rsid w:val="005B4D5D"/>
    <w:rsid w:val="005B683A"/>
    <w:rsid w:val="005C0D69"/>
    <w:rsid w:val="005C4AF5"/>
    <w:rsid w:val="005C512E"/>
    <w:rsid w:val="005D3AAA"/>
    <w:rsid w:val="005D3E7C"/>
    <w:rsid w:val="005E3176"/>
    <w:rsid w:val="005E51BA"/>
    <w:rsid w:val="005E5654"/>
    <w:rsid w:val="005F0E32"/>
    <w:rsid w:val="005F2DC8"/>
    <w:rsid w:val="005F4257"/>
    <w:rsid w:val="005F4896"/>
    <w:rsid w:val="005F5071"/>
    <w:rsid w:val="006001E5"/>
    <w:rsid w:val="006019AA"/>
    <w:rsid w:val="00603F98"/>
    <w:rsid w:val="006056A2"/>
    <w:rsid w:val="00612BCC"/>
    <w:rsid w:val="0062100F"/>
    <w:rsid w:val="00625165"/>
    <w:rsid w:val="00626C34"/>
    <w:rsid w:val="00635487"/>
    <w:rsid w:val="006419A4"/>
    <w:rsid w:val="006459AE"/>
    <w:rsid w:val="00645DF3"/>
    <w:rsid w:val="006473CF"/>
    <w:rsid w:val="00653073"/>
    <w:rsid w:val="00653388"/>
    <w:rsid w:val="006617F4"/>
    <w:rsid w:val="0066318C"/>
    <w:rsid w:val="00663F48"/>
    <w:rsid w:val="0066434C"/>
    <w:rsid w:val="0066543C"/>
    <w:rsid w:val="00674F39"/>
    <w:rsid w:val="00681718"/>
    <w:rsid w:val="00682A51"/>
    <w:rsid w:val="006858BD"/>
    <w:rsid w:val="006A13F2"/>
    <w:rsid w:val="006A3248"/>
    <w:rsid w:val="006A4A3D"/>
    <w:rsid w:val="006A5138"/>
    <w:rsid w:val="006A61D4"/>
    <w:rsid w:val="006A6505"/>
    <w:rsid w:val="006B3AF7"/>
    <w:rsid w:val="006B4B50"/>
    <w:rsid w:val="006C18BC"/>
    <w:rsid w:val="006C22C3"/>
    <w:rsid w:val="006C3E41"/>
    <w:rsid w:val="006C40B4"/>
    <w:rsid w:val="006C6DCC"/>
    <w:rsid w:val="006C6EB9"/>
    <w:rsid w:val="006D1D38"/>
    <w:rsid w:val="006D3140"/>
    <w:rsid w:val="006D78E7"/>
    <w:rsid w:val="006D7C53"/>
    <w:rsid w:val="006E07E4"/>
    <w:rsid w:val="006E0892"/>
    <w:rsid w:val="006E6AFC"/>
    <w:rsid w:val="006F0DFC"/>
    <w:rsid w:val="006F2A5A"/>
    <w:rsid w:val="006F6C99"/>
    <w:rsid w:val="007003F1"/>
    <w:rsid w:val="007011B8"/>
    <w:rsid w:val="007066B8"/>
    <w:rsid w:val="00707645"/>
    <w:rsid w:val="00713B3F"/>
    <w:rsid w:val="007310BE"/>
    <w:rsid w:val="0073426E"/>
    <w:rsid w:val="00735148"/>
    <w:rsid w:val="00736328"/>
    <w:rsid w:val="00741EFC"/>
    <w:rsid w:val="00742E40"/>
    <w:rsid w:val="00747074"/>
    <w:rsid w:val="007564E9"/>
    <w:rsid w:val="00757F9F"/>
    <w:rsid w:val="0076190A"/>
    <w:rsid w:val="007619CC"/>
    <w:rsid w:val="007624B0"/>
    <w:rsid w:val="00764384"/>
    <w:rsid w:val="00767432"/>
    <w:rsid w:val="00774BE3"/>
    <w:rsid w:val="0077692E"/>
    <w:rsid w:val="007810BB"/>
    <w:rsid w:val="00782D63"/>
    <w:rsid w:val="00783774"/>
    <w:rsid w:val="007A1D82"/>
    <w:rsid w:val="007A5BA8"/>
    <w:rsid w:val="007B7D94"/>
    <w:rsid w:val="007C2AB4"/>
    <w:rsid w:val="007C341B"/>
    <w:rsid w:val="007E2D90"/>
    <w:rsid w:val="007E7BF7"/>
    <w:rsid w:val="007F5B3B"/>
    <w:rsid w:val="00803E65"/>
    <w:rsid w:val="00805357"/>
    <w:rsid w:val="0081086D"/>
    <w:rsid w:val="00820B3C"/>
    <w:rsid w:val="008241EF"/>
    <w:rsid w:val="00833B1C"/>
    <w:rsid w:val="008360B4"/>
    <w:rsid w:val="00840E58"/>
    <w:rsid w:val="00841436"/>
    <w:rsid w:val="00844B95"/>
    <w:rsid w:val="008503B2"/>
    <w:rsid w:val="008529A6"/>
    <w:rsid w:val="00854130"/>
    <w:rsid w:val="00854FC9"/>
    <w:rsid w:val="00856673"/>
    <w:rsid w:val="00862866"/>
    <w:rsid w:val="00863E3B"/>
    <w:rsid w:val="00865733"/>
    <w:rsid w:val="00865E65"/>
    <w:rsid w:val="00866528"/>
    <w:rsid w:val="008713ED"/>
    <w:rsid w:val="00877FBA"/>
    <w:rsid w:val="0088135D"/>
    <w:rsid w:val="00884262"/>
    <w:rsid w:val="00893911"/>
    <w:rsid w:val="00893C66"/>
    <w:rsid w:val="00894DBC"/>
    <w:rsid w:val="00896A89"/>
    <w:rsid w:val="008A38DE"/>
    <w:rsid w:val="008A735D"/>
    <w:rsid w:val="008B0225"/>
    <w:rsid w:val="008B4146"/>
    <w:rsid w:val="008B6179"/>
    <w:rsid w:val="008C3833"/>
    <w:rsid w:val="008C6BBB"/>
    <w:rsid w:val="008C70F6"/>
    <w:rsid w:val="008D30AD"/>
    <w:rsid w:val="008E0464"/>
    <w:rsid w:val="008E171F"/>
    <w:rsid w:val="008E57F0"/>
    <w:rsid w:val="008E7AD5"/>
    <w:rsid w:val="008F0A7B"/>
    <w:rsid w:val="008F1339"/>
    <w:rsid w:val="008F278A"/>
    <w:rsid w:val="008F346E"/>
    <w:rsid w:val="008F7541"/>
    <w:rsid w:val="00904523"/>
    <w:rsid w:val="00907947"/>
    <w:rsid w:val="00911627"/>
    <w:rsid w:val="00911FCD"/>
    <w:rsid w:val="0092540D"/>
    <w:rsid w:val="00925519"/>
    <w:rsid w:val="00925F5C"/>
    <w:rsid w:val="009421B7"/>
    <w:rsid w:val="00942BEA"/>
    <w:rsid w:val="00947A96"/>
    <w:rsid w:val="009523F2"/>
    <w:rsid w:val="00952572"/>
    <w:rsid w:val="00954B4F"/>
    <w:rsid w:val="0095530F"/>
    <w:rsid w:val="00956EEF"/>
    <w:rsid w:val="00964134"/>
    <w:rsid w:val="00984448"/>
    <w:rsid w:val="00985534"/>
    <w:rsid w:val="0098696E"/>
    <w:rsid w:val="00986CA5"/>
    <w:rsid w:val="009901B7"/>
    <w:rsid w:val="00991526"/>
    <w:rsid w:val="00992BD2"/>
    <w:rsid w:val="00994F33"/>
    <w:rsid w:val="009A09B3"/>
    <w:rsid w:val="009A118C"/>
    <w:rsid w:val="009A69D2"/>
    <w:rsid w:val="009A7560"/>
    <w:rsid w:val="009B1735"/>
    <w:rsid w:val="009B1B6B"/>
    <w:rsid w:val="009B2186"/>
    <w:rsid w:val="009B3E17"/>
    <w:rsid w:val="009C525D"/>
    <w:rsid w:val="009D447E"/>
    <w:rsid w:val="009D50B4"/>
    <w:rsid w:val="009D7B7D"/>
    <w:rsid w:val="009E0D94"/>
    <w:rsid w:val="009E1E7B"/>
    <w:rsid w:val="009E3816"/>
    <w:rsid w:val="009E3F05"/>
    <w:rsid w:val="009E50AA"/>
    <w:rsid w:val="009E5572"/>
    <w:rsid w:val="009F1F67"/>
    <w:rsid w:val="009F6819"/>
    <w:rsid w:val="009F71AF"/>
    <w:rsid w:val="009F78E1"/>
    <w:rsid w:val="009F7CCB"/>
    <w:rsid w:val="00A03F5B"/>
    <w:rsid w:val="00A074BB"/>
    <w:rsid w:val="00A07CA9"/>
    <w:rsid w:val="00A10A30"/>
    <w:rsid w:val="00A130CF"/>
    <w:rsid w:val="00A145C8"/>
    <w:rsid w:val="00A301FD"/>
    <w:rsid w:val="00A30FAC"/>
    <w:rsid w:val="00A3155D"/>
    <w:rsid w:val="00A40EBC"/>
    <w:rsid w:val="00A50D9E"/>
    <w:rsid w:val="00A523E3"/>
    <w:rsid w:val="00A52511"/>
    <w:rsid w:val="00A53582"/>
    <w:rsid w:val="00A5607D"/>
    <w:rsid w:val="00A60D9D"/>
    <w:rsid w:val="00A60DD0"/>
    <w:rsid w:val="00A6147D"/>
    <w:rsid w:val="00A67302"/>
    <w:rsid w:val="00A700EF"/>
    <w:rsid w:val="00A72382"/>
    <w:rsid w:val="00A7446D"/>
    <w:rsid w:val="00A76046"/>
    <w:rsid w:val="00A77A0F"/>
    <w:rsid w:val="00A87463"/>
    <w:rsid w:val="00A87609"/>
    <w:rsid w:val="00A95640"/>
    <w:rsid w:val="00AA2411"/>
    <w:rsid w:val="00AA3F4B"/>
    <w:rsid w:val="00AA63E2"/>
    <w:rsid w:val="00AB28E9"/>
    <w:rsid w:val="00AB4A38"/>
    <w:rsid w:val="00AB4A7C"/>
    <w:rsid w:val="00AC451F"/>
    <w:rsid w:val="00AC7CEF"/>
    <w:rsid w:val="00AD0FD3"/>
    <w:rsid w:val="00AD1FF2"/>
    <w:rsid w:val="00AD5D44"/>
    <w:rsid w:val="00AE0574"/>
    <w:rsid w:val="00AE0C42"/>
    <w:rsid w:val="00AE330F"/>
    <w:rsid w:val="00AE6F44"/>
    <w:rsid w:val="00AF1DAC"/>
    <w:rsid w:val="00AF30F4"/>
    <w:rsid w:val="00AF7847"/>
    <w:rsid w:val="00AF7C25"/>
    <w:rsid w:val="00B00E5C"/>
    <w:rsid w:val="00B056EE"/>
    <w:rsid w:val="00B05F5F"/>
    <w:rsid w:val="00B136C3"/>
    <w:rsid w:val="00B2448F"/>
    <w:rsid w:val="00B3600C"/>
    <w:rsid w:val="00B3748F"/>
    <w:rsid w:val="00B438ED"/>
    <w:rsid w:val="00B5100D"/>
    <w:rsid w:val="00B5198D"/>
    <w:rsid w:val="00B54FFB"/>
    <w:rsid w:val="00B578F8"/>
    <w:rsid w:val="00B64A4A"/>
    <w:rsid w:val="00B65373"/>
    <w:rsid w:val="00B70F8C"/>
    <w:rsid w:val="00B878B0"/>
    <w:rsid w:val="00B91266"/>
    <w:rsid w:val="00B92757"/>
    <w:rsid w:val="00B92A38"/>
    <w:rsid w:val="00B93701"/>
    <w:rsid w:val="00B97D50"/>
    <w:rsid w:val="00BA5746"/>
    <w:rsid w:val="00BC1D12"/>
    <w:rsid w:val="00BC2DA1"/>
    <w:rsid w:val="00BC3F4B"/>
    <w:rsid w:val="00BC43E4"/>
    <w:rsid w:val="00BC61A5"/>
    <w:rsid w:val="00BC6750"/>
    <w:rsid w:val="00BC6B1B"/>
    <w:rsid w:val="00BC7880"/>
    <w:rsid w:val="00BD03F6"/>
    <w:rsid w:val="00BD5A10"/>
    <w:rsid w:val="00BE2C39"/>
    <w:rsid w:val="00BE4654"/>
    <w:rsid w:val="00BE4BED"/>
    <w:rsid w:val="00BE6387"/>
    <w:rsid w:val="00BF58DF"/>
    <w:rsid w:val="00BF72F0"/>
    <w:rsid w:val="00C00373"/>
    <w:rsid w:val="00C044B6"/>
    <w:rsid w:val="00C117A9"/>
    <w:rsid w:val="00C1302C"/>
    <w:rsid w:val="00C134C9"/>
    <w:rsid w:val="00C2119C"/>
    <w:rsid w:val="00C211D1"/>
    <w:rsid w:val="00C21258"/>
    <w:rsid w:val="00C249B9"/>
    <w:rsid w:val="00C30EB8"/>
    <w:rsid w:val="00C322AB"/>
    <w:rsid w:val="00C32390"/>
    <w:rsid w:val="00C33F83"/>
    <w:rsid w:val="00C36DF9"/>
    <w:rsid w:val="00C51E18"/>
    <w:rsid w:val="00C55E4A"/>
    <w:rsid w:val="00C57655"/>
    <w:rsid w:val="00C610CA"/>
    <w:rsid w:val="00C63DF1"/>
    <w:rsid w:val="00C665A8"/>
    <w:rsid w:val="00C66AEA"/>
    <w:rsid w:val="00C66C5C"/>
    <w:rsid w:val="00C6754C"/>
    <w:rsid w:val="00C720CA"/>
    <w:rsid w:val="00C77382"/>
    <w:rsid w:val="00C80BEF"/>
    <w:rsid w:val="00C80CE8"/>
    <w:rsid w:val="00C80E97"/>
    <w:rsid w:val="00C95748"/>
    <w:rsid w:val="00CB29AE"/>
    <w:rsid w:val="00CB36EA"/>
    <w:rsid w:val="00CB5204"/>
    <w:rsid w:val="00CB79F9"/>
    <w:rsid w:val="00CC016D"/>
    <w:rsid w:val="00CC6F94"/>
    <w:rsid w:val="00CD5F4B"/>
    <w:rsid w:val="00CD633A"/>
    <w:rsid w:val="00CE2B96"/>
    <w:rsid w:val="00CE3088"/>
    <w:rsid w:val="00CE3CD7"/>
    <w:rsid w:val="00CE6CEB"/>
    <w:rsid w:val="00CF07B5"/>
    <w:rsid w:val="00CF0D18"/>
    <w:rsid w:val="00CF1225"/>
    <w:rsid w:val="00CF2140"/>
    <w:rsid w:val="00CF411D"/>
    <w:rsid w:val="00CF65C6"/>
    <w:rsid w:val="00D00D7D"/>
    <w:rsid w:val="00D02B63"/>
    <w:rsid w:val="00D074C6"/>
    <w:rsid w:val="00D10CBA"/>
    <w:rsid w:val="00D153FD"/>
    <w:rsid w:val="00D175EE"/>
    <w:rsid w:val="00D17E64"/>
    <w:rsid w:val="00D20BCA"/>
    <w:rsid w:val="00D25802"/>
    <w:rsid w:val="00D30120"/>
    <w:rsid w:val="00D376F1"/>
    <w:rsid w:val="00D532C5"/>
    <w:rsid w:val="00D62196"/>
    <w:rsid w:val="00D6335B"/>
    <w:rsid w:val="00D6375E"/>
    <w:rsid w:val="00D7692E"/>
    <w:rsid w:val="00D816DA"/>
    <w:rsid w:val="00D83EF7"/>
    <w:rsid w:val="00D86111"/>
    <w:rsid w:val="00D92A3B"/>
    <w:rsid w:val="00D93D79"/>
    <w:rsid w:val="00D9432D"/>
    <w:rsid w:val="00D96392"/>
    <w:rsid w:val="00D964ED"/>
    <w:rsid w:val="00DA30CD"/>
    <w:rsid w:val="00DA3BE8"/>
    <w:rsid w:val="00DA6585"/>
    <w:rsid w:val="00DA72EB"/>
    <w:rsid w:val="00DB0895"/>
    <w:rsid w:val="00DB64BA"/>
    <w:rsid w:val="00DC3AD5"/>
    <w:rsid w:val="00DC4CAA"/>
    <w:rsid w:val="00DD19DB"/>
    <w:rsid w:val="00DE4166"/>
    <w:rsid w:val="00DE66CB"/>
    <w:rsid w:val="00DF432A"/>
    <w:rsid w:val="00DF4DB7"/>
    <w:rsid w:val="00DF51DC"/>
    <w:rsid w:val="00E024C6"/>
    <w:rsid w:val="00E042E3"/>
    <w:rsid w:val="00E06D57"/>
    <w:rsid w:val="00E108FA"/>
    <w:rsid w:val="00E15E30"/>
    <w:rsid w:val="00E21124"/>
    <w:rsid w:val="00E21482"/>
    <w:rsid w:val="00E2561F"/>
    <w:rsid w:val="00E26BED"/>
    <w:rsid w:val="00E301F0"/>
    <w:rsid w:val="00E30FD8"/>
    <w:rsid w:val="00E319BA"/>
    <w:rsid w:val="00E33481"/>
    <w:rsid w:val="00E340B0"/>
    <w:rsid w:val="00E360D7"/>
    <w:rsid w:val="00E40CB4"/>
    <w:rsid w:val="00E45233"/>
    <w:rsid w:val="00E467FC"/>
    <w:rsid w:val="00E512D7"/>
    <w:rsid w:val="00E54440"/>
    <w:rsid w:val="00E55DA3"/>
    <w:rsid w:val="00E603DE"/>
    <w:rsid w:val="00E66E6D"/>
    <w:rsid w:val="00E67863"/>
    <w:rsid w:val="00E738D7"/>
    <w:rsid w:val="00E80090"/>
    <w:rsid w:val="00E819CA"/>
    <w:rsid w:val="00E8269B"/>
    <w:rsid w:val="00E869FB"/>
    <w:rsid w:val="00E92621"/>
    <w:rsid w:val="00E96A22"/>
    <w:rsid w:val="00E96C1D"/>
    <w:rsid w:val="00E973D9"/>
    <w:rsid w:val="00EA0462"/>
    <w:rsid w:val="00EA093D"/>
    <w:rsid w:val="00EA3782"/>
    <w:rsid w:val="00EA38D0"/>
    <w:rsid w:val="00EB03BA"/>
    <w:rsid w:val="00EB22B3"/>
    <w:rsid w:val="00EB3728"/>
    <w:rsid w:val="00EC2387"/>
    <w:rsid w:val="00EC70C6"/>
    <w:rsid w:val="00ED0439"/>
    <w:rsid w:val="00ED1C95"/>
    <w:rsid w:val="00ED6D6E"/>
    <w:rsid w:val="00ED791E"/>
    <w:rsid w:val="00EE0425"/>
    <w:rsid w:val="00EE388E"/>
    <w:rsid w:val="00EE5314"/>
    <w:rsid w:val="00EE5FBD"/>
    <w:rsid w:val="00EE6B2C"/>
    <w:rsid w:val="00EF0704"/>
    <w:rsid w:val="00EF2757"/>
    <w:rsid w:val="00EF6C53"/>
    <w:rsid w:val="00F023F2"/>
    <w:rsid w:val="00F120DC"/>
    <w:rsid w:val="00F1496A"/>
    <w:rsid w:val="00F14AB8"/>
    <w:rsid w:val="00F2091E"/>
    <w:rsid w:val="00F20960"/>
    <w:rsid w:val="00F2118A"/>
    <w:rsid w:val="00F257DF"/>
    <w:rsid w:val="00F3033B"/>
    <w:rsid w:val="00F30DDA"/>
    <w:rsid w:val="00F438D9"/>
    <w:rsid w:val="00F458CA"/>
    <w:rsid w:val="00F62133"/>
    <w:rsid w:val="00F64330"/>
    <w:rsid w:val="00F70147"/>
    <w:rsid w:val="00F75ECF"/>
    <w:rsid w:val="00F762DF"/>
    <w:rsid w:val="00F87829"/>
    <w:rsid w:val="00F92899"/>
    <w:rsid w:val="00FA001B"/>
    <w:rsid w:val="00FA0F45"/>
    <w:rsid w:val="00FA6327"/>
    <w:rsid w:val="00FA706E"/>
    <w:rsid w:val="00FA7F6E"/>
    <w:rsid w:val="00FB0337"/>
    <w:rsid w:val="00FC2BE4"/>
    <w:rsid w:val="00FC664C"/>
    <w:rsid w:val="00FD32B4"/>
    <w:rsid w:val="00FD3B40"/>
    <w:rsid w:val="00FD5436"/>
    <w:rsid w:val="00FD69DE"/>
    <w:rsid w:val="00FE296A"/>
    <w:rsid w:val="00FE3F89"/>
    <w:rsid w:val="00FE7B1D"/>
    <w:rsid w:val="00FF202C"/>
    <w:rsid w:val="00FF3F3C"/>
    <w:rsid w:val="00FF6B9D"/>
    <w:rsid w:val="27F8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777</Words>
  <Characters>4433</Characters>
  <Lines>36</Lines>
  <Paragraphs>10</Paragraphs>
  <TotalTime>1</TotalTime>
  <ScaleCrop>false</ScaleCrop>
  <LinksUpToDate>false</LinksUpToDate>
  <CharactersWithSpaces>5200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2021-04-16T07:12:00Z</dcterms:created>
  <dc:creator>县政府办秘书科</dc:creator>
  <cp:lastModifiedBy>张洪菲</cp:lastModifiedBy>
  <dcterms:modified xsi:type="dcterms:W3CDTF">2024-01-12T02:17:08Z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E91BF313E8854A40A018593CD3A2F0D4_12</vt:lpwstr>
  </property>
</Properties>
</file>