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根据《中华人民共和国政府信息公开条例》（以下简称《条例》）和国务院办公厅、省政府办公厅关于政府信息公开年报编制工作有关要求，编制本报告。全文包括总体情况、主动公开政府信息情况、收到和处理政府信息公开申请情况、政府信息公开行政复议行政诉讼情况、存在的主要问题及改进情况、其他需要报告的事项，所列数据的统计期限自202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年1月1日起至12月31日止。本年度报告的电子版可以从上犹县人民政府网（http://xxgk.shangyou.gov.cn/）下载。如对本报告有任何疑问，请与县发改委联系</w:t>
      </w:r>
      <w:r>
        <w:rPr>
          <w:rFonts w:hint="eastAsia" w:ascii="宋体" w:hAnsi="宋体"/>
          <w:sz w:val="32"/>
          <w:szCs w:val="32"/>
          <w:lang w:eastAsia="zh-CN"/>
        </w:rPr>
        <w:t>。</w:t>
      </w:r>
      <w:r>
        <w:rPr>
          <w:rFonts w:hint="eastAsia" w:ascii="宋体" w:hAnsi="宋体"/>
          <w:sz w:val="32"/>
          <w:szCs w:val="32"/>
        </w:rPr>
        <w:t>（地址：上犹县行政中心409室，电话：0797-8541879，邮编：341200）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，上犹县发改委坚持以习近平新时代中国特色社会主义思想为指导，全面贯彻党的十九大和二十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>大精神，严格落实《中华人民共和国政府信息公开条例》和《国务院办公厅2022年政务公开工作要点》（国办发〔2022〕8号）部署，结合单位实际，坚持以人民为中心深化政府信息公开各项工作，着力提高工作水平和效率，为社会公众提供准确及时的政府信息服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主动公开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，我委主动公开政务信息共474条，其中，在政府门户网站上公开信息共418条，在委微信公众号“上犹发改”发布信息共56条。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依申请公开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我委始终高度重视依申请公开工作，坚持专人专办、领导督办、集体会商、风险排查，严格依法依规办理。及时更新发布依申请公开指南，切实保障群众知情权与监督权。2022年，我委未收到政府信息公开申请。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政府信息管理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今年以来，我委继续坚持“谁主管谁公开、谁公开谁负责”的原则，严格执行信息公开发布审核制度，严把撰稿、复核、保密审查、审批发布等环节，确保信息内容真实、全面、准确、可靠，严格文件公开属性的界定，加强单位发文的审核把关，并对已公开发生变化或失效的政府信息进行了及时更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委积极加强门户网站管理，优化信息分类规整，强化网络安全防护，主动完善专题专栏建设，持续更新“营商环境”“数字经济”专栏内容，满足企业和群众获取信息需求。积极通过“上犹发改”微信公众号等政务新媒体平台及时发布相关政策和工作动态信息，回应群众诉求，全面打造专业化的信息公开平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监督保障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我委进一步修订完善了工作考核、社会评议、责任追究、信息公开等制度。强化政务公开工作的监督、检查和考核，将政府信息公开工作纳入年终考核，对未按规定、不及时执行的科室予以通报。</w:t>
      </w:r>
    </w:p>
    <w:p>
      <w:pPr>
        <w:widowControl/>
        <w:spacing w:line="580" w:lineRule="atLeast"/>
        <w:ind w:firstLine="618"/>
        <w:rPr>
          <w:rFonts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498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9"/>
        <w:gridCol w:w="1946"/>
        <w:gridCol w:w="1762"/>
        <w:gridCol w:w="27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11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本年制发件数</w:t>
            </w:r>
          </w:p>
        </w:tc>
        <w:tc>
          <w:tcPr>
            <w:tcW w:w="10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本年废止件数</w:t>
            </w:r>
          </w:p>
        </w:tc>
        <w:tc>
          <w:tcPr>
            <w:tcW w:w="16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现行有效件数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规章</w:t>
            </w:r>
          </w:p>
        </w:tc>
        <w:tc>
          <w:tcPr>
            <w:tcW w:w="11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0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行政规范性文件</w:t>
            </w:r>
          </w:p>
        </w:tc>
        <w:tc>
          <w:tcPr>
            <w:tcW w:w="11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行政许可</w:t>
            </w:r>
          </w:p>
        </w:tc>
        <w:tc>
          <w:tcPr>
            <w:tcW w:w="37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行政处罚</w:t>
            </w:r>
          </w:p>
        </w:tc>
        <w:tc>
          <w:tcPr>
            <w:tcW w:w="37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行政强制</w:t>
            </w:r>
          </w:p>
        </w:tc>
        <w:tc>
          <w:tcPr>
            <w:tcW w:w="37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信息内容</w:t>
            </w:r>
          </w:p>
        </w:tc>
        <w:tc>
          <w:tcPr>
            <w:tcW w:w="379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行政事业性收费</w:t>
            </w:r>
          </w:p>
        </w:tc>
        <w:tc>
          <w:tcPr>
            <w:tcW w:w="379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atLeast"/>
        <w:ind w:firstLine="618"/>
        <w:rPr>
          <w:rFonts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517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846"/>
        <w:gridCol w:w="2329"/>
        <w:gridCol w:w="768"/>
        <w:gridCol w:w="628"/>
        <w:gridCol w:w="644"/>
        <w:gridCol w:w="674"/>
        <w:gridCol w:w="769"/>
        <w:gridCol w:w="675"/>
        <w:gridCol w:w="7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4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3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7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商业企业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科研机构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eastAsia="黑体"/>
                <w:color w:val="333333"/>
                <w:kern w:val="0"/>
                <w:szCs w:val="21"/>
              </w:rPr>
              <w:t> </w:t>
            </w:r>
          </w:p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三．本年度办理结果</w:t>
            </w:r>
          </w:p>
        </w:tc>
        <w:tc>
          <w:tcPr>
            <w:tcW w:w="33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（三）不予</w:t>
            </w:r>
            <w:r>
              <w:rPr>
                <w:color w:val="333333"/>
                <w:kern w:val="0"/>
                <w:szCs w:val="21"/>
              </w:rPr>
              <w:t> 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公开</w:t>
            </w: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（四）无法</w:t>
            </w:r>
            <w:r>
              <w:rPr>
                <w:color w:val="333333"/>
                <w:kern w:val="0"/>
                <w:szCs w:val="21"/>
              </w:rPr>
              <w:t> 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提供</w:t>
            </w: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spacing w:val="-6"/>
                <w:kern w:val="0"/>
                <w:szCs w:val="21"/>
              </w:rPr>
              <w:t>3.补正后申请内容仍不明确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2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atLeast"/>
        <w:ind w:firstLine="618"/>
        <w:rPr>
          <w:rFonts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644"/>
        <w:gridCol w:w="615"/>
        <w:gridCol w:w="528"/>
        <w:gridCol w:w="462"/>
        <w:gridCol w:w="557"/>
        <w:gridCol w:w="557"/>
        <w:gridCol w:w="602"/>
        <w:gridCol w:w="571"/>
        <w:gridCol w:w="631"/>
        <w:gridCol w:w="533"/>
        <w:gridCol w:w="533"/>
        <w:gridCol w:w="533"/>
        <w:gridCol w:w="406"/>
        <w:gridCol w:w="6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71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3285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39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6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31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26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总计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157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333333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3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总计</w:t>
            </w:r>
          </w:p>
        </w:tc>
        <w:tc>
          <w:tcPr>
            <w:tcW w:w="3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3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3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3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3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黑体"/>
                <w:color w:val="333333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6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9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textAlignment w:val="center"/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atLeast"/>
        <w:ind w:firstLine="618"/>
        <w:rPr>
          <w:rFonts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/>
          <w:sz w:val="32"/>
          <w:szCs w:val="32"/>
          <w:lang w:val="en-US" w:eastAsia="zh-CN"/>
        </w:rPr>
        <w:t>年，我委高度重视政府信息公开工作，在信息公开机制完善、内容审核、平台优化等方面做了大量工作，但也存在一些不足，一是个别专栏更新不够及时，公布信息缺乏时效性；二是错敏字问题时有发生，校对工作不够仔细；三是政策解读形式不够丰富，解读不够生动形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下一步，我委将继续严格按照县委、县政府的要求做好政务公开工作。一是继续严格执行</w:t>
      </w:r>
      <w:r>
        <w:rPr>
          <w:rFonts w:hint="eastAsia" w:ascii="宋体" w:hAnsi="宋体"/>
          <w:sz w:val="32"/>
          <w:szCs w:val="32"/>
        </w:rPr>
        <w:t>《</w:t>
      </w:r>
      <w:r>
        <w:rPr>
          <w:rFonts w:hint="eastAsia" w:ascii="宋体" w:hAnsi="宋体"/>
          <w:sz w:val="32"/>
          <w:szCs w:val="32"/>
          <w:lang w:eastAsia="zh-CN"/>
        </w:rPr>
        <w:t>条例</w:t>
      </w:r>
      <w:r>
        <w:rPr>
          <w:rFonts w:hint="eastAsia" w:ascii="宋体" w:hAnsi="宋体"/>
          <w:sz w:val="32"/>
          <w:szCs w:val="32"/>
        </w:rPr>
        <w:t>》</w:t>
      </w:r>
      <w:r>
        <w:rPr>
          <w:rFonts w:hint="eastAsia" w:ascii="宋体" w:hAnsi="宋体"/>
          <w:sz w:val="32"/>
          <w:szCs w:val="32"/>
          <w:lang w:eastAsia="zh-CN"/>
        </w:rPr>
        <w:t>，确保做到信息公开全面、准确、及时、有效，进一步提高信息时效性。二是继续落实“三审三校”制度，积极抓好错敏信息整改，严肃工作纪律及作风。三是加强人才队伍培养，积极组织工作人员学习《条例》等与政务公开工作相关的法律法规，按要求参加政务公开工作培训，提高政务公开工作的规范化和专业化水平。</w:t>
      </w:r>
    </w:p>
    <w:p>
      <w:pPr>
        <w:widowControl/>
        <w:spacing w:line="560" w:lineRule="atLeast"/>
        <w:ind w:firstLine="618"/>
        <w:jc w:val="left"/>
        <w:rPr>
          <w:rFonts w:hint="eastAsia" w:eastAsia="黑体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580" w:lineRule="atLeast"/>
        <w:ind w:firstLine="640" w:firstLineChars="200"/>
        <w:rPr>
          <w:rFonts w:ascii="黑体" w:hAnsi="黑体" w:eastAsia="黑体" w:cs="宋体"/>
          <w:color w:val="333333"/>
          <w:kern w:val="0"/>
          <w:sz w:val="19"/>
          <w:szCs w:val="19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widowControl/>
        <w:spacing w:line="560" w:lineRule="atLeast"/>
        <w:ind w:firstLine="618"/>
        <w:jc w:val="left"/>
        <w:rPr>
          <w:rFonts w:hint="eastAsia" w:ascii="黑体" w:hAnsi="黑体" w:eastAsia="黑体" w:cs="宋体"/>
          <w:color w:val="333333"/>
          <w:kern w:val="0"/>
          <w:sz w:val="19"/>
          <w:szCs w:val="1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348A1"/>
    <w:multiLevelType w:val="singleLevel"/>
    <w:tmpl w:val="BF3348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96359"/>
    <w:multiLevelType w:val="singleLevel"/>
    <w:tmpl w:val="1A396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VkMDdhODhlNzQ2NGM4NjEzNGQyMDEwNGFmZTYyMTEifQ=="/>
  </w:docVars>
  <w:rsids>
    <w:rsidRoot w:val="003034D6"/>
    <w:rsid w:val="003034D6"/>
    <w:rsid w:val="3F007D5A"/>
    <w:rsid w:val="4F315A6A"/>
    <w:rsid w:val="5E032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333333"/>
      <w:u w:val="none"/>
    </w:r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2630</Words>
  <Characters>2775</Characters>
  <Lines>24</Lines>
  <Paragraphs>6</Paragraphs>
  <TotalTime>17</TotalTime>
  <ScaleCrop>false</ScaleCrop>
  <LinksUpToDate>false</LinksUpToDate>
  <CharactersWithSpaces>2776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2023-01-17T03:40:00Z</dcterms:created>
  <dc:creator>Administrator</dc:creator>
  <cp:lastModifiedBy>La culpa</cp:lastModifiedBy>
  <dcterms:modified xsi:type="dcterms:W3CDTF">2023-09-22T02:12:01Z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BF52513EB94E48C8A5FA85FF94F76616</vt:lpwstr>
  </property>
</Properties>
</file>