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上犹县交通运输局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kern w:val="2"/>
          <w:sz w:val="32"/>
          <w:szCs w:val="32"/>
          <w:lang w:val="en-US" w:eastAsia="zh-CN" w:bidi="ar-SA"/>
        </w:rPr>
      </w:pPr>
      <w:r>
        <w:rPr>
          <w:rFonts w:ascii="仿宋_GB2312" w:hAnsi="仿宋_GB2312" w:eastAsia="仿宋_GB2312" w:cs="仿宋_GB2312"/>
          <w:kern w:val="0"/>
          <w:sz w:val="32"/>
          <w:szCs w:val="32"/>
          <w:lang w:bidi="ar"/>
        </w:rPr>
        <w:t>本报告依据《中华人民共和国政府信息公开条例》第五十条之规定和国务院办公厅政府信息与政务公开办公室发布的《中华人民共和国政府信息公开年度报告格式》（国办公开办函〔</w:t>
      </w:r>
      <w:r>
        <w:rPr>
          <w:rFonts w:hint="eastAsia" w:ascii="仿宋_GB2312" w:hAnsi="仿宋_GB2312" w:eastAsia="仿宋_GB2312" w:cs="仿宋_GB2312"/>
          <w:kern w:val="0"/>
          <w:sz w:val="32"/>
          <w:szCs w:val="32"/>
          <w:lang w:bidi="ar"/>
        </w:rPr>
        <w:t>2021〕30号）要求，结合有关统计数据编制。报告中所列数据的统计期限自2023年1月1日起至2023年12月31日止。全文包括总体情况、主动公开政府信息情况、收到和处理政府信息公开申请情况、政府信息公开行政复议行政诉讼情况、存在的主要问题及改进情况、其他需要报告的事项等6个部分的内容</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宋体" w:hAnsi="宋体" w:eastAsia="黑体" w:cs="黑体"/>
          <w:sz w:val="32"/>
          <w:szCs w:val="32"/>
        </w:rPr>
      </w:pPr>
      <w:r>
        <w:rPr>
          <w:rFonts w:hint="eastAsia" w:ascii="宋体" w:hAnsi="宋体" w:eastAsia="黑体" w:cs="黑体"/>
          <w:sz w:val="32"/>
          <w:szCs w:val="32"/>
        </w:rPr>
        <w:t>总体情况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2023年，上犹县交通运输局坚持以习近平新时代中国特色社会主义思想为指导，全面贯彻党的二十大精神，紧紧围绕党中央、国务院、省、市关于推进政务公开工作系列决策部署，着力提升政府信息公开质量，加强政府信息公开发布的力度和时效，提升公开质量和治理效能，全面推进政府信息公开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_GB2312" w:hAnsi="楷体_GB2312" w:eastAsia="楷体_GB2312" w:cs="楷体_GB2312"/>
          <w:b/>
          <w:bCs/>
          <w:i w:val="0"/>
          <w:caps w:val="0"/>
          <w:color w:val="000000"/>
          <w:spacing w:val="0"/>
          <w:sz w:val="32"/>
          <w:szCs w:val="32"/>
        </w:rPr>
      </w:pPr>
      <w:r>
        <w:rPr>
          <w:rFonts w:hint="eastAsia" w:ascii="楷体_GB2312" w:hAnsi="楷体_GB2312" w:eastAsia="楷体_GB2312" w:cs="楷体_GB2312"/>
          <w:b/>
          <w:bCs/>
          <w:i w:val="0"/>
          <w:caps w:val="0"/>
          <w:color w:val="000000"/>
          <w:spacing w:val="0"/>
          <w:sz w:val="32"/>
          <w:szCs w:val="32"/>
          <w:shd w:val="clear" w:color="auto" w:fill="FFFFFF"/>
        </w:rPr>
        <w:t>（一）主动公开方面</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我局主动公开政务信息共</w:t>
      </w:r>
      <w:r>
        <w:rPr>
          <w:rFonts w:hint="eastAsia" w:ascii="仿宋_GB2312" w:hAnsi="仿宋_GB2312" w:eastAsia="仿宋_GB2312" w:cs="仿宋_GB2312"/>
          <w:color w:val="auto"/>
          <w:kern w:val="2"/>
          <w:sz w:val="32"/>
          <w:szCs w:val="32"/>
          <w:lang w:val="en-US" w:eastAsia="zh-CN" w:bidi="ar-SA"/>
        </w:rPr>
        <w:t>151</w:t>
      </w:r>
      <w:r>
        <w:rPr>
          <w:rFonts w:hint="eastAsia" w:ascii="仿宋_GB2312" w:hAnsi="仿宋_GB2312" w:eastAsia="仿宋_GB2312" w:cs="仿宋_GB2312"/>
          <w:kern w:val="2"/>
          <w:sz w:val="32"/>
          <w:szCs w:val="32"/>
          <w:lang w:val="en-US" w:eastAsia="zh-CN" w:bidi="ar-SA"/>
        </w:rPr>
        <w:t>条，其中，</w:t>
      </w:r>
      <w:r>
        <w:rPr>
          <w:rFonts w:hint="eastAsia" w:ascii="仿宋_GB2312" w:hAnsi="仿宋_GB2312" w:eastAsia="仿宋_GB2312" w:cs="仿宋_GB2312"/>
          <w:sz w:val="32"/>
          <w:szCs w:val="32"/>
          <w:lang w:val="en-US" w:eastAsia="zh-CN"/>
        </w:rPr>
        <w:t>在政府门户网站上公开信息151条</w:t>
      </w:r>
      <w:r>
        <w:rPr>
          <w:rFonts w:hint="eastAsia" w:ascii="仿宋_GB2312" w:hAnsi="仿宋_GB2312" w:eastAsia="仿宋_GB2312" w:cs="仿宋_GB2312"/>
          <w:kern w:val="2"/>
          <w:sz w:val="32"/>
          <w:szCs w:val="32"/>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_GB2312" w:hAnsi="楷体_GB2312" w:eastAsia="楷体_GB2312" w:cs="楷体_GB2312"/>
          <w:b/>
          <w:bCs/>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rPr>
        <w:t>（二）依申请公开方面</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始终高度重视依申请公开工作，按照政府信息公开申请办理答复规范要求，进一步规范依申请公开工作，畅通受理渠道，健全完善工作规范，切实保障社会公众知情权。2023年，我局未收到政府信息公开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_GB2312" w:hAnsi="楷体_GB2312" w:eastAsia="楷体_GB2312" w:cs="楷体_GB2312"/>
          <w:b/>
          <w:bCs/>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rPr>
        <w:t>（三）政府信息管理方面</w:t>
      </w:r>
    </w:p>
    <w:p>
      <w:pPr>
        <w:keepNext w:val="0"/>
        <w:keepLines w:val="0"/>
        <w:pageBreakBefore w:val="0"/>
        <w:tabs>
          <w:tab w:val="left" w:pos="1962"/>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今年以来，我局继续坚持按照国务院办公厅《政府网站发展指引的通知》和《推进政务新媒体健康有序发展的意见》要求，建立健全政府信息管理动态调整机制，准确把握不予公开的范围，定期对公开和不予公开的政府信息进行评估，对失效、废止的政府信息定期清理。严格落实政府信息发布审核制度，执行三级审核制度，先审后发、授权发布，三级联动，确保内容准确、表述规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_GB2312" w:hAnsi="楷体_GB2312" w:eastAsia="楷体_GB2312" w:cs="楷体_GB2312"/>
          <w:b/>
          <w:bCs/>
          <w:i w:val="0"/>
          <w:caps w:val="0"/>
          <w:color w:val="000000"/>
          <w:spacing w:val="0"/>
          <w:sz w:val="32"/>
          <w:szCs w:val="32"/>
          <w:shd w:val="clear" w:color="auto" w:fill="FFFFFF"/>
        </w:rPr>
      </w:pPr>
      <w:r>
        <w:rPr>
          <w:rFonts w:hint="eastAsia" w:ascii="楷体_GB2312" w:hAnsi="楷体_GB2312" w:eastAsia="楷体_GB2312" w:cs="楷体_GB2312"/>
          <w:b/>
          <w:bCs/>
          <w:i w:val="0"/>
          <w:caps w:val="0"/>
          <w:color w:val="000000"/>
          <w:spacing w:val="0"/>
          <w:sz w:val="32"/>
          <w:szCs w:val="32"/>
          <w:shd w:val="clear" w:color="auto" w:fill="FFFFFF"/>
          <w:lang w:eastAsia="zh-CN"/>
        </w:rPr>
        <w:t>（四）</w:t>
      </w:r>
      <w:r>
        <w:rPr>
          <w:rFonts w:hint="eastAsia" w:ascii="楷体_GB2312" w:hAnsi="楷体_GB2312" w:eastAsia="楷体_GB2312" w:cs="楷体_GB2312"/>
          <w:b/>
          <w:bCs/>
          <w:i w:val="0"/>
          <w:caps w:val="0"/>
          <w:color w:val="000000"/>
          <w:spacing w:val="0"/>
          <w:sz w:val="32"/>
          <w:szCs w:val="32"/>
          <w:shd w:val="clear" w:color="auto" w:fill="FFFFFF"/>
        </w:rPr>
        <w:t>平台建设方面</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我局积极加强门户网站管理，优化信息分类规整，强化网络安全防护，主动完善专题专栏建设，持续更新工作动态、公告公示等内容，满足企业和群众获取信息需求。</w:t>
      </w:r>
      <w:r>
        <w:rPr>
          <w:rFonts w:hint="eastAsia" w:ascii="仿宋_GB2312" w:hAnsi="仿宋_GB2312" w:eastAsia="仿宋_GB2312" w:cs="仿宋_GB2312"/>
          <w:kern w:val="2"/>
          <w:sz w:val="32"/>
          <w:szCs w:val="32"/>
          <w:lang w:val="en-US" w:eastAsia="zh-CN" w:bidi="ar-SA"/>
        </w:rPr>
        <w:t>杜绝平台更新不及时、表述不规范和链接失效等问题。仔细校对审核文字内容和规范表述，注意保护个人隐私，整改错误、失效链接，不断提升政府信息公开网站规范化水平。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楷体_GB2312" w:hAnsi="楷体_GB2312" w:eastAsia="楷体_GB2312" w:cs="楷体_GB2312"/>
          <w:b/>
          <w:bCs/>
          <w:i w:val="0"/>
          <w:caps w:val="0"/>
          <w:color w:val="000000"/>
          <w:spacing w:val="0"/>
          <w:sz w:val="32"/>
          <w:szCs w:val="32"/>
          <w:shd w:val="clear" w:color="auto" w:fill="FFFFFF"/>
          <w:lang w:eastAsia="zh-CN"/>
        </w:rPr>
      </w:pPr>
      <w:r>
        <w:rPr>
          <w:rFonts w:hint="eastAsia" w:ascii="楷体_GB2312" w:hAnsi="楷体_GB2312" w:eastAsia="楷体_GB2312" w:cs="楷体_GB2312"/>
          <w:b/>
          <w:bCs/>
          <w:i w:val="0"/>
          <w:caps w:val="0"/>
          <w:color w:val="000000"/>
          <w:spacing w:val="0"/>
          <w:sz w:val="32"/>
          <w:szCs w:val="32"/>
          <w:shd w:val="clear" w:color="auto" w:fill="FFFFFF"/>
          <w:lang w:eastAsia="zh-CN"/>
        </w:rPr>
        <w:t>（五）监督保障方面</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黑体" w:cs="黑体"/>
          <w:sz w:val="32"/>
          <w:szCs w:val="32"/>
        </w:rPr>
      </w:pPr>
      <w:r>
        <w:rPr>
          <w:rFonts w:hint="eastAsia" w:ascii="仿宋_GB2312" w:hAnsi="仿宋_GB2312" w:eastAsia="仿宋_GB2312" w:cs="仿宋_GB2312"/>
          <w:kern w:val="2"/>
          <w:sz w:val="32"/>
          <w:szCs w:val="32"/>
          <w:lang w:val="en-US" w:eastAsia="zh-CN" w:bidi="ar-SA"/>
        </w:rPr>
        <w:t>一是压实主体责任。明确政府信息公开分管领导、责任股室及具体负责人，统一思想、细化职责，做到领导、机构、人员“三到位”，形成“一把手挂帅、分管领导具体抓、各职能股室协助、局办公室具体落实”的责任机制；二是建立信息公开保密审查制度，设立政务信息公开台账，按照“谁提供、谁审核、谁公开”“先审查、后公开”和“一事一审”的原则，对公开内容和保密性进行审查；三</w:t>
      </w:r>
      <w:bookmarkStart w:id="0" w:name="_GoBack"/>
      <w:bookmarkEnd w:id="0"/>
      <w:r>
        <w:rPr>
          <w:rFonts w:hint="eastAsia" w:ascii="仿宋_GB2312" w:hAnsi="仿宋_GB2312" w:eastAsia="仿宋_GB2312" w:cs="仿宋_GB2312"/>
          <w:kern w:val="2"/>
          <w:sz w:val="32"/>
          <w:szCs w:val="32"/>
          <w:lang w:val="en-US" w:eastAsia="zh-CN" w:bidi="ar-SA"/>
        </w:rPr>
        <w:t>是建立定期检查考核制度，办公室负责定期对各股室报送信息量的数据进行统计，对各股室报送信息的质量进行考核，发现问题及时纠正。</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sz w:val="32"/>
          <w:szCs w:val="32"/>
        </w:rPr>
      </w:pPr>
      <w:r>
        <w:rPr>
          <w:rFonts w:hint="eastAsia" w:ascii="宋体" w:hAnsi="宋体" w:eastAsia="黑体" w:cs="黑体"/>
          <w:sz w:val="32"/>
          <w:szCs w:val="32"/>
        </w:rPr>
        <w:t>二、主动公开政府信息情况</w:t>
      </w:r>
    </w:p>
    <w:tbl>
      <w:tblPr>
        <w:tblStyle w:val="11"/>
        <w:tblpPr w:leftFromText="180" w:rightFromText="180" w:vertAnchor="text" w:horzAnchor="page" w:tblpX="1591" w:tblpY="43"/>
        <w:tblOverlap w:val="neve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15"/>
        <w:gridCol w:w="2324"/>
        <w:gridCol w:w="2315"/>
        <w:gridCol w:w="19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8929" w:type="dxa"/>
            <w:gridSpan w:val="4"/>
            <w:tcBorders>
              <w:top w:val="single" w:color="000000" w:sz="2" w:space="0"/>
              <w:bottom w:val="single" w:color="000000" w:sz="2" w:space="0"/>
            </w:tcBorders>
            <w:noWrap w:val="0"/>
            <w:vAlign w:val="top"/>
          </w:tcPr>
          <w:p>
            <w:pPr>
              <w:spacing w:before="115" w:line="219" w:lineRule="auto"/>
              <w:ind w:firstLine="3550"/>
              <w:rPr>
                <w:rFonts w:ascii="宋体" w:hAnsi="宋体" w:cs="宋体"/>
                <w:sz w:val="20"/>
                <w:szCs w:val="20"/>
              </w:rPr>
            </w:pPr>
            <w:r>
              <w:rPr>
                <w:rFonts w:ascii="宋体" w:hAnsi="宋体" w:cs="宋体"/>
                <w:spacing w:val="1"/>
                <w:sz w:val="20"/>
                <w:szCs w:val="20"/>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315" w:type="dxa"/>
            <w:tcBorders>
              <w:top w:val="single" w:color="000000" w:sz="2" w:space="0"/>
              <w:bottom w:val="single" w:color="000000" w:sz="2" w:space="0"/>
            </w:tcBorders>
            <w:noWrap w:val="0"/>
            <w:vAlign w:val="top"/>
          </w:tcPr>
          <w:p>
            <w:pPr>
              <w:spacing w:before="106" w:line="219" w:lineRule="auto"/>
              <w:ind w:firstLine="740"/>
              <w:rPr>
                <w:rFonts w:ascii="宋体" w:hAnsi="宋体" w:cs="宋体"/>
                <w:sz w:val="20"/>
                <w:szCs w:val="20"/>
              </w:rPr>
            </w:pPr>
            <w:r>
              <w:rPr>
                <w:rFonts w:ascii="宋体" w:hAnsi="宋体" w:cs="宋体"/>
                <w:spacing w:val="-2"/>
                <w:sz w:val="20"/>
                <w:szCs w:val="20"/>
              </w:rPr>
              <w:t>信息内容</w:t>
            </w:r>
          </w:p>
        </w:tc>
        <w:tc>
          <w:tcPr>
            <w:tcW w:w="2324" w:type="dxa"/>
            <w:tcBorders>
              <w:top w:val="single" w:color="000000" w:sz="2" w:space="0"/>
              <w:bottom w:val="single" w:color="000000" w:sz="2" w:space="0"/>
            </w:tcBorders>
            <w:noWrap w:val="0"/>
            <w:vAlign w:val="top"/>
          </w:tcPr>
          <w:p>
            <w:pPr>
              <w:spacing w:before="105" w:line="219" w:lineRule="auto"/>
              <w:ind w:firstLine="545"/>
              <w:rPr>
                <w:rFonts w:ascii="宋体" w:hAnsi="宋体" w:cs="宋体"/>
                <w:sz w:val="20"/>
                <w:szCs w:val="20"/>
              </w:rPr>
            </w:pPr>
            <w:r>
              <w:rPr>
                <w:rFonts w:ascii="宋体" w:hAnsi="宋体" w:cs="宋体"/>
                <w:spacing w:val="-2"/>
                <w:sz w:val="20"/>
                <w:szCs w:val="20"/>
              </w:rPr>
              <w:t>本年制发件数</w:t>
            </w:r>
          </w:p>
        </w:tc>
        <w:tc>
          <w:tcPr>
            <w:tcW w:w="2315" w:type="dxa"/>
            <w:tcBorders>
              <w:top w:val="single" w:color="000000" w:sz="2" w:space="0"/>
              <w:bottom w:val="single" w:color="000000" w:sz="2" w:space="0"/>
            </w:tcBorders>
            <w:noWrap w:val="0"/>
            <w:vAlign w:val="top"/>
          </w:tcPr>
          <w:p>
            <w:pPr>
              <w:spacing w:before="105" w:line="219" w:lineRule="auto"/>
              <w:ind w:firstLine="551"/>
              <w:rPr>
                <w:rFonts w:ascii="宋体" w:hAnsi="宋体" w:cs="宋体"/>
                <w:sz w:val="20"/>
                <w:szCs w:val="20"/>
              </w:rPr>
            </w:pPr>
            <w:r>
              <w:rPr>
                <w:rFonts w:ascii="宋体" w:hAnsi="宋体" w:cs="宋体"/>
                <w:spacing w:val="-2"/>
                <w:sz w:val="20"/>
                <w:szCs w:val="20"/>
              </w:rPr>
              <w:t>本年废止件数</w:t>
            </w:r>
          </w:p>
        </w:tc>
        <w:tc>
          <w:tcPr>
            <w:tcW w:w="1975" w:type="dxa"/>
            <w:tcBorders>
              <w:top w:val="single" w:color="000000" w:sz="2" w:space="0"/>
              <w:bottom w:val="single" w:color="000000" w:sz="2" w:space="0"/>
            </w:tcBorders>
            <w:noWrap w:val="0"/>
            <w:vAlign w:val="top"/>
          </w:tcPr>
          <w:p>
            <w:pPr>
              <w:spacing w:before="106" w:line="219" w:lineRule="auto"/>
              <w:ind w:firstLine="376"/>
              <w:rPr>
                <w:rFonts w:ascii="宋体" w:hAnsi="宋体" w:cs="宋体"/>
                <w:sz w:val="20"/>
                <w:szCs w:val="20"/>
              </w:rPr>
            </w:pPr>
            <w:r>
              <w:rPr>
                <w:rFonts w:ascii="宋体" w:hAnsi="宋体" w:cs="宋体"/>
                <w:spacing w:val="-2"/>
                <w:sz w:val="20"/>
                <w:szCs w:val="20"/>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2315" w:type="dxa"/>
            <w:tcBorders>
              <w:top w:val="single" w:color="000000" w:sz="2" w:space="0"/>
              <w:bottom w:val="single" w:color="000000" w:sz="2" w:space="0"/>
            </w:tcBorders>
            <w:noWrap w:val="0"/>
            <w:vAlign w:val="top"/>
          </w:tcPr>
          <w:p>
            <w:pPr>
              <w:spacing w:before="95" w:line="219" w:lineRule="auto"/>
              <w:ind w:firstLine="939"/>
              <w:rPr>
                <w:rFonts w:ascii="宋体" w:hAnsi="宋体" w:cs="宋体"/>
                <w:sz w:val="20"/>
                <w:szCs w:val="20"/>
              </w:rPr>
            </w:pPr>
            <w:r>
              <w:rPr>
                <w:rFonts w:ascii="宋体" w:hAnsi="宋体" w:cs="宋体"/>
                <w:spacing w:val="7"/>
                <w:sz w:val="20"/>
                <w:szCs w:val="20"/>
              </w:rPr>
              <w:t>规章</w:t>
            </w:r>
          </w:p>
        </w:tc>
        <w:tc>
          <w:tcPr>
            <w:tcW w:w="2324"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2315"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1975"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315" w:type="dxa"/>
            <w:tcBorders>
              <w:top w:val="single" w:color="000000" w:sz="2" w:space="0"/>
              <w:bottom w:val="single" w:color="000000" w:sz="2" w:space="0"/>
            </w:tcBorders>
            <w:noWrap w:val="0"/>
            <w:vAlign w:val="top"/>
          </w:tcPr>
          <w:p>
            <w:pPr>
              <w:spacing w:before="107" w:line="219" w:lineRule="auto"/>
              <w:ind w:firstLine="440"/>
              <w:rPr>
                <w:rFonts w:ascii="宋体" w:hAnsi="宋体" w:cs="宋体"/>
                <w:sz w:val="20"/>
                <w:szCs w:val="20"/>
              </w:rPr>
            </w:pPr>
            <w:r>
              <w:rPr>
                <w:rFonts w:ascii="宋体" w:hAnsi="宋体" w:cs="宋体"/>
                <w:spacing w:val="-2"/>
                <w:sz w:val="20"/>
                <w:szCs w:val="20"/>
              </w:rPr>
              <w:t>行政规范性文件</w:t>
            </w:r>
          </w:p>
        </w:tc>
        <w:tc>
          <w:tcPr>
            <w:tcW w:w="2324"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2315"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1975"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8929" w:type="dxa"/>
            <w:gridSpan w:val="4"/>
            <w:tcBorders>
              <w:top w:val="single" w:color="000000" w:sz="2" w:space="0"/>
              <w:bottom w:val="single" w:color="000000" w:sz="2" w:space="0"/>
            </w:tcBorders>
            <w:noWrap w:val="0"/>
            <w:vAlign w:val="top"/>
          </w:tcPr>
          <w:p>
            <w:pPr>
              <w:spacing w:before="107" w:line="219" w:lineRule="auto"/>
              <w:ind w:firstLine="3550"/>
              <w:rPr>
                <w:rFonts w:ascii="宋体" w:hAnsi="宋体" w:cs="宋体"/>
                <w:sz w:val="20"/>
                <w:szCs w:val="20"/>
              </w:rPr>
            </w:pPr>
            <w:r>
              <w:rPr>
                <w:rFonts w:ascii="宋体" w:hAnsi="宋体" w:cs="宋体"/>
                <w:spacing w:val="1"/>
                <w:sz w:val="20"/>
                <w:szCs w:val="20"/>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2315" w:type="dxa"/>
            <w:tcBorders>
              <w:top w:val="single" w:color="000000" w:sz="2" w:space="0"/>
              <w:bottom w:val="single" w:color="000000" w:sz="2" w:space="0"/>
            </w:tcBorders>
            <w:noWrap w:val="0"/>
            <w:vAlign w:val="top"/>
          </w:tcPr>
          <w:p>
            <w:pPr>
              <w:spacing w:before="107" w:line="219" w:lineRule="auto"/>
              <w:ind w:firstLine="740"/>
              <w:rPr>
                <w:rFonts w:ascii="宋体" w:hAnsi="宋体" w:cs="宋体"/>
                <w:sz w:val="20"/>
                <w:szCs w:val="20"/>
              </w:rPr>
            </w:pPr>
            <w:r>
              <w:rPr>
                <w:rFonts w:ascii="宋体" w:hAnsi="宋体" w:cs="宋体"/>
                <w:spacing w:val="-2"/>
                <w:sz w:val="20"/>
                <w:szCs w:val="20"/>
              </w:rPr>
              <w:t>信息内容</w:t>
            </w:r>
          </w:p>
        </w:tc>
        <w:tc>
          <w:tcPr>
            <w:tcW w:w="6614" w:type="dxa"/>
            <w:gridSpan w:val="3"/>
            <w:tcBorders>
              <w:top w:val="single" w:color="000000" w:sz="2" w:space="0"/>
              <w:bottom w:val="single" w:color="000000" w:sz="2" w:space="0"/>
            </w:tcBorders>
            <w:noWrap w:val="0"/>
            <w:vAlign w:val="top"/>
          </w:tcPr>
          <w:p>
            <w:pPr>
              <w:spacing w:before="106" w:line="219" w:lineRule="auto"/>
              <w:ind w:firstLine="2494"/>
              <w:rPr>
                <w:rFonts w:ascii="宋体" w:hAnsi="宋体" w:cs="宋体"/>
                <w:sz w:val="20"/>
                <w:szCs w:val="20"/>
              </w:rPr>
            </w:pPr>
            <w:r>
              <w:rPr>
                <w:rFonts w:ascii="宋体" w:hAnsi="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315" w:type="dxa"/>
            <w:tcBorders>
              <w:top w:val="single" w:color="000000" w:sz="2" w:space="0"/>
              <w:bottom w:val="single" w:color="000000" w:sz="2" w:space="0"/>
            </w:tcBorders>
            <w:noWrap w:val="0"/>
            <w:vAlign w:val="top"/>
          </w:tcPr>
          <w:p>
            <w:pPr>
              <w:spacing w:before="108" w:line="220" w:lineRule="auto"/>
              <w:ind w:firstLine="740"/>
              <w:rPr>
                <w:rFonts w:ascii="宋体" w:hAnsi="宋体" w:cs="宋体"/>
                <w:sz w:val="20"/>
                <w:szCs w:val="20"/>
              </w:rPr>
            </w:pPr>
            <w:r>
              <w:rPr>
                <w:rFonts w:ascii="宋体" w:hAnsi="宋体" w:cs="宋体"/>
                <w:spacing w:val="-3"/>
                <w:sz w:val="20"/>
                <w:szCs w:val="20"/>
              </w:rPr>
              <w:t>行政许可</w:t>
            </w:r>
          </w:p>
        </w:tc>
        <w:tc>
          <w:tcPr>
            <w:tcW w:w="6614" w:type="dxa"/>
            <w:gridSpan w:val="3"/>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8929" w:type="dxa"/>
            <w:gridSpan w:val="4"/>
            <w:tcBorders>
              <w:top w:val="single" w:color="000000" w:sz="2" w:space="0"/>
              <w:bottom w:val="single" w:color="000000" w:sz="2" w:space="0"/>
            </w:tcBorders>
            <w:noWrap w:val="0"/>
            <w:vAlign w:val="top"/>
          </w:tcPr>
          <w:p>
            <w:pPr>
              <w:spacing w:before="108" w:line="219" w:lineRule="auto"/>
              <w:ind w:firstLine="3550"/>
              <w:rPr>
                <w:rFonts w:ascii="宋体" w:hAnsi="宋体" w:cs="宋体"/>
                <w:sz w:val="20"/>
                <w:szCs w:val="20"/>
              </w:rPr>
            </w:pPr>
            <w:r>
              <w:rPr>
                <w:rFonts w:ascii="宋体" w:hAnsi="宋体" w:cs="宋体"/>
                <w:spacing w:val="1"/>
                <w:sz w:val="20"/>
                <w:szCs w:val="20"/>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315" w:type="dxa"/>
            <w:tcBorders>
              <w:top w:val="single" w:color="000000" w:sz="2" w:space="0"/>
              <w:bottom w:val="single" w:color="000000" w:sz="2" w:space="0"/>
            </w:tcBorders>
            <w:noWrap w:val="0"/>
            <w:vAlign w:val="top"/>
          </w:tcPr>
          <w:p>
            <w:pPr>
              <w:spacing w:before="109" w:line="219" w:lineRule="auto"/>
              <w:ind w:firstLine="740"/>
              <w:rPr>
                <w:rFonts w:ascii="宋体" w:hAnsi="宋体" w:cs="宋体"/>
                <w:sz w:val="20"/>
                <w:szCs w:val="20"/>
              </w:rPr>
            </w:pPr>
            <w:r>
              <w:rPr>
                <w:rFonts w:ascii="宋体" w:hAnsi="宋体" w:cs="宋体"/>
                <w:spacing w:val="-2"/>
                <w:sz w:val="20"/>
                <w:szCs w:val="20"/>
              </w:rPr>
              <w:t>信息内容</w:t>
            </w:r>
          </w:p>
        </w:tc>
        <w:tc>
          <w:tcPr>
            <w:tcW w:w="6614" w:type="dxa"/>
            <w:gridSpan w:val="3"/>
            <w:tcBorders>
              <w:top w:val="single" w:color="000000" w:sz="2" w:space="0"/>
              <w:bottom w:val="single" w:color="000000" w:sz="2" w:space="0"/>
            </w:tcBorders>
            <w:noWrap w:val="0"/>
            <w:vAlign w:val="top"/>
          </w:tcPr>
          <w:p>
            <w:pPr>
              <w:spacing w:before="108" w:line="219" w:lineRule="auto"/>
              <w:ind w:firstLine="2494"/>
              <w:rPr>
                <w:rFonts w:ascii="宋体" w:hAnsi="宋体" w:cs="宋体"/>
                <w:sz w:val="20"/>
                <w:szCs w:val="20"/>
              </w:rPr>
            </w:pPr>
            <w:r>
              <w:rPr>
                <w:rFonts w:ascii="宋体" w:hAnsi="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2315" w:type="dxa"/>
            <w:tcBorders>
              <w:top w:val="single" w:color="000000" w:sz="2" w:space="0"/>
              <w:bottom w:val="single" w:color="000000" w:sz="2" w:space="0"/>
            </w:tcBorders>
            <w:noWrap w:val="0"/>
            <w:vAlign w:val="top"/>
          </w:tcPr>
          <w:p>
            <w:pPr>
              <w:spacing w:before="109" w:line="220" w:lineRule="auto"/>
              <w:ind w:firstLine="740"/>
              <w:rPr>
                <w:rFonts w:ascii="宋体" w:hAnsi="宋体" w:cs="宋体"/>
                <w:sz w:val="20"/>
                <w:szCs w:val="20"/>
              </w:rPr>
            </w:pPr>
            <w:r>
              <w:rPr>
                <w:rFonts w:ascii="宋体" w:hAnsi="宋体" w:cs="宋体"/>
                <w:spacing w:val="6"/>
                <w:sz w:val="20"/>
                <w:szCs w:val="20"/>
              </w:rPr>
              <w:t>行政处罚</w:t>
            </w:r>
          </w:p>
        </w:tc>
        <w:tc>
          <w:tcPr>
            <w:tcW w:w="6614" w:type="dxa"/>
            <w:gridSpan w:val="3"/>
            <w:tcBorders>
              <w:top w:val="single" w:color="000000" w:sz="2" w:space="0"/>
              <w:bottom w:val="single" w:color="000000" w:sz="2" w:space="0"/>
            </w:tcBorders>
            <w:noWrap w:val="0"/>
            <w:vAlign w:val="center"/>
          </w:tcPr>
          <w:p>
            <w:pPr>
              <w:jc w:val="center"/>
              <w:rPr>
                <w:rFonts w:hint="default" w:ascii="宋体" w:hAnsi="宋体" w:eastAsia="宋体"/>
                <w:lang w:val="en-US" w:eastAsia="zh-CN"/>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2315" w:type="dxa"/>
            <w:tcBorders>
              <w:top w:val="single" w:color="000000" w:sz="2" w:space="0"/>
              <w:bottom w:val="single" w:color="000000" w:sz="2" w:space="0"/>
            </w:tcBorders>
            <w:noWrap w:val="0"/>
            <w:vAlign w:val="top"/>
          </w:tcPr>
          <w:p>
            <w:pPr>
              <w:spacing w:before="110" w:line="220" w:lineRule="auto"/>
              <w:ind w:firstLine="740"/>
              <w:rPr>
                <w:rFonts w:ascii="宋体" w:hAnsi="宋体" w:cs="宋体"/>
                <w:sz w:val="20"/>
                <w:szCs w:val="20"/>
              </w:rPr>
            </w:pPr>
            <w:r>
              <w:rPr>
                <w:rFonts w:ascii="宋体" w:hAnsi="宋体" w:cs="宋体"/>
                <w:spacing w:val="4"/>
                <w:sz w:val="20"/>
                <w:szCs w:val="20"/>
              </w:rPr>
              <w:t>行政强制</w:t>
            </w:r>
          </w:p>
        </w:tc>
        <w:tc>
          <w:tcPr>
            <w:tcW w:w="6614" w:type="dxa"/>
            <w:gridSpan w:val="3"/>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8929" w:type="dxa"/>
            <w:gridSpan w:val="4"/>
            <w:tcBorders>
              <w:top w:val="single" w:color="000000" w:sz="2" w:space="0"/>
              <w:bottom w:val="single" w:color="000000" w:sz="2" w:space="0"/>
            </w:tcBorders>
            <w:noWrap w:val="0"/>
            <w:vAlign w:val="top"/>
          </w:tcPr>
          <w:p>
            <w:pPr>
              <w:spacing w:before="110" w:line="219" w:lineRule="auto"/>
              <w:ind w:firstLine="3550"/>
              <w:rPr>
                <w:rFonts w:ascii="宋体" w:hAnsi="宋体" w:cs="宋体"/>
                <w:sz w:val="20"/>
                <w:szCs w:val="20"/>
              </w:rPr>
            </w:pPr>
            <w:r>
              <w:rPr>
                <w:rFonts w:ascii="宋体" w:hAnsi="宋体" w:cs="宋体"/>
                <w:spacing w:val="1"/>
                <w:sz w:val="20"/>
                <w:szCs w:val="20"/>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2315" w:type="dxa"/>
            <w:tcBorders>
              <w:top w:val="single" w:color="000000" w:sz="2" w:space="0"/>
              <w:bottom w:val="single" w:color="000000" w:sz="2" w:space="0"/>
            </w:tcBorders>
            <w:noWrap w:val="0"/>
            <w:vAlign w:val="top"/>
          </w:tcPr>
          <w:p>
            <w:pPr>
              <w:spacing w:before="100" w:line="219" w:lineRule="auto"/>
              <w:ind w:firstLine="740"/>
              <w:rPr>
                <w:rFonts w:ascii="宋体" w:hAnsi="宋体" w:cs="宋体"/>
                <w:sz w:val="20"/>
                <w:szCs w:val="20"/>
              </w:rPr>
            </w:pPr>
            <w:r>
              <w:rPr>
                <w:rFonts w:ascii="宋体" w:hAnsi="宋体" w:cs="宋体"/>
                <w:spacing w:val="-2"/>
                <w:sz w:val="20"/>
                <w:szCs w:val="20"/>
              </w:rPr>
              <w:t>信息内容</w:t>
            </w:r>
          </w:p>
        </w:tc>
        <w:tc>
          <w:tcPr>
            <w:tcW w:w="6614" w:type="dxa"/>
            <w:gridSpan w:val="3"/>
            <w:tcBorders>
              <w:top w:val="single" w:color="000000" w:sz="2" w:space="0"/>
              <w:bottom w:val="single" w:color="000000" w:sz="2" w:space="0"/>
            </w:tcBorders>
            <w:noWrap w:val="0"/>
            <w:vAlign w:val="top"/>
          </w:tcPr>
          <w:p>
            <w:pPr>
              <w:spacing w:before="99" w:line="219" w:lineRule="auto"/>
              <w:ind w:firstLine="2045"/>
              <w:rPr>
                <w:rFonts w:ascii="宋体" w:hAnsi="宋体" w:cs="宋体"/>
                <w:sz w:val="20"/>
                <w:szCs w:val="20"/>
              </w:rPr>
            </w:pPr>
            <w:r>
              <w:rPr>
                <w:rFonts w:ascii="宋体" w:hAnsi="宋体" w:cs="宋体"/>
                <w:spacing w:val="7"/>
                <w:sz w:val="20"/>
                <w:szCs w:val="20"/>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315" w:type="dxa"/>
            <w:tcBorders>
              <w:top w:val="single" w:color="000000" w:sz="2" w:space="0"/>
              <w:bottom w:val="single" w:color="000000" w:sz="2" w:space="0"/>
            </w:tcBorders>
            <w:noWrap w:val="0"/>
            <w:vAlign w:val="top"/>
          </w:tcPr>
          <w:p>
            <w:pPr>
              <w:spacing w:before="110" w:line="219" w:lineRule="auto"/>
              <w:ind w:firstLine="440"/>
              <w:rPr>
                <w:rFonts w:ascii="宋体" w:hAnsi="宋体" w:cs="宋体"/>
                <w:sz w:val="20"/>
                <w:szCs w:val="20"/>
              </w:rPr>
            </w:pPr>
            <w:r>
              <w:rPr>
                <w:rFonts w:ascii="宋体" w:hAnsi="宋体" w:cs="宋体"/>
                <w:spacing w:val="1"/>
                <w:sz w:val="20"/>
                <w:szCs w:val="20"/>
              </w:rPr>
              <w:t>行政事业性收费</w:t>
            </w:r>
          </w:p>
        </w:tc>
        <w:tc>
          <w:tcPr>
            <w:tcW w:w="6614" w:type="dxa"/>
            <w:gridSpan w:val="3"/>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rPr>
      </w:pPr>
      <w:r>
        <w:rPr>
          <w:rFonts w:hint="eastAsia" w:ascii="宋体" w:hAnsi="宋体" w:eastAsia="黑体" w:cs="黑体"/>
          <w:sz w:val="32"/>
          <w:szCs w:val="32"/>
        </w:rPr>
        <w:t>三、收到和处理政府信息公开申请情况</w:t>
      </w:r>
    </w:p>
    <w:tbl>
      <w:tblPr>
        <w:tblStyle w:val="11"/>
        <w:tblW w:w="0" w:type="auto"/>
        <w:tblInd w:w="1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20"/>
        <w:gridCol w:w="838"/>
        <w:gridCol w:w="638"/>
        <w:gridCol w:w="686"/>
        <w:gridCol w:w="660"/>
        <w:gridCol w:w="660"/>
        <w:gridCol w:w="539"/>
        <w:gridCol w:w="6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4220" w:type="dxa"/>
            <w:vMerge w:val="restart"/>
            <w:tcBorders>
              <w:top w:val="single" w:color="000000" w:sz="2" w:space="0"/>
              <w:bottom w:val="nil"/>
            </w:tcBorders>
            <w:noWrap w:val="0"/>
            <w:vAlign w:val="top"/>
          </w:tcPr>
          <w:p>
            <w:pPr>
              <w:spacing w:line="280" w:lineRule="auto"/>
              <w:rPr>
                <w:rFonts w:ascii="宋体" w:hAnsi="宋体"/>
              </w:rPr>
            </w:pPr>
          </w:p>
          <w:p>
            <w:pPr>
              <w:spacing w:line="280" w:lineRule="auto"/>
              <w:rPr>
                <w:rFonts w:ascii="宋体" w:hAnsi="宋体"/>
              </w:rPr>
            </w:pPr>
          </w:p>
          <w:p>
            <w:pPr>
              <w:spacing w:before="62" w:line="276" w:lineRule="auto"/>
              <w:ind w:left="98" w:right="222" w:hanging="99"/>
              <w:rPr>
                <w:rFonts w:ascii="宋体" w:hAnsi="宋体" w:cs="宋体"/>
                <w:sz w:val="19"/>
                <w:szCs w:val="19"/>
              </w:rPr>
            </w:pPr>
            <w:r>
              <w:rPr>
                <w:rFonts w:ascii="宋体" w:hAnsi="宋体" w:cs="宋体"/>
                <w:spacing w:val="9"/>
                <w:w w:val="102"/>
                <w:sz w:val="19"/>
                <w:szCs w:val="19"/>
              </w:rPr>
              <w:t>（本列数据的勾稽关系为:第一项加第二项之</w:t>
            </w:r>
            <w:r>
              <w:rPr>
                <w:rFonts w:ascii="宋体" w:hAnsi="宋体" w:cs="宋体"/>
                <w:spacing w:val="18"/>
                <w:sz w:val="19"/>
                <w:szCs w:val="19"/>
              </w:rPr>
              <w:t xml:space="preserve"> </w:t>
            </w:r>
            <w:r>
              <w:rPr>
                <w:rFonts w:ascii="宋体" w:hAnsi="宋体" w:cs="宋体"/>
                <w:spacing w:val="15"/>
                <w:sz w:val="19"/>
                <w:szCs w:val="19"/>
              </w:rPr>
              <w:t>和，等于第三项加第四项之和）</w:t>
            </w:r>
          </w:p>
        </w:tc>
        <w:tc>
          <w:tcPr>
            <w:tcW w:w="4719" w:type="dxa"/>
            <w:gridSpan w:val="7"/>
            <w:tcBorders>
              <w:top w:val="single" w:color="000000" w:sz="2" w:space="0"/>
              <w:bottom w:val="single" w:color="000000" w:sz="2" w:space="0"/>
            </w:tcBorders>
            <w:noWrap w:val="0"/>
            <w:vAlign w:val="top"/>
          </w:tcPr>
          <w:p>
            <w:pPr>
              <w:spacing w:before="115" w:line="219" w:lineRule="auto"/>
              <w:ind w:firstLine="1850"/>
              <w:rPr>
                <w:rFonts w:ascii="宋体" w:hAnsi="宋体" w:cs="宋体"/>
                <w:sz w:val="20"/>
                <w:szCs w:val="20"/>
              </w:rPr>
            </w:pPr>
            <w:r>
              <w:rPr>
                <w:rFonts w:ascii="宋体" w:hAnsi="宋体" w:cs="宋体"/>
                <w:spacing w:val="1"/>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4220" w:type="dxa"/>
            <w:vMerge w:val="continue"/>
            <w:tcBorders>
              <w:top w:val="nil"/>
              <w:bottom w:val="nil"/>
            </w:tcBorders>
            <w:noWrap w:val="0"/>
            <w:vAlign w:val="top"/>
          </w:tcPr>
          <w:p>
            <w:pPr>
              <w:rPr>
                <w:rFonts w:ascii="宋体" w:hAnsi="宋体"/>
              </w:rPr>
            </w:pPr>
          </w:p>
        </w:tc>
        <w:tc>
          <w:tcPr>
            <w:tcW w:w="838" w:type="dxa"/>
            <w:vMerge w:val="restart"/>
            <w:tcBorders>
              <w:top w:val="single" w:color="000000" w:sz="2" w:space="0"/>
              <w:bottom w:val="nil"/>
            </w:tcBorders>
            <w:noWrap w:val="0"/>
            <w:vAlign w:val="top"/>
          </w:tcPr>
          <w:p>
            <w:pPr>
              <w:spacing w:line="458" w:lineRule="auto"/>
              <w:rPr>
                <w:rFonts w:ascii="宋体" w:hAnsi="宋体"/>
              </w:rPr>
            </w:pPr>
          </w:p>
          <w:p>
            <w:pPr>
              <w:spacing w:before="65" w:line="220" w:lineRule="auto"/>
              <w:ind w:firstLine="110"/>
              <w:rPr>
                <w:rFonts w:ascii="宋体" w:hAnsi="宋体" w:cs="宋体"/>
                <w:sz w:val="20"/>
                <w:szCs w:val="20"/>
              </w:rPr>
            </w:pPr>
            <w:r>
              <w:rPr>
                <w:rFonts w:ascii="宋体" w:hAnsi="宋体" w:cs="宋体"/>
                <w:spacing w:val="2"/>
                <w:sz w:val="20"/>
                <w:szCs w:val="20"/>
              </w:rPr>
              <w:t>自然人</w:t>
            </w:r>
          </w:p>
        </w:tc>
        <w:tc>
          <w:tcPr>
            <w:tcW w:w="3183" w:type="dxa"/>
            <w:gridSpan w:val="5"/>
            <w:tcBorders>
              <w:top w:val="single" w:color="000000" w:sz="2" w:space="0"/>
              <w:bottom w:val="single" w:color="000000" w:sz="2" w:space="0"/>
            </w:tcBorders>
            <w:noWrap w:val="0"/>
            <w:vAlign w:val="top"/>
          </w:tcPr>
          <w:p>
            <w:pPr>
              <w:spacing w:before="106" w:line="220" w:lineRule="auto"/>
              <w:ind w:firstLine="881"/>
              <w:rPr>
                <w:rFonts w:ascii="宋体" w:hAnsi="宋体" w:cs="宋体"/>
                <w:sz w:val="20"/>
                <w:szCs w:val="20"/>
              </w:rPr>
            </w:pPr>
            <w:r>
              <w:rPr>
                <w:rFonts w:ascii="宋体" w:hAnsi="宋体" w:cs="宋体"/>
                <w:spacing w:val="-2"/>
                <w:sz w:val="20"/>
                <w:szCs w:val="20"/>
              </w:rPr>
              <w:t>法人或其他组织</w:t>
            </w:r>
          </w:p>
        </w:tc>
        <w:tc>
          <w:tcPr>
            <w:tcW w:w="698" w:type="dxa"/>
            <w:vMerge w:val="restart"/>
            <w:tcBorders>
              <w:top w:val="single" w:color="000000" w:sz="2" w:space="0"/>
              <w:bottom w:val="nil"/>
            </w:tcBorders>
            <w:noWrap w:val="0"/>
            <w:vAlign w:val="top"/>
          </w:tcPr>
          <w:p>
            <w:pPr>
              <w:spacing w:line="458" w:lineRule="auto"/>
              <w:rPr>
                <w:rFonts w:ascii="宋体" w:hAnsi="宋体"/>
              </w:rPr>
            </w:pPr>
          </w:p>
          <w:p>
            <w:pPr>
              <w:spacing w:before="65" w:line="221" w:lineRule="auto"/>
              <w:ind w:firstLine="138"/>
              <w:rPr>
                <w:rFonts w:ascii="宋体" w:hAnsi="宋体" w:cs="宋体"/>
                <w:sz w:val="20"/>
                <w:szCs w:val="20"/>
              </w:rPr>
            </w:pPr>
            <w:r>
              <w:rPr>
                <w:rFonts w:ascii="宋体" w:hAnsi="宋体" w:cs="宋体"/>
                <w:spacing w:val="4"/>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trPr>
        <w:tc>
          <w:tcPr>
            <w:tcW w:w="4220" w:type="dxa"/>
            <w:vMerge w:val="continue"/>
            <w:tcBorders>
              <w:top w:val="nil"/>
              <w:bottom w:val="single" w:color="000000" w:sz="2" w:space="0"/>
            </w:tcBorders>
            <w:noWrap w:val="0"/>
            <w:vAlign w:val="top"/>
          </w:tcPr>
          <w:p>
            <w:pPr>
              <w:rPr>
                <w:rFonts w:ascii="宋体" w:hAnsi="宋体"/>
              </w:rPr>
            </w:pPr>
          </w:p>
        </w:tc>
        <w:tc>
          <w:tcPr>
            <w:tcW w:w="838" w:type="dxa"/>
            <w:vMerge w:val="continue"/>
            <w:tcBorders>
              <w:top w:val="nil"/>
              <w:bottom w:val="single" w:color="000000" w:sz="2" w:space="0"/>
            </w:tcBorders>
            <w:noWrap w:val="0"/>
            <w:vAlign w:val="top"/>
          </w:tcPr>
          <w:p>
            <w:pPr>
              <w:rPr>
                <w:rFonts w:ascii="宋体" w:hAnsi="宋体"/>
              </w:rPr>
            </w:pPr>
          </w:p>
        </w:tc>
        <w:tc>
          <w:tcPr>
            <w:tcW w:w="638" w:type="dxa"/>
            <w:tcBorders>
              <w:top w:val="single" w:color="000000" w:sz="2" w:space="0"/>
              <w:bottom w:val="single" w:color="000000" w:sz="2" w:space="0"/>
            </w:tcBorders>
            <w:noWrap w:val="0"/>
            <w:vAlign w:val="top"/>
          </w:tcPr>
          <w:p>
            <w:pPr>
              <w:spacing w:before="207" w:line="251" w:lineRule="auto"/>
              <w:ind w:left="112" w:right="116"/>
              <w:rPr>
                <w:rFonts w:ascii="宋体" w:hAnsi="宋体" w:cs="宋体"/>
                <w:sz w:val="20"/>
                <w:szCs w:val="20"/>
              </w:rPr>
            </w:pPr>
            <w:r>
              <w:rPr>
                <w:rFonts w:ascii="宋体" w:hAnsi="宋体" w:cs="宋体"/>
                <w:spacing w:val="-6"/>
                <w:sz w:val="20"/>
                <w:szCs w:val="20"/>
              </w:rPr>
              <w:t>商业</w:t>
            </w:r>
            <w:r>
              <w:rPr>
                <w:rFonts w:ascii="宋体" w:hAnsi="宋体" w:cs="宋体"/>
                <w:sz w:val="20"/>
                <w:szCs w:val="20"/>
              </w:rPr>
              <w:t xml:space="preserve"> </w:t>
            </w:r>
            <w:r>
              <w:rPr>
                <w:rFonts w:ascii="宋体" w:hAnsi="宋体" w:cs="宋体"/>
                <w:spacing w:val="-6"/>
                <w:sz w:val="20"/>
                <w:szCs w:val="20"/>
              </w:rPr>
              <w:t>企业</w:t>
            </w:r>
          </w:p>
        </w:tc>
        <w:tc>
          <w:tcPr>
            <w:tcW w:w="686" w:type="dxa"/>
            <w:tcBorders>
              <w:top w:val="single" w:color="000000" w:sz="2" w:space="0"/>
              <w:bottom w:val="single" w:color="000000" w:sz="2" w:space="0"/>
            </w:tcBorders>
            <w:noWrap w:val="0"/>
            <w:vAlign w:val="top"/>
          </w:tcPr>
          <w:p>
            <w:pPr>
              <w:spacing w:before="209" w:line="245" w:lineRule="auto"/>
              <w:ind w:left="114" w:right="91"/>
              <w:rPr>
                <w:rFonts w:ascii="宋体" w:hAnsi="宋体" w:cs="宋体"/>
                <w:sz w:val="20"/>
                <w:szCs w:val="20"/>
              </w:rPr>
            </w:pPr>
            <w:r>
              <w:rPr>
                <w:rFonts w:ascii="宋体" w:hAnsi="宋体" w:cs="宋体"/>
                <w:spacing w:val="-4"/>
                <w:sz w:val="20"/>
                <w:szCs w:val="20"/>
              </w:rPr>
              <w:t>科研</w:t>
            </w:r>
            <w:r>
              <w:rPr>
                <w:rFonts w:ascii="宋体" w:hAnsi="宋体" w:cs="宋体"/>
                <w:sz w:val="20"/>
                <w:szCs w:val="20"/>
              </w:rPr>
              <w:t xml:space="preserve"> </w:t>
            </w:r>
            <w:r>
              <w:rPr>
                <w:rFonts w:ascii="宋体" w:hAnsi="宋体" w:cs="宋体"/>
                <w:spacing w:val="6"/>
                <w:sz w:val="20"/>
                <w:szCs w:val="20"/>
              </w:rPr>
              <w:t>机构</w:t>
            </w:r>
          </w:p>
        </w:tc>
        <w:tc>
          <w:tcPr>
            <w:tcW w:w="660" w:type="dxa"/>
            <w:tcBorders>
              <w:top w:val="single" w:color="000000" w:sz="2" w:space="0"/>
              <w:bottom w:val="single" w:color="000000" w:sz="2" w:space="0"/>
            </w:tcBorders>
            <w:noWrap w:val="0"/>
            <w:vAlign w:val="top"/>
          </w:tcPr>
          <w:p>
            <w:pPr>
              <w:spacing w:before="69" w:line="235" w:lineRule="auto"/>
              <w:ind w:left="105" w:right="93"/>
              <w:rPr>
                <w:rFonts w:ascii="宋体" w:hAnsi="宋体" w:cs="宋体"/>
                <w:sz w:val="20"/>
                <w:szCs w:val="20"/>
              </w:rPr>
            </w:pPr>
            <w:r>
              <w:rPr>
                <w:rFonts w:ascii="宋体" w:hAnsi="宋体" w:cs="宋体"/>
                <w:spacing w:val="-5"/>
                <w:sz w:val="20"/>
                <w:szCs w:val="20"/>
              </w:rPr>
              <w:t>社会</w:t>
            </w:r>
            <w:r>
              <w:rPr>
                <w:rFonts w:ascii="宋体" w:hAnsi="宋体" w:cs="宋体"/>
                <w:sz w:val="20"/>
                <w:szCs w:val="20"/>
              </w:rPr>
              <w:t xml:space="preserve"> </w:t>
            </w:r>
            <w:r>
              <w:rPr>
                <w:rFonts w:ascii="宋体" w:hAnsi="宋体" w:cs="宋体"/>
                <w:spacing w:val="4"/>
                <w:sz w:val="20"/>
                <w:szCs w:val="20"/>
              </w:rPr>
              <w:t>公益</w:t>
            </w:r>
            <w:r>
              <w:rPr>
                <w:rFonts w:ascii="宋体" w:hAnsi="宋体" w:cs="宋体"/>
                <w:spacing w:val="1"/>
                <w:sz w:val="20"/>
                <w:szCs w:val="20"/>
              </w:rPr>
              <w:t xml:space="preserve"> </w:t>
            </w:r>
            <w:r>
              <w:rPr>
                <w:rFonts w:ascii="宋体" w:hAnsi="宋体" w:cs="宋体"/>
                <w:spacing w:val="5"/>
                <w:sz w:val="20"/>
                <w:szCs w:val="20"/>
              </w:rPr>
              <w:t>组织</w:t>
            </w:r>
          </w:p>
        </w:tc>
        <w:tc>
          <w:tcPr>
            <w:tcW w:w="660" w:type="dxa"/>
            <w:tcBorders>
              <w:top w:val="single" w:color="000000" w:sz="2" w:space="0"/>
              <w:bottom w:val="single" w:color="000000" w:sz="2" w:space="0"/>
            </w:tcBorders>
            <w:noWrap w:val="0"/>
            <w:vAlign w:val="top"/>
          </w:tcPr>
          <w:p>
            <w:pPr>
              <w:spacing w:before="69" w:line="235" w:lineRule="auto"/>
              <w:ind w:left="116" w:right="89"/>
              <w:rPr>
                <w:rFonts w:ascii="宋体" w:hAnsi="宋体" w:cs="宋体"/>
                <w:sz w:val="20"/>
                <w:szCs w:val="20"/>
              </w:rPr>
            </w:pPr>
            <w:r>
              <w:rPr>
                <w:rFonts w:ascii="宋体" w:hAnsi="宋体" w:cs="宋体"/>
                <w:spacing w:val="-5"/>
                <w:sz w:val="20"/>
                <w:szCs w:val="20"/>
              </w:rPr>
              <w:t>法律</w:t>
            </w:r>
            <w:r>
              <w:rPr>
                <w:rFonts w:ascii="宋体" w:hAnsi="宋体" w:cs="宋体"/>
                <w:spacing w:val="1"/>
                <w:sz w:val="20"/>
                <w:szCs w:val="20"/>
              </w:rPr>
              <w:t xml:space="preserve"> </w:t>
            </w:r>
            <w:r>
              <w:rPr>
                <w:rFonts w:ascii="宋体" w:hAnsi="宋体" w:cs="宋体"/>
                <w:spacing w:val="-4"/>
                <w:sz w:val="20"/>
                <w:szCs w:val="20"/>
              </w:rPr>
              <w:t>服务</w:t>
            </w:r>
            <w:r>
              <w:rPr>
                <w:rFonts w:ascii="宋体" w:hAnsi="宋体" w:cs="宋体"/>
                <w:sz w:val="20"/>
                <w:szCs w:val="20"/>
              </w:rPr>
              <w:t xml:space="preserve"> </w:t>
            </w:r>
            <w:r>
              <w:rPr>
                <w:rFonts w:ascii="宋体" w:hAnsi="宋体" w:cs="宋体"/>
                <w:spacing w:val="6"/>
                <w:sz w:val="20"/>
                <w:szCs w:val="20"/>
              </w:rPr>
              <w:t>机构</w:t>
            </w:r>
          </w:p>
        </w:tc>
        <w:tc>
          <w:tcPr>
            <w:tcW w:w="539" w:type="dxa"/>
            <w:tcBorders>
              <w:top w:val="single" w:color="000000" w:sz="2" w:space="0"/>
              <w:bottom w:val="single" w:color="000000" w:sz="2" w:space="0"/>
            </w:tcBorders>
            <w:noWrap w:val="0"/>
            <w:vAlign w:val="top"/>
          </w:tcPr>
          <w:p>
            <w:pPr>
              <w:spacing w:line="251" w:lineRule="auto"/>
              <w:rPr>
                <w:rFonts w:ascii="宋体" w:hAnsi="宋体"/>
              </w:rPr>
            </w:pPr>
          </w:p>
          <w:p>
            <w:pPr>
              <w:spacing w:before="65" w:line="220" w:lineRule="auto"/>
              <w:ind w:firstLine="117"/>
              <w:rPr>
                <w:rFonts w:ascii="宋体" w:hAnsi="宋体" w:cs="宋体"/>
                <w:sz w:val="20"/>
                <w:szCs w:val="20"/>
              </w:rPr>
            </w:pPr>
            <w:r>
              <w:rPr>
                <w:rFonts w:ascii="宋体" w:hAnsi="宋体" w:cs="宋体"/>
                <w:spacing w:val="-3"/>
                <w:sz w:val="20"/>
                <w:szCs w:val="20"/>
              </w:rPr>
              <w:t>其他</w:t>
            </w:r>
          </w:p>
        </w:tc>
        <w:tc>
          <w:tcPr>
            <w:tcW w:w="698" w:type="dxa"/>
            <w:vMerge w:val="continue"/>
            <w:tcBorders>
              <w:top w:val="nil"/>
              <w:bottom w:val="single" w:color="000000" w:sz="2" w:space="0"/>
            </w:tcBorders>
            <w:noWrap w:val="0"/>
            <w:vAlign w:val="top"/>
          </w:tcPr>
          <w:p>
            <w:pPr>
              <w:rPr>
                <w:rFonts w:ascii="宋体" w:hAnsi="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4220" w:type="dxa"/>
            <w:tcBorders>
              <w:top w:val="single" w:color="000000" w:sz="2" w:space="0"/>
              <w:bottom w:val="single" w:color="000000" w:sz="2" w:space="0"/>
            </w:tcBorders>
            <w:noWrap w:val="0"/>
            <w:vAlign w:val="top"/>
          </w:tcPr>
          <w:p>
            <w:pPr>
              <w:spacing w:before="99" w:line="219" w:lineRule="auto"/>
              <w:ind w:firstLine="70"/>
              <w:rPr>
                <w:rFonts w:ascii="宋体" w:hAnsi="宋体" w:cs="宋体"/>
                <w:sz w:val="20"/>
                <w:szCs w:val="20"/>
              </w:rPr>
            </w:pPr>
            <w:r>
              <w:rPr>
                <w:rFonts w:ascii="宋体" w:hAnsi="宋体" w:cs="宋体"/>
                <w:spacing w:val="-1"/>
                <w:sz w:val="20"/>
                <w:szCs w:val="20"/>
              </w:rPr>
              <w:t>一、本年新收政府信息公开申请数量</w:t>
            </w:r>
          </w:p>
        </w:tc>
        <w:tc>
          <w:tcPr>
            <w:tcW w:w="838"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86"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60"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60"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539"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98" w:type="dxa"/>
            <w:tcBorders>
              <w:top w:val="single" w:color="000000" w:sz="2" w:space="0"/>
              <w:bottom w:val="single" w:color="000000" w:sz="2" w:space="0"/>
            </w:tcBorders>
            <w:noWrap w:val="0"/>
            <w:vAlign w:val="center"/>
          </w:tcPr>
          <w:p>
            <w:pPr>
              <w:jc w:val="center"/>
              <w:rPr>
                <w:rFonts w:hint="default" w:ascii="宋体" w:hAnsi="宋体"/>
              </w:rPr>
            </w:pPr>
            <w:r>
              <w:rPr>
                <w:rFonts w:ascii="宋体" w:hAnsi="宋体"/>
              </w:rPr>
              <w:t>0</w:t>
            </w:r>
          </w:p>
        </w:tc>
      </w:tr>
    </w:tbl>
    <w:p>
      <w:pPr>
        <w:rPr>
          <w:rFonts w:ascii="宋体" w:hAnsi="宋体"/>
        </w:rPr>
        <w:sectPr>
          <w:footerReference r:id="rId3" w:type="default"/>
          <w:pgSz w:w="11900" w:h="16840"/>
          <w:pgMar w:top="1431" w:right="1380" w:bottom="1929" w:left="1549" w:header="0" w:footer="1799" w:gutter="0"/>
          <w:cols w:space="720" w:num="1"/>
        </w:sectPr>
      </w:pPr>
    </w:p>
    <w:tbl>
      <w:tblPr>
        <w:tblStyle w:val="11"/>
        <w:tblpPr w:leftFromText="180" w:rightFromText="180" w:vertAnchor="text" w:horzAnchor="page" w:tblpX="1521" w:tblpY="250"/>
        <w:tblOverlap w:val="neve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8"/>
        <w:gridCol w:w="938"/>
        <w:gridCol w:w="2205"/>
        <w:gridCol w:w="838"/>
        <w:gridCol w:w="629"/>
        <w:gridCol w:w="638"/>
        <w:gridCol w:w="638"/>
        <w:gridCol w:w="629"/>
        <w:gridCol w:w="639"/>
        <w:gridCol w:w="6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4191" w:type="dxa"/>
            <w:gridSpan w:val="3"/>
            <w:tcBorders>
              <w:top w:val="single" w:color="000000" w:sz="2" w:space="0"/>
              <w:bottom w:val="single" w:color="000000" w:sz="2" w:space="0"/>
            </w:tcBorders>
            <w:noWrap w:val="0"/>
            <w:vAlign w:val="top"/>
          </w:tcPr>
          <w:p>
            <w:pPr>
              <w:spacing w:before="94" w:line="219" w:lineRule="auto"/>
              <w:ind w:firstLine="69"/>
              <w:rPr>
                <w:rFonts w:ascii="宋体" w:hAnsi="宋体" w:cs="宋体"/>
                <w:sz w:val="20"/>
                <w:szCs w:val="20"/>
              </w:rPr>
            </w:pPr>
            <w:r>
              <w:rPr>
                <w:rFonts w:ascii="宋体" w:hAnsi="宋体" w:cs="宋体"/>
                <w:spacing w:val="-1"/>
                <w:sz w:val="20"/>
                <w:szCs w:val="20"/>
              </w:rPr>
              <w:t>二、上年结转政府信息公开申请数量</w:t>
            </w:r>
          </w:p>
        </w:tc>
        <w:tc>
          <w:tcPr>
            <w:tcW w:w="838"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1048" w:type="dxa"/>
            <w:vMerge w:val="restart"/>
            <w:tcBorders>
              <w:top w:val="single" w:color="000000" w:sz="2" w:space="0"/>
              <w:bottom w:val="nil"/>
            </w:tcBorders>
            <w:noWrap w:val="0"/>
            <w:vAlign w:val="top"/>
          </w:tcPr>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line="246" w:lineRule="auto"/>
              <w:rPr>
                <w:rFonts w:ascii="宋体" w:hAnsi="宋体"/>
              </w:rPr>
            </w:pPr>
          </w:p>
          <w:p>
            <w:pPr>
              <w:spacing w:before="62" w:line="258" w:lineRule="auto"/>
              <w:ind w:left="39" w:firstLine="9"/>
              <w:rPr>
                <w:rFonts w:ascii="宋体" w:hAnsi="宋体" w:cs="宋体"/>
                <w:sz w:val="19"/>
                <w:szCs w:val="19"/>
              </w:rPr>
            </w:pPr>
            <w:r>
              <w:rPr>
                <w:rFonts w:ascii="宋体" w:hAnsi="宋体" w:cs="宋体"/>
                <w:spacing w:val="5"/>
                <w:sz w:val="19"/>
                <w:szCs w:val="19"/>
              </w:rPr>
              <w:t>三、本年度</w:t>
            </w:r>
            <w:r>
              <w:rPr>
                <w:rFonts w:ascii="宋体" w:hAnsi="宋体" w:cs="宋体"/>
                <w:spacing w:val="3"/>
                <w:sz w:val="19"/>
                <w:szCs w:val="19"/>
              </w:rPr>
              <w:t xml:space="preserve"> </w:t>
            </w:r>
            <w:r>
              <w:rPr>
                <w:rFonts w:ascii="宋体" w:hAnsi="宋体" w:cs="宋体"/>
                <w:spacing w:val="10"/>
                <w:sz w:val="19"/>
                <w:szCs w:val="19"/>
              </w:rPr>
              <w:t>办理结果</w:t>
            </w:r>
          </w:p>
        </w:tc>
        <w:tc>
          <w:tcPr>
            <w:tcW w:w="3143" w:type="dxa"/>
            <w:gridSpan w:val="2"/>
            <w:tcBorders>
              <w:top w:val="single" w:color="000000" w:sz="2" w:space="0"/>
              <w:bottom w:val="single" w:color="000000" w:sz="2" w:space="0"/>
            </w:tcBorders>
            <w:noWrap w:val="0"/>
            <w:vAlign w:val="top"/>
          </w:tcPr>
          <w:p>
            <w:pPr>
              <w:spacing w:before="105" w:line="241" w:lineRule="auto"/>
              <w:rPr>
                <w:rFonts w:ascii="宋体" w:hAnsi="宋体" w:cs="宋体"/>
                <w:sz w:val="18"/>
                <w:szCs w:val="18"/>
              </w:rPr>
            </w:pPr>
            <w:r>
              <w:rPr>
                <w:rFonts w:ascii="宋体" w:hAnsi="宋体" w:cs="宋体"/>
                <w:spacing w:val="19"/>
                <w:w w:val="102"/>
                <w:sz w:val="18"/>
                <w:szCs w:val="18"/>
              </w:rPr>
              <w:t>（一）予以公开</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1048" w:type="dxa"/>
            <w:vMerge w:val="continue"/>
            <w:tcBorders>
              <w:top w:val="nil"/>
              <w:bottom w:val="nil"/>
            </w:tcBorders>
            <w:noWrap w:val="0"/>
            <w:vAlign w:val="top"/>
          </w:tcPr>
          <w:p>
            <w:pPr>
              <w:rPr>
                <w:rFonts w:ascii="宋体" w:hAnsi="宋体"/>
              </w:rPr>
            </w:pPr>
          </w:p>
        </w:tc>
        <w:tc>
          <w:tcPr>
            <w:tcW w:w="3143" w:type="dxa"/>
            <w:gridSpan w:val="2"/>
            <w:tcBorders>
              <w:top w:val="single" w:color="000000" w:sz="2" w:space="0"/>
              <w:bottom w:val="single" w:color="000000" w:sz="2" w:space="0"/>
            </w:tcBorders>
            <w:noWrap w:val="0"/>
            <w:vAlign w:val="top"/>
          </w:tcPr>
          <w:p>
            <w:pPr>
              <w:spacing w:before="85" w:line="262" w:lineRule="auto"/>
              <w:ind w:left="96" w:hanging="97"/>
              <w:rPr>
                <w:rFonts w:ascii="宋体" w:hAnsi="宋体" w:cs="宋体"/>
                <w:sz w:val="19"/>
                <w:szCs w:val="19"/>
              </w:rPr>
            </w:pPr>
            <w:r>
              <w:rPr>
                <w:rFonts w:ascii="宋体" w:hAnsi="宋体" w:cs="宋体"/>
                <w:spacing w:val="5"/>
                <w:sz w:val="19"/>
                <w:szCs w:val="19"/>
              </w:rPr>
              <w:t>（二）部分公开（区分处理的，只计</w:t>
            </w:r>
            <w:r>
              <w:rPr>
                <w:rFonts w:ascii="宋体" w:hAnsi="宋体" w:cs="宋体"/>
                <w:spacing w:val="2"/>
                <w:sz w:val="19"/>
                <w:szCs w:val="19"/>
              </w:rPr>
              <w:t xml:space="preserve"> </w:t>
            </w:r>
            <w:r>
              <w:rPr>
                <w:rFonts w:ascii="宋体" w:hAnsi="宋体" w:cs="宋体"/>
                <w:spacing w:val="13"/>
                <w:sz w:val="19"/>
                <w:szCs w:val="19"/>
              </w:rPr>
              <w:t>这一情形，不计其他情形）</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048" w:type="dxa"/>
            <w:vMerge w:val="continue"/>
            <w:tcBorders>
              <w:top w:val="nil"/>
              <w:bottom w:val="nil"/>
            </w:tcBorders>
            <w:noWrap w:val="0"/>
            <w:vAlign w:val="top"/>
          </w:tcPr>
          <w:p>
            <w:pPr>
              <w:rPr>
                <w:rFonts w:ascii="宋体" w:hAnsi="宋体"/>
              </w:rPr>
            </w:pPr>
          </w:p>
        </w:tc>
        <w:tc>
          <w:tcPr>
            <w:tcW w:w="938" w:type="dxa"/>
            <w:vMerge w:val="restart"/>
            <w:tcBorders>
              <w:top w:val="single" w:color="000000" w:sz="2" w:space="0"/>
              <w:bottom w:val="nil"/>
            </w:tcBorders>
            <w:noWrap w:val="0"/>
            <w:vAlign w:val="top"/>
          </w:tcPr>
          <w:p>
            <w:pPr>
              <w:spacing w:line="264" w:lineRule="auto"/>
              <w:rPr>
                <w:rFonts w:ascii="宋体" w:hAnsi="宋体"/>
              </w:rPr>
            </w:pPr>
          </w:p>
          <w:p>
            <w:pPr>
              <w:spacing w:line="264" w:lineRule="auto"/>
              <w:rPr>
                <w:rFonts w:ascii="宋体" w:hAnsi="宋体"/>
              </w:rPr>
            </w:pPr>
          </w:p>
          <w:p>
            <w:pPr>
              <w:spacing w:line="264" w:lineRule="auto"/>
              <w:rPr>
                <w:rFonts w:ascii="宋体" w:hAnsi="宋体"/>
              </w:rPr>
            </w:pPr>
          </w:p>
          <w:p>
            <w:pPr>
              <w:spacing w:line="265" w:lineRule="auto"/>
              <w:rPr>
                <w:rFonts w:ascii="宋体" w:hAnsi="宋体"/>
              </w:rPr>
            </w:pPr>
          </w:p>
          <w:p>
            <w:pPr>
              <w:spacing w:line="265" w:lineRule="auto"/>
              <w:rPr>
                <w:rFonts w:ascii="宋体" w:hAnsi="宋体"/>
              </w:rPr>
            </w:pPr>
          </w:p>
          <w:p>
            <w:pPr>
              <w:spacing w:line="265" w:lineRule="auto"/>
              <w:rPr>
                <w:rFonts w:ascii="宋体" w:hAnsi="宋体"/>
              </w:rPr>
            </w:pPr>
          </w:p>
          <w:p>
            <w:pPr>
              <w:spacing w:before="59" w:line="291" w:lineRule="auto"/>
              <w:ind w:left="93" w:hanging="94"/>
              <w:rPr>
                <w:rFonts w:ascii="宋体" w:hAnsi="宋体" w:cs="宋体"/>
                <w:sz w:val="18"/>
                <w:szCs w:val="18"/>
              </w:rPr>
            </w:pPr>
            <w:r>
              <w:rPr>
                <w:rFonts w:ascii="宋体" w:hAnsi="宋体" w:cs="宋体"/>
                <w:spacing w:val="3"/>
                <w:sz w:val="18"/>
                <w:szCs w:val="18"/>
              </w:rPr>
              <w:t>（三）不予</w:t>
            </w:r>
            <w:r>
              <w:rPr>
                <w:rFonts w:ascii="宋体" w:hAnsi="宋体" w:cs="宋体"/>
                <w:spacing w:val="2"/>
                <w:sz w:val="18"/>
                <w:szCs w:val="18"/>
              </w:rPr>
              <w:t xml:space="preserve"> </w:t>
            </w:r>
            <w:r>
              <w:rPr>
                <w:rFonts w:ascii="宋体" w:hAnsi="宋体" w:cs="宋体"/>
                <w:spacing w:val="12"/>
                <w:sz w:val="18"/>
                <w:szCs w:val="18"/>
              </w:rPr>
              <w:t>公开</w:t>
            </w:r>
          </w:p>
        </w:tc>
        <w:tc>
          <w:tcPr>
            <w:tcW w:w="2205" w:type="dxa"/>
            <w:tcBorders>
              <w:top w:val="single" w:color="000000" w:sz="2" w:space="0"/>
              <w:bottom w:val="single" w:color="000000" w:sz="2" w:space="0"/>
            </w:tcBorders>
            <w:noWrap w:val="0"/>
            <w:vAlign w:val="top"/>
          </w:tcPr>
          <w:p>
            <w:pPr>
              <w:spacing w:before="95" w:line="219" w:lineRule="auto"/>
              <w:ind w:firstLine="44"/>
              <w:rPr>
                <w:rFonts w:ascii="宋体" w:hAnsi="宋体" w:cs="宋体"/>
                <w:sz w:val="20"/>
                <w:szCs w:val="20"/>
              </w:rPr>
            </w:pPr>
            <w:r>
              <w:rPr>
                <w:rFonts w:ascii="宋体" w:hAnsi="宋体" w:cs="宋体"/>
                <w:spacing w:val="1"/>
                <w:sz w:val="20"/>
                <w:szCs w:val="20"/>
              </w:rPr>
              <w:t>1.属于国家秘密</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104" w:line="245" w:lineRule="auto"/>
              <w:ind w:left="43" w:right="342" w:hanging="9"/>
              <w:rPr>
                <w:rFonts w:ascii="宋体" w:hAnsi="宋体" w:cs="宋体"/>
                <w:sz w:val="20"/>
                <w:szCs w:val="20"/>
              </w:rPr>
            </w:pPr>
            <w:r>
              <w:rPr>
                <w:rFonts w:ascii="宋体" w:hAnsi="宋体" w:cs="宋体"/>
                <w:sz w:val="20"/>
                <w:szCs w:val="20"/>
              </w:rPr>
              <w:t>2.其他法律行政法规</w:t>
            </w:r>
            <w:r>
              <w:rPr>
                <w:rFonts w:ascii="宋体" w:hAnsi="宋体" w:cs="宋体"/>
                <w:spacing w:val="8"/>
                <w:sz w:val="20"/>
                <w:szCs w:val="20"/>
              </w:rPr>
              <w:t xml:space="preserve"> </w:t>
            </w:r>
            <w:r>
              <w:rPr>
                <w:rFonts w:ascii="宋体" w:hAnsi="宋体" w:cs="宋体"/>
                <w:spacing w:val="-2"/>
                <w:sz w:val="20"/>
                <w:szCs w:val="20"/>
              </w:rPr>
              <w:t>禁止公开</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105"/>
              <w:ind w:firstLine="44"/>
              <w:rPr>
                <w:rFonts w:ascii="宋体" w:hAnsi="宋体" w:cs="宋体"/>
                <w:sz w:val="18"/>
                <w:szCs w:val="18"/>
              </w:rPr>
            </w:pPr>
            <w:r>
              <w:rPr>
                <w:rFonts w:hint="eastAsia" w:ascii="宋体" w:hAnsi="宋体" w:cs="宋体"/>
                <w:sz w:val="20"/>
                <w:szCs w:val="20"/>
                <w:lang w:val="en-US" w:eastAsia="zh-CN"/>
              </w:rPr>
              <w:t>3.</w:t>
            </w:r>
            <w:r>
              <w:rPr>
                <w:rFonts w:ascii="宋体" w:hAnsi="宋体" w:cs="宋体"/>
                <w:sz w:val="20"/>
                <w:szCs w:val="20"/>
              </w:rPr>
              <w:t>危及“三安全一稳定”</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105" w:line="219" w:lineRule="auto"/>
              <w:ind w:firstLine="44"/>
              <w:rPr>
                <w:rFonts w:ascii="宋体" w:hAnsi="宋体" w:cs="宋体"/>
                <w:sz w:val="20"/>
                <w:szCs w:val="20"/>
              </w:rPr>
            </w:pPr>
            <w:r>
              <w:rPr>
                <w:rFonts w:ascii="宋体" w:hAnsi="宋体" w:cs="宋体"/>
                <w:sz w:val="20"/>
                <w:szCs w:val="20"/>
              </w:rPr>
              <w:t>4.保护第三方合法权益</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106" w:line="239" w:lineRule="auto"/>
              <w:ind w:left="44" w:right="331"/>
              <w:rPr>
                <w:rFonts w:ascii="宋体" w:hAnsi="宋体" w:cs="宋体"/>
                <w:sz w:val="20"/>
                <w:szCs w:val="20"/>
              </w:rPr>
            </w:pPr>
            <w:r>
              <w:rPr>
                <w:rFonts w:ascii="宋体" w:hAnsi="宋体" w:cs="宋体"/>
                <w:sz w:val="20"/>
                <w:szCs w:val="20"/>
              </w:rPr>
              <w:t>5.属于三类内部事务</w:t>
            </w:r>
            <w:r>
              <w:rPr>
                <w:rFonts w:ascii="宋体" w:hAnsi="宋体" w:cs="宋体"/>
                <w:spacing w:val="9"/>
                <w:sz w:val="20"/>
                <w:szCs w:val="20"/>
              </w:rPr>
              <w:t xml:space="preserve"> </w:t>
            </w:r>
            <w:r>
              <w:rPr>
                <w:rFonts w:ascii="宋体" w:hAnsi="宋体" w:cs="宋体"/>
                <w:spacing w:val="7"/>
                <w:sz w:val="20"/>
                <w:szCs w:val="20"/>
              </w:rPr>
              <w:t>信息</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106" w:line="219" w:lineRule="auto"/>
              <w:ind w:firstLine="44"/>
              <w:rPr>
                <w:rFonts w:ascii="宋体" w:hAnsi="宋体" w:cs="宋体"/>
                <w:sz w:val="20"/>
                <w:szCs w:val="20"/>
              </w:rPr>
            </w:pPr>
            <w:r>
              <w:rPr>
                <w:rFonts w:ascii="宋体" w:hAnsi="宋体" w:cs="宋体"/>
                <w:spacing w:val="1"/>
                <w:sz w:val="20"/>
                <w:szCs w:val="20"/>
              </w:rPr>
              <w:t>6.属于四类过程性信息</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96" w:line="219" w:lineRule="auto"/>
              <w:ind w:firstLine="44"/>
              <w:rPr>
                <w:rFonts w:ascii="宋体" w:hAnsi="宋体" w:cs="宋体"/>
                <w:sz w:val="20"/>
                <w:szCs w:val="20"/>
              </w:rPr>
            </w:pPr>
            <w:r>
              <w:rPr>
                <w:rFonts w:ascii="宋体" w:hAnsi="宋体" w:cs="宋体"/>
                <w:sz w:val="20"/>
                <w:szCs w:val="20"/>
              </w:rPr>
              <w:t>7.属于行政执法案卷</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single" w:color="000000" w:sz="2" w:space="0"/>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106" w:line="220" w:lineRule="auto"/>
              <w:ind w:firstLine="44"/>
              <w:rPr>
                <w:rFonts w:ascii="宋体" w:hAnsi="宋体" w:cs="宋体"/>
                <w:sz w:val="20"/>
                <w:szCs w:val="20"/>
              </w:rPr>
            </w:pPr>
            <w:r>
              <w:rPr>
                <w:rFonts w:ascii="宋体" w:hAnsi="宋体" w:cs="宋体"/>
                <w:spacing w:val="1"/>
                <w:sz w:val="20"/>
                <w:szCs w:val="20"/>
              </w:rPr>
              <w:t>8.属于行政查询事项</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1048" w:type="dxa"/>
            <w:vMerge w:val="continue"/>
            <w:tcBorders>
              <w:top w:val="nil"/>
              <w:bottom w:val="nil"/>
            </w:tcBorders>
            <w:noWrap w:val="0"/>
            <w:vAlign w:val="top"/>
          </w:tcPr>
          <w:p>
            <w:pPr>
              <w:rPr>
                <w:rFonts w:ascii="宋体" w:hAnsi="宋体"/>
              </w:rPr>
            </w:pPr>
          </w:p>
        </w:tc>
        <w:tc>
          <w:tcPr>
            <w:tcW w:w="938" w:type="dxa"/>
            <w:vMerge w:val="restart"/>
            <w:tcBorders>
              <w:top w:val="single" w:color="000000" w:sz="2" w:space="0"/>
              <w:bottom w:val="nil"/>
            </w:tcBorders>
            <w:noWrap w:val="0"/>
            <w:vAlign w:val="top"/>
          </w:tcPr>
          <w:p>
            <w:pPr>
              <w:spacing w:line="327" w:lineRule="auto"/>
              <w:rPr>
                <w:rFonts w:ascii="宋体" w:hAnsi="宋体"/>
              </w:rPr>
            </w:pPr>
          </w:p>
          <w:p>
            <w:pPr>
              <w:spacing w:line="327" w:lineRule="auto"/>
              <w:rPr>
                <w:rFonts w:ascii="宋体" w:hAnsi="宋体"/>
              </w:rPr>
            </w:pPr>
          </w:p>
          <w:p>
            <w:pPr>
              <w:spacing w:before="59" w:line="251" w:lineRule="auto"/>
              <w:ind w:left="93" w:hanging="93"/>
              <w:rPr>
                <w:rFonts w:ascii="宋体" w:hAnsi="宋体" w:cs="宋体"/>
                <w:sz w:val="18"/>
                <w:szCs w:val="18"/>
              </w:rPr>
            </w:pPr>
            <w:r>
              <w:rPr>
                <w:rFonts w:ascii="宋体" w:hAnsi="宋体" w:cs="宋体"/>
                <w:spacing w:val="3"/>
                <w:sz w:val="18"/>
                <w:szCs w:val="18"/>
              </w:rPr>
              <w:t>（四）无法</w:t>
            </w:r>
            <w:r>
              <w:rPr>
                <w:rFonts w:ascii="宋体" w:hAnsi="宋体" w:cs="宋体"/>
                <w:spacing w:val="2"/>
                <w:w w:val="101"/>
                <w:sz w:val="18"/>
                <w:szCs w:val="18"/>
              </w:rPr>
              <w:t xml:space="preserve"> </w:t>
            </w:r>
            <w:r>
              <w:rPr>
                <w:rFonts w:ascii="宋体" w:hAnsi="宋体" w:cs="宋体"/>
                <w:spacing w:val="3"/>
                <w:sz w:val="18"/>
                <w:szCs w:val="18"/>
              </w:rPr>
              <w:t>提供</w:t>
            </w:r>
          </w:p>
        </w:tc>
        <w:tc>
          <w:tcPr>
            <w:tcW w:w="2205" w:type="dxa"/>
            <w:tcBorders>
              <w:top w:val="single" w:color="000000" w:sz="2" w:space="0"/>
              <w:bottom w:val="single" w:color="000000" w:sz="2" w:space="0"/>
            </w:tcBorders>
            <w:noWrap w:val="0"/>
            <w:vAlign w:val="top"/>
          </w:tcPr>
          <w:p>
            <w:pPr>
              <w:spacing w:before="96" w:line="244" w:lineRule="auto"/>
              <w:ind w:left="44" w:right="231"/>
              <w:rPr>
                <w:rFonts w:ascii="宋体" w:hAnsi="宋体" w:cs="宋体"/>
                <w:sz w:val="20"/>
                <w:szCs w:val="20"/>
              </w:rPr>
            </w:pPr>
            <w:r>
              <w:rPr>
                <w:rFonts w:ascii="宋体" w:hAnsi="宋体" w:cs="宋体"/>
                <w:sz w:val="20"/>
                <w:szCs w:val="20"/>
              </w:rPr>
              <w:t>1本机关不掌握相关</w:t>
            </w:r>
            <w:r>
              <w:rPr>
                <w:rFonts w:ascii="宋体" w:hAnsi="宋体" w:cs="宋体"/>
                <w:spacing w:val="9"/>
                <w:sz w:val="20"/>
                <w:szCs w:val="20"/>
              </w:rPr>
              <w:t xml:space="preserve"> </w:t>
            </w:r>
            <w:r>
              <w:rPr>
                <w:rFonts w:ascii="宋体" w:hAnsi="宋体" w:cs="宋体"/>
                <w:spacing w:val="3"/>
                <w:sz w:val="20"/>
                <w:szCs w:val="20"/>
              </w:rPr>
              <w:t>政府信息</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75" w:line="253" w:lineRule="auto"/>
              <w:ind w:left="44" w:right="330"/>
              <w:rPr>
                <w:rFonts w:ascii="宋体" w:hAnsi="宋体" w:cs="宋体"/>
                <w:sz w:val="20"/>
                <w:szCs w:val="20"/>
              </w:rPr>
            </w:pPr>
            <w:r>
              <w:rPr>
                <w:rFonts w:ascii="宋体" w:hAnsi="宋体" w:cs="宋体"/>
                <w:spacing w:val="1"/>
                <w:sz w:val="20"/>
                <w:szCs w:val="20"/>
              </w:rPr>
              <w:t>2.没有现成信息需要</w:t>
            </w:r>
            <w:r>
              <w:rPr>
                <w:rFonts w:ascii="宋体" w:hAnsi="宋体" w:cs="宋体"/>
                <w:spacing w:val="3"/>
                <w:sz w:val="20"/>
                <w:szCs w:val="20"/>
              </w:rPr>
              <w:t>另行制作</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single" w:color="000000" w:sz="2" w:space="0"/>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86" w:line="244" w:lineRule="auto"/>
              <w:ind w:left="44" w:right="330"/>
              <w:rPr>
                <w:rFonts w:ascii="宋体" w:hAnsi="宋体" w:cs="宋体"/>
                <w:sz w:val="20"/>
                <w:szCs w:val="20"/>
              </w:rPr>
            </w:pPr>
            <w:r>
              <w:rPr>
                <w:rFonts w:ascii="宋体" w:hAnsi="宋体" w:cs="宋体"/>
                <w:spacing w:val="1"/>
                <w:sz w:val="20"/>
                <w:szCs w:val="20"/>
              </w:rPr>
              <w:t>3.补正后申请内容仍</w:t>
            </w:r>
            <w:r>
              <w:rPr>
                <w:rFonts w:ascii="宋体" w:hAnsi="宋体" w:cs="宋体"/>
                <w:spacing w:val="5"/>
                <w:sz w:val="20"/>
                <w:szCs w:val="20"/>
              </w:rPr>
              <w:t>不明确</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1048" w:type="dxa"/>
            <w:vMerge w:val="continue"/>
            <w:tcBorders>
              <w:top w:val="nil"/>
              <w:bottom w:val="nil"/>
            </w:tcBorders>
            <w:noWrap w:val="0"/>
            <w:vAlign w:val="top"/>
          </w:tcPr>
          <w:p>
            <w:pPr>
              <w:rPr>
                <w:rFonts w:ascii="宋体" w:hAnsi="宋体"/>
              </w:rPr>
            </w:pPr>
          </w:p>
        </w:tc>
        <w:tc>
          <w:tcPr>
            <w:tcW w:w="938" w:type="dxa"/>
            <w:vMerge w:val="restart"/>
            <w:tcBorders>
              <w:top w:val="single" w:color="000000" w:sz="2" w:space="0"/>
              <w:bottom w:val="nil"/>
            </w:tcBorders>
            <w:noWrap w:val="0"/>
            <w:vAlign w:val="top"/>
          </w:tcPr>
          <w:p>
            <w:pPr>
              <w:spacing w:line="294" w:lineRule="auto"/>
              <w:rPr>
                <w:rFonts w:ascii="宋体" w:hAnsi="宋体"/>
              </w:rPr>
            </w:pPr>
          </w:p>
          <w:p>
            <w:pPr>
              <w:spacing w:line="295" w:lineRule="auto"/>
              <w:rPr>
                <w:rFonts w:ascii="宋体" w:hAnsi="宋体"/>
              </w:rPr>
            </w:pPr>
          </w:p>
          <w:p>
            <w:pPr>
              <w:spacing w:line="295" w:lineRule="auto"/>
              <w:rPr>
                <w:rFonts w:ascii="宋体" w:hAnsi="宋体"/>
              </w:rPr>
            </w:pPr>
          </w:p>
          <w:p>
            <w:pPr>
              <w:spacing w:before="58" w:line="273" w:lineRule="auto"/>
              <w:ind w:left="93" w:hanging="94"/>
              <w:rPr>
                <w:rFonts w:ascii="宋体" w:hAnsi="宋体" w:cs="宋体"/>
                <w:sz w:val="18"/>
                <w:szCs w:val="18"/>
              </w:rPr>
            </w:pPr>
            <w:r>
              <w:rPr>
                <w:rFonts w:ascii="宋体" w:hAnsi="宋体" w:cs="宋体"/>
                <w:spacing w:val="3"/>
                <w:sz w:val="18"/>
                <w:szCs w:val="18"/>
              </w:rPr>
              <w:t>（五）不予</w:t>
            </w:r>
            <w:r>
              <w:rPr>
                <w:rFonts w:ascii="宋体" w:hAnsi="宋体" w:cs="宋体"/>
                <w:spacing w:val="2"/>
                <w:sz w:val="18"/>
                <w:szCs w:val="18"/>
              </w:rPr>
              <w:t xml:space="preserve"> 处理</w:t>
            </w:r>
          </w:p>
        </w:tc>
        <w:tc>
          <w:tcPr>
            <w:tcW w:w="2205" w:type="dxa"/>
            <w:tcBorders>
              <w:top w:val="single" w:color="000000" w:sz="2" w:space="0"/>
              <w:bottom w:val="single" w:color="000000" w:sz="2" w:space="0"/>
            </w:tcBorders>
            <w:noWrap w:val="0"/>
            <w:vAlign w:val="top"/>
          </w:tcPr>
          <w:p>
            <w:pPr>
              <w:spacing w:before="86" w:line="219" w:lineRule="auto"/>
              <w:ind w:firstLine="44"/>
              <w:rPr>
                <w:rFonts w:ascii="宋体" w:hAnsi="宋体" w:cs="宋体"/>
                <w:sz w:val="20"/>
                <w:szCs w:val="20"/>
              </w:rPr>
            </w:pPr>
            <w:r>
              <w:rPr>
                <w:rFonts w:ascii="宋体" w:hAnsi="宋体" w:cs="宋体"/>
                <w:spacing w:val="-1"/>
                <w:sz w:val="20"/>
                <w:szCs w:val="20"/>
              </w:rPr>
              <w:t>1.信访举报投诉类申请</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67" w:line="219" w:lineRule="auto"/>
              <w:ind w:firstLine="44"/>
              <w:rPr>
                <w:rFonts w:ascii="宋体" w:hAnsi="宋体" w:cs="宋体"/>
                <w:sz w:val="20"/>
                <w:szCs w:val="20"/>
              </w:rPr>
            </w:pPr>
            <w:r>
              <w:rPr>
                <w:rFonts w:ascii="宋体" w:hAnsi="宋体" w:cs="宋体"/>
                <w:spacing w:val="1"/>
                <w:sz w:val="20"/>
                <w:szCs w:val="20"/>
              </w:rPr>
              <w:t>2.重复申请</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86" w:line="219" w:lineRule="auto"/>
              <w:ind w:firstLine="44"/>
              <w:rPr>
                <w:rFonts w:ascii="宋体" w:hAnsi="宋体" w:cs="宋体"/>
                <w:sz w:val="20"/>
                <w:szCs w:val="20"/>
              </w:rPr>
            </w:pPr>
            <w:r>
              <w:rPr>
                <w:rFonts w:ascii="宋体" w:hAnsi="宋体" w:cs="宋体"/>
                <w:sz w:val="20"/>
                <w:szCs w:val="20"/>
              </w:rPr>
              <w:t>3.要求提供公开出版物</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77" w:line="239" w:lineRule="auto"/>
              <w:ind w:left="44" w:right="233"/>
              <w:rPr>
                <w:rFonts w:ascii="宋体" w:hAnsi="宋体" w:cs="宋体"/>
                <w:sz w:val="20"/>
                <w:szCs w:val="20"/>
              </w:rPr>
            </w:pPr>
            <w:r>
              <w:rPr>
                <w:rFonts w:ascii="宋体" w:hAnsi="宋体" w:cs="宋体"/>
                <w:sz w:val="20"/>
                <w:szCs w:val="20"/>
              </w:rPr>
              <w:t>4．无正当理由大量反</w:t>
            </w:r>
            <w:r>
              <w:rPr>
                <w:rFonts w:ascii="宋体" w:hAnsi="宋体" w:cs="宋体"/>
                <w:spacing w:val="7"/>
                <w:sz w:val="20"/>
                <w:szCs w:val="20"/>
              </w:rPr>
              <w:t xml:space="preserve"> </w:t>
            </w:r>
            <w:r>
              <w:rPr>
                <w:rFonts w:ascii="宋体" w:hAnsi="宋体" w:cs="宋体"/>
                <w:spacing w:val="3"/>
                <w:sz w:val="20"/>
                <w:szCs w:val="20"/>
              </w:rPr>
              <w:t>复申请</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single" w:color="000000" w:sz="2" w:space="0"/>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47" w:line="234" w:lineRule="auto"/>
              <w:ind w:left="44" w:right="126"/>
              <w:rPr>
                <w:rFonts w:ascii="宋体" w:hAnsi="宋体" w:cs="宋体"/>
                <w:sz w:val="20"/>
                <w:szCs w:val="20"/>
              </w:rPr>
            </w:pPr>
            <w:r>
              <w:rPr>
                <w:rFonts w:ascii="宋体" w:hAnsi="宋体" w:cs="宋体"/>
                <w:spacing w:val="1"/>
                <w:sz w:val="20"/>
                <w:szCs w:val="20"/>
              </w:rPr>
              <w:t>5.要求行政机关确认</w:t>
            </w:r>
            <w:r>
              <w:rPr>
                <w:rFonts w:ascii="宋体" w:hAnsi="宋体" w:cs="宋体"/>
                <w:sz w:val="20"/>
                <w:szCs w:val="20"/>
              </w:rPr>
              <w:t xml:space="preserve">   </w:t>
            </w:r>
            <w:r>
              <w:rPr>
                <w:rFonts w:ascii="宋体" w:hAnsi="宋体" w:cs="宋体"/>
                <w:spacing w:val="1"/>
                <w:sz w:val="20"/>
                <w:szCs w:val="20"/>
              </w:rPr>
              <w:t>或重新出具已获取信息</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4" w:hRule="atLeast"/>
        </w:trPr>
        <w:tc>
          <w:tcPr>
            <w:tcW w:w="1048" w:type="dxa"/>
            <w:vMerge w:val="continue"/>
            <w:tcBorders>
              <w:top w:val="nil"/>
              <w:bottom w:val="nil"/>
            </w:tcBorders>
            <w:noWrap w:val="0"/>
            <w:vAlign w:val="top"/>
          </w:tcPr>
          <w:p>
            <w:pPr>
              <w:rPr>
                <w:rFonts w:ascii="宋体" w:hAnsi="宋体"/>
              </w:rPr>
            </w:pPr>
          </w:p>
        </w:tc>
        <w:tc>
          <w:tcPr>
            <w:tcW w:w="938" w:type="dxa"/>
            <w:vMerge w:val="restart"/>
            <w:tcBorders>
              <w:top w:val="single" w:color="000000" w:sz="2" w:space="0"/>
              <w:bottom w:val="nil"/>
            </w:tcBorders>
            <w:noWrap w:val="0"/>
            <w:vAlign w:val="top"/>
          </w:tcPr>
          <w:p>
            <w:pPr>
              <w:rPr>
                <w:rFonts w:ascii="宋体" w:hAnsi="宋体"/>
              </w:rPr>
            </w:pPr>
          </w:p>
          <w:p>
            <w:pPr>
              <w:rPr>
                <w:rFonts w:ascii="宋体" w:hAnsi="宋体"/>
              </w:rPr>
            </w:pPr>
          </w:p>
          <w:p>
            <w:pPr>
              <w:spacing w:line="241" w:lineRule="auto"/>
              <w:rPr>
                <w:rFonts w:ascii="宋体" w:hAnsi="宋体"/>
              </w:rPr>
            </w:pPr>
          </w:p>
          <w:p>
            <w:pPr>
              <w:spacing w:line="241" w:lineRule="auto"/>
              <w:rPr>
                <w:rFonts w:ascii="宋体" w:hAnsi="宋体"/>
              </w:rPr>
            </w:pPr>
          </w:p>
          <w:p>
            <w:pPr>
              <w:spacing w:before="59" w:line="293" w:lineRule="auto"/>
              <w:ind w:left="93" w:hanging="93"/>
              <w:rPr>
                <w:rFonts w:ascii="宋体" w:hAnsi="宋体" w:cs="宋体"/>
                <w:sz w:val="18"/>
                <w:szCs w:val="18"/>
              </w:rPr>
            </w:pPr>
            <w:r>
              <w:rPr>
                <w:rFonts w:ascii="宋体" w:hAnsi="宋体" w:cs="宋体"/>
                <w:spacing w:val="3"/>
                <w:sz w:val="18"/>
                <w:szCs w:val="18"/>
              </w:rPr>
              <w:t>（六）其他</w:t>
            </w:r>
            <w:r>
              <w:rPr>
                <w:rFonts w:ascii="宋体" w:hAnsi="宋体" w:cs="宋体"/>
                <w:spacing w:val="2"/>
                <w:w w:val="101"/>
                <w:sz w:val="18"/>
                <w:szCs w:val="18"/>
              </w:rPr>
              <w:t xml:space="preserve"> </w:t>
            </w:r>
            <w:r>
              <w:rPr>
                <w:rFonts w:ascii="宋体" w:hAnsi="宋体" w:cs="宋体"/>
                <w:spacing w:val="2"/>
                <w:sz w:val="18"/>
                <w:szCs w:val="18"/>
              </w:rPr>
              <w:t>处理</w:t>
            </w:r>
          </w:p>
        </w:tc>
        <w:tc>
          <w:tcPr>
            <w:tcW w:w="2205" w:type="dxa"/>
            <w:tcBorders>
              <w:top w:val="single" w:color="000000" w:sz="2" w:space="0"/>
              <w:bottom w:val="single" w:color="000000" w:sz="2" w:space="0"/>
            </w:tcBorders>
            <w:noWrap w:val="0"/>
            <w:vAlign w:val="top"/>
          </w:tcPr>
          <w:p>
            <w:pPr>
              <w:spacing w:before="35" w:line="228" w:lineRule="auto"/>
              <w:ind w:left="44" w:right="117"/>
              <w:rPr>
                <w:rFonts w:ascii="宋体" w:hAnsi="宋体" w:cs="宋体"/>
                <w:sz w:val="20"/>
                <w:szCs w:val="20"/>
              </w:rPr>
            </w:pPr>
            <w:r>
              <w:rPr>
                <w:rFonts w:ascii="宋体" w:hAnsi="宋体" w:cs="宋体"/>
                <w:spacing w:val="-3"/>
                <w:sz w:val="20"/>
                <w:szCs w:val="20"/>
              </w:rPr>
              <w:t>1．申请人无正当理由</w:t>
            </w:r>
            <w:r>
              <w:rPr>
                <w:rFonts w:ascii="宋体" w:hAnsi="宋体" w:cs="宋体"/>
                <w:sz w:val="20"/>
                <w:szCs w:val="20"/>
              </w:rPr>
              <w:t xml:space="preserve"> 逾期不补正、行政机关</w:t>
            </w:r>
            <w:r>
              <w:rPr>
                <w:rFonts w:ascii="宋体" w:hAnsi="宋体" w:cs="宋体"/>
                <w:spacing w:val="3"/>
                <w:sz w:val="20"/>
                <w:szCs w:val="20"/>
              </w:rPr>
              <w:t xml:space="preserve"> </w:t>
            </w:r>
            <w:r>
              <w:rPr>
                <w:rFonts w:ascii="宋体" w:hAnsi="宋体" w:cs="宋体"/>
                <w:spacing w:val="1"/>
                <w:sz w:val="20"/>
                <w:szCs w:val="20"/>
              </w:rPr>
              <w:t xml:space="preserve">不再处理其政府信息公 </w:t>
            </w:r>
            <w:r>
              <w:rPr>
                <w:rFonts w:ascii="宋体" w:hAnsi="宋体" w:cs="宋体"/>
                <w:spacing w:val="-2"/>
                <w:sz w:val="20"/>
                <w:szCs w:val="20"/>
              </w:rPr>
              <w:t>开申请</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4"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nil"/>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60" w:line="227" w:lineRule="auto"/>
              <w:ind w:left="44" w:right="41"/>
              <w:rPr>
                <w:rFonts w:ascii="宋体" w:hAnsi="宋体" w:cs="宋体"/>
                <w:sz w:val="20"/>
                <w:szCs w:val="20"/>
              </w:rPr>
            </w:pPr>
            <w:r>
              <w:rPr>
                <w:rFonts w:ascii="宋体" w:hAnsi="宋体" w:cs="宋体"/>
                <w:sz w:val="20"/>
                <w:szCs w:val="20"/>
              </w:rPr>
              <w:t>2.申请人逾期未按收</w:t>
            </w:r>
            <w:r>
              <w:rPr>
                <w:rFonts w:ascii="宋体" w:hAnsi="宋体" w:cs="宋体"/>
                <w:spacing w:val="1"/>
                <w:sz w:val="20"/>
                <w:szCs w:val="20"/>
              </w:rPr>
              <w:t xml:space="preserve">    </w:t>
            </w:r>
            <w:r>
              <w:rPr>
                <w:rFonts w:ascii="宋体" w:hAnsi="宋体" w:cs="宋体"/>
                <w:spacing w:val="9"/>
                <w:sz w:val="20"/>
                <w:szCs w:val="20"/>
              </w:rPr>
              <w:t xml:space="preserve">费通知要求缴纳费用、 </w:t>
            </w:r>
            <w:r>
              <w:rPr>
                <w:rFonts w:ascii="宋体" w:hAnsi="宋体" w:cs="宋体"/>
                <w:spacing w:val="-2"/>
                <w:sz w:val="20"/>
                <w:szCs w:val="20"/>
              </w:rPr>
              <w:t>行政机关不再处理其政</w:t>
            </w:r>
            <w:r>
              <w:rPr>
                <w:rFonts w:ascii="宋体" w:hAnsi="宋体" w:cs="宋体"/>
                <w:spacing w:val="4"/>
                <w:sz w:val="20"/>
                <w:szCs w:val="20"/>
              </w:rPr>
              <w:t xml:space="preserve">  </w:t>
            </w:r>
            <w:r>
              <w:rPr>
                <w:rFonts w:ascii="宋体" w:hAnsi="宋体" w:cs="宋体"/>
                <w:spacing w:val="-1"/>
                <w:sz w:val="20"/>
                <w:szCs w:val="20"/>
              </w:rPr>
              <w:t>府信息公开申请</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1048" w:type="dxa"/>
            <w:vMerge w:val="continue"/>
            <w:tcBorders>
              <w:top w:val="nil"/>
              <w:bottom w:val="nil"/>
            </w:tcBorders>
            <w:noWrap w:val="0"/>
            <w:vAlign w:val="top"/>
          </w:tcPr>
          <w:p>
            <w:pPr>
              <w:rPr>
                <w:rFonts w:ascii="宋体" w:hAnsi="宋体"/>
              </w:rPr>
            </w:pPr>
          </w:p>
        </w:tc>
        <w:tc>
          <w:tcPr>
            <w:tcW w:w="938" w:type="dxa"/>
            <w:vMerge w:val="continue"/>
            <w:tcBorders>
              <w:top w:val="nil"/>
              <w:bottom w:val="single" w:color="000000" w:sz="2" w:space="0"/>
            </w:tcBorders>
            <w:noWrap w:val="0"/>
            <w:vAlign w:val="top"/>
          </w:tcPr>
          <w:p>
            <w:pPr>
              <w:rPr>
                <w:rFonts w:ascii="宋体" w:hAnsi="宋体"/>
              </w:rPr>
            </w:pPr>
          </w:p>
        </w:tc>
        <w:tc>
          <w:tcPr>
            <w:tcW w:w="2205" w:type="dxa"/>
            <w:tcBorders>
              <w:top w:val="single" w:color="000000" w:sz="2" w:space="0"/>
              <w:bottom w:val="single" w:color="000000" w:sz="2" w:space="0"/>
            </w:tcBorders>
            <w:noWrap w:val="0"/>
            <w:vAlign w:val="top"/>
          </w:tcPr>
          <w:p>
            <w:pPr>
              <w:spacing w:before="109" w:line="220" w:lineRule="auto"/>
              <w:ind w:firstLine="44"/>
              <w:rPr>
                <w:rFonts w:ascii="宋体" w:hAnsi="宋体" w:cs="宋体"/>
                <w:sz w:val="20"/>
                <w:szCs w:val="20"/>
              </w:rPr>
            </w:pPr>
            <w:r>
              <w:rPr>
                <w:rFonts w:ascii="宋体" w:hAnsi="宋体" w:cs="宋体"/>
                <w:spacing w:val="1"/>
                <w:sz w:val="20"/>
                <w:szCs w:val="20"/>
              </w:rPr>
              <w:t>3.其他</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1048" w:type="dxa"/>
            <w:vMerge w:val="continue"/>
            <w:tcBorders>
              <w:top w:val="nil"/>
              <w:bottom w:val="single" w:color="000000" w:sz="2" w:space="0"/>
            </w:tcBorders>
            <w:noWrap w:val="0"/>
            <w:vAlign w:val="top"/>
          </w:tcPr>
          <w:p>
            <w:pPr>
              <w:rPr>
                <w:rFonts w:ascii="宋体" w:hAnsi="宋体"/>
              </w:rPr>
            </w:pPr>
          </w:p>
        </w:tc>
        <w:tc>
          <w:tcPr>
            <w:tcW w:w="3143" w:type="dxa"/>
            <w:gridSpan w:val="2"/>
            <w:tcBorders>
              <w:top w:val="single" w:color="000000" w:sz="2" w:space="0"/>
              <w:bottom w:val="single" w:color="000000" w:sz="2" w:space="0"/>
            </w:tcBorders>
            <w:noWrap w:val="0"/>
            <w:vAlign w:val="top"/>
          </w:tcPr>
          <w:p>
            <w:pPr>
              <w:spacing w:before="99" w:line="241" w:lineRule="auto"/>
              <w:rPr>
                <w:rFonts w:ascii="宋体" w:hAnsi="宋体" w:cs="宋体"/>
                <w:sz w:val="18"/>
                <w:szCs w:val="18"/>
              </w:rPr>
            </w:pPr>
            <w:r>
              <w:rPr>
                <w:rFonts w:ascii="宋体" w:hAnsi="宋体" w:cs="宋体"/>
                <w:spacing w:val="19"/>
                <w:w w:val="103"/>
                <w:sz w:val="18"/>
                <w:szCs w:val="18"/>
              </w:rPr>
              <w:t>（七）总计</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4191" w:type="dxa"/>
            <w:gridSpan w:val="3"/>
            <w:tcBorders>
              <w:top w:val="single" w:color="000000" w:sz="2" w:space="0"/>
              <w:bottom w:val="single" w:color="000000" w:sz="2" w:space="0"/>
            </w:tcBorders>
            <w:noWrap w:val="0"/>
            <w:vAlign w:val="top"/>
          </w:tcPr>
          <w:p>
            <w:pPr>
              <w:spacing w:before="50" w:line="219" w:lineRule="auto"/>
              <w:ind w:firstLine="69"/>
              <w:rPr>
                <w:rFonts w:ascii="宋体" w:hAnsi="宋体" w:cs="宋体"/>
                <w:sz w:val="20"/>
                <w:szCs w:val="20"/>
              </w:rPr>
            </w:pPr>
            <w:r>
              <w:rPr>
                <w:rFonts w:ascii="宋体" w:hAnsi="宋体" w:cs="宋体"/>
                <w:sz w:val="20"/>
                <w:szCs w:val="20"/>
              </w:rPr>
              <w:t>四、结转下年度继续办理</w:t>
            </w:r>
          </w:p>
        </w:tc>
        <w:tc>
          <w:tcPr>
            <w:tcW w:w="8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2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3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66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bl>
    <w:p>
      <w:pPr>
        <w:rPr>
          <w:rFonts w:ascii="宋体" w:hAnsi="宋体"/>
        </w:rPr>
        <w:sectPr>
          <w:footerReference r:id="rId4" w:type="default"/>
          <w:pgSz w:w="11900" w:h="16840"/>
          <w:pgMar w:top="1431" w:right="1549" w:bottom="2027" w:left="1460" w:header="0" w:footer="1897" w:gutter="0"/>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sz w:val="32"/>
          <w:szCs w:val="32"/>
        </w:rPr>
      </w:pPr>
      <w:r>
        <w:rPr>
          <w:rFonts w:hint="eastAsia" w:ascii="宋体" w:hAnsi="宋体" w:eastAsia="黑体" w:cs="黑体"/>
          <w:sz w:val="32"/>
          <w:szCs w:val="32"/>
        </w:rPr>
        <w:t>四、政府信息公开行政复议、行政诉讼情况</w:t>
      </w:r>
    </w:p>
    <w:p>
      <w:pPr>
        <w:spacing w:line="191" w:lineRule="exact"/>
        <w:rPr>
          <w:rFonts w:ascii="宋体" w:hAnsi="宋体"/>
        </w:rPr>
      </w:pPr>
    </w:p>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8"/>
        <w:gridCol w:w="579"/>
        <w:gridCol w:w="579"/>
        <w:gridCol w:w="569"/>
        <w:gridCol w:w="579"/>
        <w:gridCol w:w="588"/>
        <w:gridCol w:w="579"/>
        <w:gridCol w:w="578"/>
        <w:gridCol w:w="579"/>
        <w:gridCol w:w="569"/>
        <w:gridCol w:w="579"/>
        <w:gridCol w:w="579"/>
        <w:gridCol w:w="579"/>
        <w:gridCol w:w="588"/>
        <w:gridCol w:w="7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2934" w:type="dxa"/>
            <w:gridSpan w:val="5"/>
            <w:tcBorders>
              <w:top w:val="single" w:color="000000" w:sz="2" w:space="0"/>
              <w:bottom w:val="single" w:color="000000" w:sz="2" w:space="0"/>
            </w:tcBorders>
            <w:noWrap w:val="0"/>
            <w:vAlign w:val="top"/>
          </w:tcPr>
          <w:p>
            <w:pPr>
              <w:spacing w:before="105" w:line="220" w:lineRule="auto"/>
              <w:ind w:firstLine="1050"/>
              <w:rPr>
                <w:rFonts w:ascii="宋体" w:hAnsi="宋体" w:cs="宋体"/>
                <w:sz w:val="20"/>
                <w:szCs w:val="20"/>
              </w:rPr>
            </w:pPr>
            <w:r>
              <w:rPr>
                <w:rFonts w:ascii="宋体" w:hAnsi="宋体" w:cs="宋体"/>
                <w:spacing w:val="2"/>
                <w:sz w:val="20"/>
                <w:szCs w:val="20"/>
              </w:rPr>
              <w:t>行政复议</w:t>
            </w:r>
          </w:p>
        </w:tc>
        <w:tc>
          <w:tcPr>
            <w:tcW w:w="5946" w:type="dxa"/>
            <w:gridSpan w:val="10"/>
            <w:tcBorders>
              <w:top w:val="single" w:color="000000" w:sz="2" w:space="0"/>
              <w:bottom w:val="single" w:color="000000" w:sz="2" w:space="0"/>
            </w:tcBorders>
            <w:noWrap w:val="0"/>
            <w:vAlign w:val="top"/>
          </w:tcPr>
          <w:p>
            <w:pPr>
              <w:spacing w:before="105" w:line="220" w:lineRule="auto"/>
              <w:ind w:firstLine="2556"/>
              <w:rPr>
                <w:rFonts w:ascii="宋体" w:hAnsi="宋体" w:cs="宋体"/>
                <w:sz w:val="20"/>
                <w:szCs w:val="20"/>
              </w:rPr>
            </w:pPr>
            <w:r>
              <w:rPr>
                <w:rFonts w:ascii="宋体" w:hAnsi="宋体" w:cs="宋体"/>
                <w:spacing w:val="-3"/>
                <w:sz w:val="20"/>
                <w:szCs w:val="20"/>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628" w:type="dxa"/>
            <w:vMerge w:val="restart"/>
            <w:tcBorders>
              <w:top w:val="single" w:color="000000" w:sz="2" w:space="0"/>
              <w:bottom w:val="nil"/>
            </w:tcBorders>
            <w:noWrap w:val="0"/>
            <w:vAlign w:val="top"/>
          </w:tcPr>
          <w:p>
            <w:pPr>
              <w:spacing w:line="339" w:lineRule="auto"/>
              <w:jc w:val="center"/>
              <w:rPr>
                <w:rFonts w:ascii="宋体" w:hAnsi="宋体"/>
              </w:rPr>
            </w:pPr>
          </w:p>
          <w:p>
            <w:pPr>
              <w:spacing w:before="65" w:line="263" w:lineRule="auto"/>
              <w:ind w:left="80" w:right="116"/>
              <w:jc w:val="center"/>
              <w:rPr>
                <w:rFonts w:ascii="宋体" w:hAnsi="宋体" w:cs="宋体"/>
                <w:spacing w:val="-3"/>
                <w:sz w:val="20"/>
                <w:szCs w:val="20"/>
              </w:rPr>
            </w:pPr>
            <w:r>
              <w:rPr>
                <w:rFonts w:ascii="宋体" w:hAnsi="宋体" w:cs="宋体"/>
                <w:spacing w:val="5"/>
                <w:sz w:val="20"/>
                <w:szCs w:val="20"/>
              </w:rPr>
              <w:t>结果</w:t>
            </w:r>
            <w:r>
              <w:rPr>
                <w:rFonts w:ascii="宋体" w:hAnsi="宋体" w:cs="宋体"/>
                <w:spacing w:val="1"/>
                <w:sz w:val="20"/>
                <w:szCs w:val="20"/>
              </w:rPr>
              <w:t xml:space="preserve"> </w:t>
            </w:r>
            <w:r>
              <w:rPr>
                <w:rFonts w:ascii="宋体" w:hAnsi="宋体" w:cs="宋体"/>
                <w:spacing w:val="-3"/>
                <w:sz w:val="20"/>
                <w:szCs w:val="20"/>
              </w:rPr>
              <w:t>维</w:t>
            </w:r>
          </w:p>
          <w:p>
            <w:pPr>
              <w:spacing w:before="65" w:line="263" w:lineRule="auto"/>
              <w:ind w:left="80" w:right="116"/>
              <w:jc w:val="center"/>
              <w:rPr>
                <w:rFonts w:ascii="宋体" w:hAnsi="宋体" w:cs="宋体"/>
                <w:sz w:val="20"/>
                <w:szCs w:val="20"/>
              </w:rPr>
            </w:pPr>
            <w:r>
              <w:rPr>
                <w:rFonts w:ascii="宋体" w:hAnsi="宋体" w:cs="宋体"/>
                <w:spacing w:val="-3"/>
                <w:sz w:val="20"/>
                <w:szCs w:val="20"/>
              </w:rPr>
              <w:t>持</w:t>
            </w:r>
          </w:p>
        </w:tc>
        <w:tc>
          <w:tcPr>
            <w:tcW w:w="579" w:type="dxa"/>
            <w:vMerge w:val="restart"/>
            <w:tcBorders>
              <w:top w:val="single" w:color="000000" w:sz="2" w:space="0"/>
              <w:bottom w:val="nil"/>
            </w:tcBorders>
            <w:noWrap w:val="0"/>
            <w:vAlign w:val="top"/>
          </w:tcPr>
          <w:p>
            <w:pPr>
              <w:spacing w:line="339" w:lineRule="auto"/>
              <w:jc w:val="center"/>
              <w:rPr>
                <w:rFonts w:ascii="宋体" w:hAnsi="宋体"/>
              </w:rPr>
            </w:pPr>
          </w:p>
          <w:p>
            <w:pPr>
              <w:spacing w:before="65" w:line="255" w:lineRule="auto"/>
              <w:ind w:left="72" w:right="75"/>
              <w:jc w:val="center"/>
              <w:rPr>
                <w:rFonts w:ascii="宋体" w:hAnsi="宋体" w:cs="宋体"/>
                <w:sz w:val="20"/>
                <w:szCs w:val="20"/>
              </w:rPr>
            </w:pPr>
            <w:r>
              <w:rPr>
                <w:rFonts w:ascii="宋体" w:hAnsi="宋体" w:cs="宋体"/>
                <w:spacing w:val="5"/>
                <w:sz w:val="20"/>
                <w:szCs w:val="20"/>
              </w:rPr>
              <w:t>结果</w:t>
            </w:r>
            <w:r>
              <w:rPr>
                <w:rFonts w:ascii="宋体" w:hAnsi="宋体" w:cs="宋体"/>
                <w:spacing w:val="1"/>
                <w:sz w:val="20"/>
                <w:szCs w:val="20"/>
              </w:rPr>
              <w:t xml:space="preserve"> </w:t>
            </w:r>
            <w:r>
              <w:rPr>
                <w:rFonts w:ascii="宋体" w:hAnsi="宋体" w:cs="宋体"/>
                <w:spacing w:val="5"/>
                <w:sz w:val="20"/>
                <w:szCs w:val="20"/>
              </w:rPr>
              <w:t>纠正</w:t>
            </w:r>
          </w:p>
        </w:tc>
        <w:tc>
          <w:tcPr>
            <w:tcW w:w="579" w:type="dxa"/>
            <w:vMerge w:val="restart"/>
            <w:tcBorders>
              <w:top w:val="single" w:color="000000" w:sz="2" w:space="0"/>
              <w:bottom w:val="nil"/>
            </w:tcBorders>
            <w:noWrap w:val="0"/>
            <w:vAlign w:val="top"/>
          </w:tcPr>
          <w:p>
            <w:pPr>
              <w:spacing w:before="65" w:line="263" w:lineRule="auto"/>
              <w:ind w:left="80" w:right="116"/>
              <w:jc w:val="center"/>
              <w:rPr>
                <w:rFonts w:ascii="宋体" w:hAnsi="宋体" w:cs="宋体"/>
                <w:spacing w:val="5"/>
                <w:sz w:val="20"/>
                <w:szCs w:val="20"/>
              </w:rPr>
            </w:pPr>
          </w:p>
          <w:p>
            <w:pPr>
              <w:spacing w:before="65" w:line="263" w:lineRule="auto"/>
              <w:ind w:left="80" w:right="116"/>
              <w:jc w:val="center"/>
              <w:rPr>
                <w:rFonts w:ascii="宋体" w:hAnsi="宋体" w:cs="宋体"/>
                <w:spacing w:val="5"/>
                <w:sz w:val="20"/>
                <w:szCs w:val="20"/>
              </w:rPr>
            </w:pPr>
            <w:r>
              <w:rPr>
                <w:rFonts w:ascii="宋体" w:hAnsi="宋体" w:cs="宋体"/>
                <w:spacing w:val="5"/>
                <w:sz w:val="20"/>
                <w:szCs w:val="20"/>
              </w:rPr>
              <w:t>其</w:t>
            </w:r>
          </w:p>
          <w:p>
            <w:pPr>
              <w:spacing w:before="65" w:line="263" w:lineRule="auto"/>
              <w:ind w:left="80" w:right="116"/>
              <w:jc w:val="center"/>
              <w:rPr>
                <w:rFonts w:ascii="宋体" w:hAnsi="宋体" w:cs="宋体"/>
                <w:spacing w:val="5"/>
                <w:sz w:val="20"/>
                <w:szCs w:val="20"/>
              </w:rPr>
            </w:pPr>
            <w:r>
              <w:rPr>
                <w:rFonts w:ascii="宋体" w:hAnsi="宋体" w:cs="宋体"/>
                <w:spacing w:val="5"/>
                <w:sz w:val="20"/>
                <w:szCs w:val="20"/>
              </w:rPr>
              <w:t>他 结果</w:t>
            </w:r>
          </w:p>
        </w:tc>
        <w:tc>
          <w:tcPr>
            <w:tcW w:w="569" w:type="dxa"/>
            <w:vMerge w:val="restart"/>
            <w:tcBorders>
              <w:top w:val="single" w:color="000000" w:sz="2" w:space="0"/>
              <w:bottom w:val="nil"/>
            </w:tcBorders>
            <w:noWrap w:val="0"/>
            <w:vAlign w:val="top"/>
          </w:tcPr>
          <w:p>
            <w:pPr>
              <w:spacing w:before="65" w:line="263" w:lineRule="auto"/>
              <w:ind w:left="80" w:right="116"/>
              <w:jc w:val="center"/>
              <w:rPr>
                <w:rFonts w:ascii="宋体" w:hAnsi="宋体" w:cs="宋体"/>
                <w:spacing w:val="5"/>
                <w:sz w:val="20"/>
                <w:szCs w:val="20"/>
              </w:rPr>
            </w:pPr>
          </w:p>
          <w:p>
            <w:pPr>
              <w:spacing w:before="65" w:line="263" w:lineRule="auto"/>
              <w:ind w:left="80" w:right="116"/>
              <w:jc w:val="center"/>
              <w:rPr>
                <w:rFonts w:ascii="宋体" w:hAnsi="宋体" w:cs="宋体"/>
                <w:spacing w:val="5"/>
                <w:sz w:val="20"/>
                <w:szCs w:val="20"/>
              </w:rPr>
            </w:pPr>
            <w:r>
              <w:rPr>
                <w:rFonts w:ascii="宋体" w:hAnsi="宋体" w:cs="宋体"/>
                <w:spacing w:val="5"/>
                <w:sz w:val="20"/>
                <w:szCs w:val="20"/>
              </w:rPr>
              <w:t>尚未 审结</w:t>
            </w:r>
          </w:p>
        </w:tc>
        <w:tc>
          <w:tcPr>
            <w:tcW w:w="579" w:type="dxa"/>
            <w:vMerge w:val="restart"/>
            <w:tcBorders>
              <w:top w:val="single" w:color="000000" w:sz="2" w:space="0"/>
              <w:bottom w:val="nil"/>
            </w:tcBorders>
            <w:noWrap w:val="0"/>
            <w:vAlign w:val="top"/>
          </w:tcPr>
          <w:p>
            <w:pPr>
              <w:spacing w:before="65" w:line="263" w:lineRule="auto"/>
              <w:ind w:left="80" w:right="116"/>
              <w:jc w:val="center"/>
              <w:rPr>
                <w:rFonts w:ascii="宋体" w:hAnsi="宋体" w:cs="宋体"/>
                <w:spacing w:val="5"/>
                <w:sz w:val="20"/>
                <w:szCs w:val="20"/>
              </w:rPr>
            </w:pPr>
          </w:p>
          <w:p>
            <w:pPr>
              <w:spacing w:before="65" w:line="263" w:lineRule="auto"/>
              <w:ind w:left="80" w:right="116"/>
              <w:jc w:val="center"/>
              <w:rPr>
                <w:rFonts w:ascii="宋体" w:hAnsi="宋体" w:cs="宋体"/>
                <w:spacing w:val="5"/>
                <w:sz w:val="20"/>
                <w:szCs w:val="20"/>
              </w:rPr>
            </w:pPr>
            <w:r>
              <w:rPr>
                <w:rFonts w:ascii="宋体" w:hAnsi="宋体" w:cs="宋体"/>
                <w:spacing w:val="5"/>
                <w:sz w:val="20"/>
                <w:szCs w:val="20"/>
              </w:rPr>
              <w:t>总计</w:t>
            </w:r>
          </w:p>
        </w:tc>
        <w:tc>
          <w:tcPr>
            <w:tcW w:w="2893" w:type="dxa"/>
            <w:gridSpan w:val="5"/>
            <w:tcBorders>
              <w:top w:val="single" w:color="000000" w:sz="2" w:space="0"/>
              <w:bottom w:val="single" w:color="000000" w:sz="2" w:space="0"/>
            </w:tcBorders>
            <w:noWrap w:val="0"/>
            <w:vAlign w:val="top"/>
          </w:tcPr>
          <w:p>
            <w:pPr>
              <w:spacing w:before="106" w:line="220" w:lineRule="auto"/>
              <w:ind w:firstLine="635"/>
              <w:rPr>
                <w:rFonts w:ascii="宋体" w:hAnsi="宋体" w:cs="宋体"/>
                <w:sz w:val="20"/>
                <w:szCs w:val="20"/>
              </w:rPr>
            </w:pPr>
            <w:r>
              <w:rPr>
                <w:rFonts w:ascii="宋体" w:hAnsi="宋体" w:cs="宋体"/>
                <w:spacing w:val="-2"/>
                <w:sz w:val="20"/>
                <w:szCs w:val="20"/>
              </w:rPr>
              <w:t>未经复议直接起诉</w:t>
            </w:r>
          </w:p>
        </w:tc>
        <w:tc>
          <w:tcPr>
            <w:tcW w:w="3053" w:type="dxa"/>
            <w:gridSpan w:val="5"/>
            <w:tcBorders>
              <w:top w:val="single" w:color="000000" w:sz="2" w:space="0"/>
              <w:bottom w:val="single" w:color="000000" w:sz="2" w:space="0"/>
            </w:tcBorders>
            <w:noWrap w:val="0"/>
            <w:vAlign w:val="top"/>
          </w:tcPr>
          <w:p>
            <w:pPr>
              <w:spacing w:before="106" w:line="220" w:lineRule="auto"/>
              <w:ind w:firstLine="1012"/>
              <w:rPr>
                <w:rFonts w:ascii="宋体" w:hAnsi="宋体" w:cs="宋体"/>
                <w:sz w:val="20"/>
                <w:szCs w:val="20"/>
              </w:rPr>
            </w:pPr>
            <w:r>
              <w:rPr>
                <w:rFonts w:ascii="宋体" w:hAnsi="宋体" w:cs="宋体"/>
                <w:spacing w:val="1"/>
                <w:sz w:val="20"/>
                <w:szCs w:val="20"/>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4" w:hRule="atLeast"/>
        </w:trPr>
        <w:tc>
          <w:tcPr>
            <w:tcW w:w="628" w:type="dxa"/>
            <w:vMerge w:val="continue"/>
            <w:tcBorders>
              <w:top w:val="nil"/>
              <w:bottom w:val="single" w:color="000000" w:sz="2" w:space="0"/>
            </w:tcBorders>
            <w:noWrap w:val="0"/>
            <w:vAlign w:val="top"/>
          </w:tcPr>
          <w:p>
            <w:pPr>
              <w:rPr>
                <w:rFonts w:ascii="宋体" w:hAnsi="宋体"/>
              </w:rPr>
            </w:pPr>
          </w:p>
        </w:tc>
        <w:tc>
          <w:tcPr>
            <w:tcW w:w="579" w:type="dxa"/>
            <w:vMerge w:val="continue"/>
            <w:tcBorders>
              <w:top w:val="nil"/>
              <w:bottom w:val="single" w:color="000000" w:sz="2" w:space="0"/>
            </w:tcBorders>
            <w:noWrap w:val="0"/>
            <w:vAlign w:val="top"/>
          </w:tcPr>
          <w:p>
            <w:pPr>
              <w:rPr>
                <w:rFonts w:ascii="宋体" w:hAnsi="宋体"/>
              </w:rPr>
            </w:pPr>
          </w:p>
        </w:tc>
        <w:tc>
          <w:tcPr>
            <w:tcW w:w="579" w:type="dxa"/>
            <w:vMerge w:val="continue"/>
            <w:tcBorders>
              <w:top w:val="nil"/>
              <w:bottom w:val="single" w:color="000000" w:sz="2" w:space="0"/>
            </w:tcBorders>
            <w:noWrap w:val="0"/>
            <w:vAlign w:val="top"/>
          </w:tcPr>
          <w:p>
            <w:pPr>
              <w:rPr>
                <w:rFonts w:ascii="宋体" w:hAnsi="宋体"/>
              </w:rPr>
            </w:pPr>
          </w:p>
        </w:tc>
        <w:tc>
          <w:tcPr>
            <w:tcW w:w="569" w:type="dxa"/>
            <w:vMerge w:val="continue"/>
            <w:tcBorders>
              <w:top w:val="nil"/>
              <w:bottom w:val="single" w:color="000000" w:sz="2" w:space="0"/>
            </w:tcBorders>
            <w:noWrap w:val="0"/>
            <w:vAlign w:val="top"/>
          </w:tcPr>
          <w:p>
            <w:pPr>
              <w:rPr>
                <w:rFonts w:ascii="宋体" w:hAnsi="宋体"/>
              </w:rPr>
            </w:pPr>
          </w:p>
        </w:tc>
        <w:tc>
          <w:tcPr>
            <w:tcW w:w="579" w:type="dxa"/>
            <w:vMerge w:val="continue"/>
            <w:tcBorders>
              <w:top w:val="nil"/>
              <w:bottom w:val="single" w:color="000000" w:sz="2" w:space="0"/>
            </w:tcBorders>
            <w:noWrap w:val="0"/>
            <w:vAlign w:val="top"/>
          </w:tcPr>
          <w:p>
            <w:pPr>
              <w:rPr>
                <w:rFonts w:ascii="宋体" w:hAnsi="宋体"/>
              </w:rPr>
            </w:pPr>
          </w:p>
        </w:tc>
        <w:tc>
          <w:tcPr>
            <w:tcW w:w="588" w:type="dxa"/>
            <w:tcBorders>
              <w:top w:val="single" w:color="000000" w:sz="2" w:space="0"/>
              <w:bottom w:val="single" w:color="000000" w:sz="2" w:space="0"/>
            </w:tcBorders>
            <w:noWrap w:val="0"/>
            <w:vAlign w:val="top"/>
          </w:tcPr>
          <w:p>
            <w:pPr>
              <w:spacing w:before="177" w:line="281" w:lineRule="auto"/>
              <w:ind w:left="75" w:right="80"/>
              <w:rPr>
                <w:rFonts w:ascii="宋体" w:hAnsi="宋体" w:cs="宋体"/>
                <w:spacing w:val="-3"/>
                <w:sz w:val="20"/>
                <w:szCs w:val="20"/>
              </w:rPr>
            </w:pPr>
            <w:r>
              <w:rPr>
                <w:rFonts w:ascii="宋体" w:hAnsi="宋体" w:cs="宋体"/>
                <w:spacing w:val="5"/>
                <w:sz w:val="20"/>
                <w:szCs w:val="20"/>
              </w:rPr>
              <w:t>结果</w:t>
            </w:r>
            <w:r>
              <w:rPr>
                <w:rFonts w:ascii="宋体" w:hAnsi="宋体" w:cs="宋体"/>
                <w:spacing w:val="1"/>
                <w:sz w:val="20"/>
                <w:szCs w:val="20"/>
              </w:rPr>
              <w:t xml:space="preserve"> </w:t>
            </w:r>
            <w:r>
              <w:rPr>
                <w:rFonts w:ascii="宋体" w:hAnsi="宋体" w:cs="宋体"/>
                <w:spacing w:val="-3"/>
                <w:sz w:val="20"/>
                <w:szCs w:val="20"/>
              </w:rPr>
              <w:t>维</w:t>
            </w:r>
          </w:p>
          <w:p>
            <w:pPr>
              <w:spacing w:before="177" w:line="281" w:lineRule="auto"/>
              <w:ind w:left="75" w:right="80"/>
              <w:rPr>
                <w:rFonts w:ascii="宋体" w:hAnsi="宋体" w:cs="宋体"/>
                <w:sz w:val="20"/>
                <w:szCs w:val="20"/>
              </w:rPr>
            </w:pPr>
            <w:r>
              <w:rPr>
                <w:rFonts w:ascii="宋体" w:hAnsi="宋体" w:cs="宋体"/>
                <w:spacing w:val="-3"/>
                <w:sz w:val="20"/>
                <w:szCs w:val="20"/>
              </w:rPr>
              <w:t>持</w:t>
            </w:r>
          </w:p>
        </w:tc>
        <w:tc>
          <w:tcPr>
            <w:tcW w:w="579" w:type="dxa"/>
            <w:tcBorders>
              <w:top w:val="single" w:color="000000" w:sz="2" w:space="0"/>
              <w:bottom w:val="single" w:color="000000" w:sz="2" w:space="0"/>
            </w:tcBorders>
            <w:noWrap w:val="0"/>
            <w:vAlign w:val="top"/>
          </w:tcPr>
          <w:p>
            <w:pPr>
              <w:spacing w:before="196" w:line="264" w:lineRule="auto"/>
              <w:ind w:left="77" w:right="69"/>
              <w:rPr>
                <w:rFonts w:ascii="宋体" w:hAnsi="宋体" w:cs="宋体"/>
                <w:sz w:val="20"/>
                <w:szCs w:val="20"/>
              </w:rPr>
            </w:pPr>
            <w:r>
              <w:rPr>
                <w:rFonts w:ascii="宋体" w:hAnsi="宋体" w:cs="宋体"/>
                <w:spacing w:val="5"/>
                <w:sz w:val="20"/>
                <w:szCs w:val="20"/>
              </w:rPr>
              <w:t>结果</w:t>
            </w:r>
            <w:r>
              <w:rPr>
                <w:rFonts w:ascii="宋体" w:hAnsi="宋体" w:cs="宋体"/>
                <w:spacing w:val="1"/>
                <w:sz w:val="20"/>
                <w:szCs w:val="20"/>
              </w:rPr>
              <w:t xml:space="preserve"> </w:t>
            </w:r>
            <w:r>
              <w:rPr>
                <w:rFonts w:ascii="宋体" w:hAnsi="宋体" w:cs="宋体"/>
                <w:spacing w:val="5"/>
                <w:sz w:val="20"/>
                <w:szCs w:val="20"/>
              </w:rPr>
              <w:t>纠正</w:t>
            </w:r>
          </w:p>
        </w:tc>
        <w:tc>
          <w:tcPr>
            <w:tcW w:w="578" w:type="dxa"/>
            <w:tcBorders>
              <w:top w:val="single" w:color="000000" w:sz="2" w:space="0"/>
              <w:bottom w:val="single" w:color="000000" w:sz="2" w:space="0"/>
            </w:tcBorders>
            <w:noWrap w:val="0"/>
            <w:vAlign w:val="top"/>
          </w:tcPr>
          <w:p>
            <w:pPr>
              <w:spacing w:before="196" w:line="264" w:lineRule="auto"/>
              <w:ind w:left="98" w:right="47"/>
              <w:rPr>
                <w:rFonts w:ascii="宋体" w:hAnsi="宋体" w:cs="宋体"/>
                <w:spacing w:val="-5"/>
                <w:sz w:val="20"/>
                <w:szCs w:val="20"/>
              </w:rPr>
            </w:pPr>
            <w:r>
              <w:rPr>
                <w:rFonts w:ascii="宋体" w:hAnsi="宋体" w:cs="宋体"/>
                <w:spacing w:val="-5"/>
                <w:sz w:val="20"/>
                <w:szCs w:val="20"/>
              </w:rPr>
              <w:t>其</w:t>
            </w:r>
          </w:p>
          <w:p>
            <w:pPr>
              <w:spacing w:before="196" w:line="264" w:lineRule="auto"/>
              <w:ind w:left="98" w:right="47"/>
              <w:rPr>
                <w:rFonts w:ascii="宋体" w:hAnsi="宋体" w:cs="宋体"/>
                <w:sz w:val="20"/>
                <w:szCs w:val="20"/>
              </w:rPr>
            </w:pPr>
            <w:r>
              <w:rPr>
                <w:rFonts w:ascii="宋体" w:hAnsi="宋体" w:cs="宋体"/>
                <w:spacing w:val="-5"/>
                <w:sz w:val="20"/>
                <w:szCs w:val="20"/>
              </w:rPr>
              <w:t>他</w:t>
            </w:r>
            <w:r>
              <w:rPr>
                <w:rFonts w:ascii="宋体" w:hAnsi="宋体" w:cs="宋体"/>
                <w:spacing w:val="1"/>
                <w:sz w:val="20"/>
                <w:szCs w:val="20"/>
              </w:rPr>
              <w:t xml:space="preserve"> </w:t>
            </w:r>
            <w:r>
              <w:rPr>
                <w:rFonts w:ascii="宋体" w:hAnsi="宋体" w:cs="宋体"/>
                <w:spacing w:val="5"/>
                <w:sz w:val="20"/>
                <w:szCs w:val="20"/>
              </w:rPr>
              <w:t>结果</w:t>
            </w:r>
          </w:p>
        </w:tc>
        <w:tc>
          <w:tcPr>
            <w:tcW w:w="579" w:type="dxa"/>
            <w:tcBorders>
              <w:top w:val="single" w:color="000000" w:sz="2" w:space="0"/>
              <w:bottom w:val="single" w:color="000000" w:sz="2" w:space="0"/>
            </w:tcBorders>
            <w:noWrap w:val="0"/>
            <w:vAlign w:val="top"/>
          </w:tcPr>
          <w:p>
            <w:pPr>
              <w:spacing w:before="196" w:line="229" w:lineRule="auto"/>
              <w:ind w:left="80" w:right="66"/>
              <w:rPr>
                <w:rFonts w:ascii="宋体" w:hAnsi="宋体" w:cs="宋体"/>
                <w:sz w:val="20"/>
                <w:szCs w:val="20"/>
              </w:rPr>
            </w:pPr>
            <w:r>
              <w:rPr>
                <w:rFonts w:ascii="宋体" w:hAnsi="宋体" w:cs="宋体"/>
                <w:spacing w:val="5"/>
                <w:sz w:val="20"/>
                <w:szCs w:val="20"/>
              </w:rPr>
              <w:t>尚未</w:t>
            </w:r>
            <w:r>
              <w:rPr>
                <w:rFonts w:ascii="宋体" w:hAnsi="宋体" w:cs="宋体"/>
                <w:sz w:val="20"/>
                <w:szCs w:val="20"/>
              </w:rPr>
              <w:t xml:space="preserve"> </w:t>
            </w:r>
            <w:r>
              <w:rPr>
                <w:rFonts w:ascii="宋体" w:hAnsi="宋体" w:cs="宋体"/>
                <w:spacing w:val="5"/>
                <w:sz w:val="20"/>
                <w:szCs w:val="20"/>
              </w:rPr>
              <w:t>审结</w:t>
            </w:r>
          </w:p>
        </w:tc>
        <w:tc>
          <w:tcPr>
            <w:tcW w:w="569" w:type="dxa"/>
            <w:tcBorders>
              <w:top w:val="single" w:color="000000" w:sz="2" w:space="0"/>
              <w:bottom w:val="single" w:color="000000" w:sz="2" w:space="0"/>
            </w:tcBorders>
            <w:noWrap w:val="0"/>
            <w:vAlign w:val="top"/>
          </w:tcPr>
          <w:p>
            <w:pPr>
              <w:rPr>
                <w:rFonts w:ascii="宋体" w:hAnsi="宋体"/>
              </w:rPr>
            </w:pPr>
          </w:p>
          <w:p>
            <w:pPr>
              <w:spacing w:before="65" w:line="221" w:lineRule="auto"/>
              <w:ind w:firstLine="72"/>
              <w:rPr>
                <w:rFonts w:ascii="宋体" w:hAnsi="宋体" w:cs="宋体"/>
                <w:sz w:val="20"/>
                <w:szCs w:val="20"/>
              </w:rPr>
            </w:pPr>
            <w:r>
              <w:rPr>
                <w:rFonts w:ascii="宋体" w:hAnsi="宋体" w:cs="宋体"/>
                <w:spacing w:val="4"/>
                <w:sz w:val="20"/>
                <w:szCs w:val="20"/>
              </w:rPr>
              <w:t>总计</w:t>
            </w:r>
          </w:p>
        </w:tc>
        <w:tc>
          <w:tcPr>
            <w:tcW w:w="579" w:type="dxa"/>
            <w:tcBorders>
              <w:top w:val="single" w:color="000000" w:sz="2" w:space="0"/>
              <w:bottom w:val="single" w:color="000000" w:sz="2" w:space="0"/>
            </w:tcBorders>
            <w:noWrap w:val="0"/>
            <w:vAlign w:val="top"/>
          </w:tcPr>
          <w:p>
            <w:pPr>
              <w:spacing w:before="186" w:line="222" w:lineRule="auto"/>
              <w:ind w:firstLine="33"/>
              <w:rPr>
                <w:rFonts w:ascii="宋体" w:hAnsi="宋体" w:cs="宋体"/>
                <w:sz w:val="20"/>
                <w:szCs w:val="20"/>
              </w:rPr>
            </w:pPr>
            <w:r>
              <w:rPr>
                <w:rFonts w:ascii="宋体" w:hAnsi="宋体" w:cs="宋体"/>
                <w:spacing w:val="5"/>
                <w:sz w:val="20"/>
                <w:szCs w:val="20"/>
              </w:rPr>
              <w:t>结果</w:t>
            </w:r>
          </w:p>
          <w:p>
            <w:pPr>
              <w:spacing w:line="219" w:lineRule="auto"/>
              <w:ind w:firstLine="33"/>
              <w:rPr>
                <w:rFonts w:ascii="宋体" w:hAnsi="宋体" w:cs="宋体"/>
                <w:sz w:val="20"/>
                <w:szCs w:val="20"/>
              </w:rPr>
            </w:pPr>
            <w:r>
              <w:rPr>
                <w:rFonts w:ascii="宋体" w:hAnsi="宋体" w:cs="宋体"/>
                <w:spacing w:val="-3"/>
                <w:sz w:val="20"/>
                <w:szCs w:val="20"/>
              </w:rPr>
              <w:t>维持</w:t>
            </w:r>
          </w:p>
        </w:tc>
        <w:tc>
          <w:tcPr>
            <w:tcW w:w="579" w:type="dxa"/>
            <w:tcBorders>
              <w:top w:val="single" w:color="000000" w:sz="2" w:space="0"/>
              <w:bottom w:val="single" w:color="000000" w:sz="2" w:space="0"/>
            </w:tcBorders>
            <w:noWrap w:val="0"/>
            <w:vAlign w:val="top"/>
          </w:tcPr>
          <w:p>
            <w:pPr>
              <w:spacing w:before="147" w:line="290" w:lineRule="auto"/>
              <w:ind w:left="84" w:right="63"/>
              <w:rPr>
                <w:rFonts w:ascii="宋体" w:hAnsi="宋体" w:cs="宋体"/>
                <w:sz w:val="20"/>
                <w:szCs w:val="20"/>
              </w:rPr>
            </w:pPr>
            <w:r>
              <w:rPr>
                <w:rFonts w:ascii="宋体" w:hAnsi="宋体" w:cs="宋体"/>
                <w:spacing w:val="5"/>
                <w:sz w:val="20"/>
                <w:szCs w:val="20"/>
              </w:rPr>
              <w:t>结果</w:t>
            </w:r>
            <w:r>
              <w:rPr>
                <w:rFonts w:ascii="宋体" w:hAnsi="宋体" w:cs="宋体"/>
                <w:spacing w:val="1"/>
                <w:sz w:val="20"/>
                <w:szCs w:val="20"/>
              </w:rPr>
              <w:t xml:space="preserve"> </w:t>
            </w:r>
            <w:r>
              <w:rPr>
                <w:rFonts w:ascii="宋体" w:hAnsi="宋体" w:cs="宋体"/>
                <w:spacing w:val="5"/>
                <w:sz w:val="20"/>
                <w:szCs w:val="20"/>
              </w:rPr>
              <w:t>纠正</w:t>
            </w:r>
          </w:p>
        </w:tc>
        <w:tc>
          <w:tcPr>
            <w:tcW w:w="579" w:type="dxa"/>
            <w:tcBorders>
              <w:top w:val="single" w:color="000000" w:sz="2" w:space="0"/>
              <w:bottom w:val="single" w:color="000000" w:sz="2" w:space="0"/>
            </w:tcBorders>
            <w:noWrap w:val="0"/>
            <w:vAlign w:val="top"/>
          </w:tcPr>
          <w:p>
            <w:pPr>
              <w:spacing w:before="187" w:line="255" w:lineRule="auto"/>
              <w:ind w:left="85" w:right="62"/>
              <w:rPr>
                <w:rFonts w:ascii="宋体" w:hAnsi="宋体" w:cs="宋体"/>
                <w:sz w:val="20"/>
                <w:szCs w:val="20"/>
              </w:rPr>
            </w:pPr>
            <w:r>
              <w:rPr>
                <w:rFonts w:ascii="宋体" w:hAnsi="宋体" w:cs="宋体"/>
                <w:spacing w:val="-5"/>
                <w:sz w:val="20"/>
                <w:szCs w:val="20"/>
              </w:rPr>
              <w:t>其他</w:t>
            </w:r>
            <w:r>
              <w:rPr>
                <w:rFonts w:ascii="宋体" w:hAnsi="宋体" w:cs="宋体"/>
                <w:spacing w:val="1"/>
                <w:sz w:val="20"/>
                <w:szCs w:val="20"/>
              </w:rPr>
              <w:t xml:space="preserve"> </w:t>
            </w:r>
            <w:r>
              <w:rPr>
                <w:rFonts w:ascii="宋体" w:hAnsi="宋体" w:cs="宋体"/>
                <w:spacing w:val="5"/>
                <w:sz w:val="20"/>
                <w:szCs w:val="20"/>
              </w:rPr>
              <w:t>结果</w:t>
            </w:r>
          </w:p>
        </w:tc>
        <w:tc>
          <w:tcPr>
            <w:tcW w:w="588" w:type="dxa"/>
            <w:tcBorders>
              <w:top w:val="single" w:color="000000" w:sz="2" w:space="0"/>
              <w:bottom w:val="single" w:color="000000" w:sz="2" w:space="0"/>
            </w:tcBorders>
            <w:noWrap w:val="0"/>
            <w:vAlign w:val="top"/>
          </w:tcPr>
          <w:p>
            <w:pPr>
              <w:spacing w:before="187" w:line="246" w:lineRule="auto"/>
              <w:ind w:left="86" w:right="70"/>
              <w:rPr>
                <w:rFonts w:ascii="宋体" w:hAnsi="宋体" w:cs="宋体"/>
                <w:sz w:val="20"/>
                <w:szCs w:val="20"/>
              </w:rPr>
            </w:pPr>
            <w:r>
              <w:rPr>
                <w:rFonts w:ascii="宋体" w:hAnsi="宋体" w:cs="宋体"/>
                <w:spacing w:val="5"/>
                <w:sz w:val="20"/>
                <w:szCs w:val="20"/>
              </w:rPr>
              <w:t>尚未</w:t>
            </w:r>
            <w:r>
              <w:rPr>
                <w:rFonts w:ascii="宋体" w:hAnsi="宋体" w:cs="宋体"/>
                <w:sz w:val="20"/>
                <w:szCs w:val="20"/>
              </w:rPr>
              <w:t xml:space="preserve"> </w:t>
            </w:r>
            <w:r>
              <w:rPr>
                <w:rFonts w:ascii="宋体" w:hAnsi="宋体" w:cs="宋体"/>
                <w:spacing w:val="5"/>
                <w:sz w:val="20"/>
                <w:szCs w:val="20"/>
              </w:rPr>
              <w:t>审结</w:t>
            </w:r>
          </w:p>
        </w:tc>
        <w:tc>
          <w:tcPr>
            <w:tcW w:w="728" w:type="dxa"/>
            <w:tcBorders>
              <w:top w:val="single" w:color="000000" w:sz="2" w:space="0"/>
              <w:bottom w:val="single" w:color="000000" w:sz="2" w:space="0"/>
            </w:tcBorders>
            <w:noWrap w:val="0"/>
            <w:vAlign w:val="top"/>
          </w:tcPr>
          <w:p>
            <w:pPr>
              <w:rPr>
                <w:rFonts w:ascii="宋体" w:hAnsi="宋体"/>
              </w:rPr>
            </w:pPr>
          </w:p>
          <w:p>
            <w:pPr>
              <w:spacing w:before="65" w:line="221" w:lineRule="auto"/>
              <w:ind w:firstLine="158"/>
              <w:rPr>
                <w:rFonts w:ascii="宋体" w:hAnsi="宋体" w:cs="宋体"/>
                <w:sz w:val="20"/>
                <w:szCs w:val="20"/>
              </w:rPr>
            </w:pPr>
            <w:r>
              <w:rPr>
                <w:rFonts w:ascii="宋体" w:hAnsi="宋体" w:cs="宋体"/>
                <w:spacing w:val="4"/>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3" w:hRule="atLeast"/>
        </w:trPr>
        <w:tc>
          <w:tcPr>
            <w:tcW w:w="62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7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7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6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7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8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7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7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7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6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7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7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79"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58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c>
          <w:tcPr>
            <w:tcW w:w="728" w:type="dxa"/>
            <w:tcBorders>
              <w:top w:val="single" w:color="000000" w:sz="2" w:space="0"/>
              <w:bottom w:val="single" w:color="000000" w:sz="2" w:space="0"/>
            </w:tcBorders>
            <w:noWrap w:val="0"/>
            <w:vAlign w:val="center"/>
          </w:tcPr>
          <w:p>
            <w:pPr>
              <w:jc w:val="center"/>
              <w:rPr>
                <w:rFonts w:ascii="宋体" w:hAnsi="宋体"/>
              </w:rPr>
            </w:pPr>
            <w:r>
              <w:rPr>
                <w:rFonts w:hint="eastAsia" w:ascii="宋体" w:hAnsi="宋体"/>
                <w:lang w:val="en-US" w:eastAsia="zh-CN"/>
              </w:rPr>
              <w:t>0</w:t>
            </w:r>
          </w:p>
        </w:tc>
      </w:tr>
    </w:tbl>
    <w:p>
      <w:pPr>
        <w:spacing w:line="560" w:lineRule="exact"/>
        <w:jc w:val="left"/>
        <w:rPr>
          <w:rFonts w:hint="eastAsia" w:ascii="宋体" w:hAnsi="宋体" w:eastAsia="黑体" w:cs="黑体"/>
          <w:sz w:val="32"/>
          <w:szCs w:val="32"/>
        </w:rPr>
      </w:pPr>
    </w:p>
    <w:p>
      <w:pPr>
        <w:spacing w:line="560" w:lineRule="exact"/>
        <w:ind w:firstLine="640" w:firstLineChars="200"/>
        <w:jc w:val="left"/>
        <w:rPr>
          <w:rFonts w:hint="eastAsia" w:ascii="宋体" w:hAnsi="宋体" w:eastAsia="黑体" w:cs="黑体"/>
          <w:sz w:val="32"/>
          <w:szCs w:val="32"/>
        </w:rPr>
      </w:pPr>
      <w:r>
        <w:rPr>
          <w:rFonts w:hint="eastAsia" w:ascii="宋体" w:hAnsi="宋体" w:eastAsia="黑体" w:cs="黑体"/>
          <w:sz w:val="32"/>
          <w:szCs w:val="32"/>
        </w:rPr>
        <w:t>五、存在的主要问题及改进情况</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2023年，我局高度重视政府信息公开工作，在信息公开机制完善、内容审核、平台优化等方面做了大量工作，但也存在一些不足，一是个别专栏更新不够及时，</w:t>
      </w:r>
      <w:r>
        <w:rPr>
          <w:rFonts w:hint="eastAsia" w:ascii="仿宋_GB2312" w:hAnsi="仿宋_GB2312" w:eastAsia="仿宋_GB2312" w:cs="仿宋_GB2312"/>
          <w:i w:val="0"/>
          <w:iCs w:val="0"/>
          <w:caps w:val="0"/>
          <w:color w:val="333333"/>
          <w:spacing w:val="0"/>
          <w:sz w:val="32"/>
          <w:szCs w:val="32"/>
          <w:shd w:val="clear" w:color="auto" w:fill="FFFFFF"/>
        </w:rPr>
        <w:t>影响了企业、群众对相关政策、信息知晓的时效性</w:t>
      </w:r>
      <w:r>
        <w:rPr>
          <w:rFonts w:hint="eastAsia" w:ascii="仿宋_GB2312" w:hAnsi="仿宋_GB2312" w:eastAsia="仿宋_GB2312" w:cs="仿宋_GB2312"/>
          <w:sz w:val="32"/>
          <w:szCs w:val="32"/>
          <w:lang w:val="en-US" w:eastAsia="zh-CN"/>
        </w:rPr>
        <w:t>；二是错敏字问题时有发生，校对工作不够仔细，</w:t>
      </w:r>
      <w:r>
        <w:rPr>
          <w:rFonts w:hint="eastAsia" w:ascii="仿宋_GB2312" w:hAnsi="仿宋_GB2312" w:eastAsia="仿宋_GB2312" w:cs="仿宋_GB2312"/>
          <w:i w:val="0"/>
          <w:iCs w:val="0"/>
          <w:caps w:val="0"/>
          <w:color w:val="333333"/>
          <w:spacing w:val="0"/>
          <w:sz w:val="32"/>
          <w:szCs w:val="32"/>
          <w:u w:val="none"/>
        </w:rPr>
        <w:t>监督力度还有待加强</w:t>
      </w:r>
      <w:r>
        <w:rPr>
          <w:rFonts w:hint="eastAsia" w:ascii="仿宋_GB2312" w:hAnsi="仿宋_GB2312" w:eastAsia="仿宋_GB2312" w:cs="仿宋_GB2312"/>
          <w:i w:val="0"/>
          <w:iCs w:val="0"/>
          <w:caps w:val="0"/>
          <w:color w:val="333333"/>
          <w:spacing w:val="0"/>
          <w:sz w:val="32"/>
          <w:szCs w:val="32"/>
          <w:u w:val="none"/>
          <w:lang w:eastAsia="zh-CN"/>
        </w:rPr>
        <w:t>，</w:t>
      </w:r>
      <w:r>
        <w:rPr>
          <w:rFonts w:hint="eastAsia" w:ascii="仿宋_GB2312" w:hAnsi="仿宋_GB2312" w:eastAsia="仿宋_GB2312" w:cs="仿宋_GB2312"/>
          <w:i w:val="0"/>
          <w:iCs w:val="0"/>
          <w:caps w:val="0"/>
          <w:color w:val="333333"/>
          <w:spacing w:val="0"/>
          <w:sz w:val="32"/>
          <w:szCs w:val="32"/>
          <w:u w:val="none"/>
        </w:rPr>
        <w:t>日常工作中，被动接受上级检查的多,自觉进行自查和抽查的少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333333"/>
          <w:spacing w:val="0"/>
          <w:sz w:val="32"/>
          <w:szCs w:val="32"/>
          <w:u w:val="none"/>
        </w:rPr>
        <w:t>三是</w:t>
      </w:r>
      <w:r>
        <w:rPr>
          <w:rFonts w:hint="eastAsia" w:ascii="仿宋_GB2312" w:hAnsi="仿宋_GB2312" w:eastAsia="仿宋_GB2312" w:cs="仿宋_GB2312"/>
          <w:i w:val="0"/>
          <w:iCs w:val="0"/>
          <w:caps w:val="0"/>
          <w:color w:val="333333"/>
          <w:spacing w:val="0"/>
          <w:sz w:val="32"/>
          <w:szCs w:val="32"/>
          <w:shd w:val="clear" w:color="auto" w:fill="FFFFFF"/>
        </w:rPr>
        <w:t>信息公开队伍建设相对较弱</w:t>
      </w:r>
      <w:r>
        <w:rPr>
          <w:rFonts w:hint="eastAsia" w:ascii="仿宋_GB2312" w:hAnsi="仿宋_GB2312" w:eastAsia="仿宋_GB2312" w:cs="仿宋_GB2312"/>
          <w:sz w:val="32"/>
          <w:szCs w:val="32"/>
          <w:lang w:val="en-US" w:eastAsia="zh-CN"/>
        </w:rPr>
        <w:t>。</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下一步，我局将继续严格按照县委、县政府的要求做好政务公开工作。一是</w:t>
      </w:r>
      <w:r>
        <w:rPr>
          <w:rFonts w:hint="eastAsia" w:ascii="仿宋_GB2312" w:hAnsi="仿宋_GB2312" w:eastAsia="仿宋_GB2312" w:cs="仿宋_GB2312"/>
          <w:i w:val="0"/>
          <w:iCs w:val="0"/>
          <w:caps w:val="0"/>
          <w:color w:val="333333"/>
          <w:spacing w:val="0"/>
          <w:sz w:val="32"/>
          <w:szCs w:val="32"/>
          <w:shd w:val="clear" w:color="auto" w:fill="FFFFFF"/>
        </w:rPr>
        <w:t>认真贯彻落实中央、省、市、县有关政府信息公开工作的决策部署，进一步提高思想认识，加强对《政府信息公开条例》的宣传教育，及时完善相关工作制度和措施，规范工作程序，严格时限要求，积极稳妥地推进政府信息公开，将政务公开工作与全</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局</w:t>
      </w:r>
      <w:r>
        <w:rPr>
          <w:rFonts w:hint="eastAsia" w:ascii="仿宋_GB2312" w:hAnsi="仿宋_GB2312" w:eastAsia="仿宋_GB2312" w:cs="仿宋_GB2312"/>
          <w:i w:val="0"/>
          <w:iCs w:val="0"/>
          <w:caps w:val="0"/>
          <w:color w:val="333333"/>
          <w:spacing w:val="0"/>
          <w:sz w:val="32"/>
          <w:szCs w:val="32"/>
          <w:shd w:val="clear" w:color="auto" w:fill="FFFFFF"/>
        </w:rPr>
        <w:t>重点中心工作同部署、同推进、同监督、同考评，并将考评结果与干部年度评优评先有机结合</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i w:val="0"/>
          <w:iCs w:val="0"/>
          <w:caps w:val="0"/>
          <w:color w:val="333333"/>
          <w:spacing w:val="0"/>
          <w:sz w:val="32"/>
          <w:szCs w:val="32"/>
          <w:shd w:val="clear" w:color="auto" w:fill="FFFFFF"/>
        </w:rPr>
        <w:t>进一步加大群众参与，让群众更直接、更方便与我们进行沟通和交流，主动听取社会各界对我</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局</w:t>
      </w:r>
      <w:r>
        <w:rPr>
          <w:rFonts w:hint="eastAsia" w:ascii="仿宋_GB2312" w:hAnsi="仿宋_GB2312" w:eastAsia="仿宋_GB2312" w:cs="仿宋_GB2312"/>
          <w:i w:val="0"/>
          <w:iCs w:val="0"/>
          <w:caps w:val="0"/>
          <w:color w:val="333333"/>
          <w:spacing w:val="0"/>
          <w:sz w:val="32"/>
          <w:szCs w:val="32"/>
          <w:shd w:val="clear" w:color="auto" w:fill="FFFFFF"/>
        </w:rPr>
        <w:t>政府信息公开的意见和建议，充分发挥人民群众和新闻舆论的监督作用，不断改进工作</w:t>
      </w:r>
      <w:r>
        <w:rPr>
          <w:rFonts w:hint="eastAsia" w:ascii="仿宋_GB2312" w:hAnsi="仿宋_GB2312" w:eastAsia="仿宋_GB2312" w:cs="仿宋_GB2312"/>
          <w:sz w:val="32"/>
          <w:szCs w:val="32"/>
          <w:lang w:eastAsia="zh-CN"/>
        </w:rPr>
        <w:t>。</w:t>
      </w:r>
    </w:p>
    <w:p>
      <w:pPr>
        <w:spacing w:line="560" w:lineRule="exact"/>
        <w:ind w:firstLine="640" w:firstLineChars="200"/>
        <w:jc w:val="left"/>
        <w:rPr>
          <w:rFonts w:hint="eastAsia" w:ascii="宋体" w:hAnsi="宋体" w:eastAsia="黑体" w:cs="黑体"/>
          <w:sz w:val="32"/>
          <w:szCs w:val="32"/>
        </w:rPr>
      </w:pPr>
      <w:r>
        <w:rPr>
          <w:rFonts w:hint="eastAsia" w:ascii="宋体" w:hAnsi="宋体" w:eastAsia="黑体" w:cs="黑体"/>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44"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26"/>
          <w:sz w:val="32"/>
          <w:szCs w:val="32"/>
        </w:rPr>
        <w:t>2023年</w:t>
      </w:r>
      <w:r>
        <w:rPr>
          <w:rFonts w:hint="eastAsia" w:ascii="仿宋_GB2312" w:hAnsi="仿宋_GB2312" w:eastAsia="仿宋_GB2312" w:cs="仿宋_GB2312"/>
          <w:spacing w:val="26"/>
          <w:sz w:val="32"/>
          <w:szCs w:val="32"/>
          <w:lang w:eastAsia="zh-CN"/>
        </w:rPr>
        <w:t>上犹县</w:t>
      </w:r>
      <w:r>
        <w:rPr>
          <w:rFonts w:hint="eastAsia" w:ascii="仿宋_GB2312" w:hAnsi="仿宋_GB2312" w:eastAsia="仿宋_GB2312" w:cs="仿宋_GB2312"/>
          <w:spacing w:val="26"/>
          <w:sz w:val="32"/>
          <w:szCs w:val="32"/>
          <w:lang w:val="en-US" w:eastAsia="zh-CN"/>
        </w:rPr>
        <w:t>交通运输局</w:t>
      </w:r>
      <w:r>
        <w:rPr>
          <w:rFonts w:hint="eastAsia" w:ascii="仿宋_GB2312" w:hAnsi="仿宋_GB2312" w:eastAsia="仿宋_GB2312" w:cs="仿宋_GB2312"/>
          <w:spacing w:val="26"/>
          <w:sz w:val="32"/>
          <w:szCs w:val="32"/>
        </w:rPr>
        <w:t>办理依申请公开政府信息事项</w:t>
      </w:r>
      <w:r>
        <w:rPr>
          <w:rFonts w:hint="eastAsia" w:ascii="仿宋_GB2312" w:hAnsi="仿宋_GB2312" w:eastAsia="仿宋_GB2312" w:cs="仿宋_GB2312"/>
          <w:spacing w:val="26"/>
          <w:sz w:val="32"/>
          <w:szCs w:val="32"/>
          <w:lang w:val="en-US" w:eastAsia="zh-CN"/>
        </w:rPr>
        <w:t>0</w:t>
      </w:r>
      <w:r>
        <w:rPr>
          <w:rFonts w:hint="eastAsia" w:ascii="仿宋_GB2312" w:hAnsi="仿宋_GB2312" w:eastAsia="仿宋_GB2312" w:cs="仿宋_GB2312"/>
          <w:spacing w:val="26"/>
          <w:sz w:val="32"/>
          <w:szCs w:val="32"/>
        </w:rPr>
        <w:t>件，</w:t>
      </w:r>
      <w:r>
        <w:rPr>
          <w:rFonts w:hint="eastAsia" w:ascii="仿宋_GB2312" w:hAnsi="仿宋_GB2312" w:eastAsia="仿宋_GB2312" w:cs="仿宋_GB2312"/>
          <w:kern w:val="2"/>
          <w:sz w:val="32"/>
          <w:szCs w:val="32"/>
          <w:lang w:val="en-US" w:eastAsia="zh-CN" w:bidi="ar-SA"/>
        </w:rPr>
        <w:t>按照《国务院办公厅关于印发〈政府信息公开信息处理费管理办法〉的通知》（国办函〔2020〕109号）规定的按件、按量收费标准，本年度没有产生信息公开处理费。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26"/>
          <w:sz w:val="32"/>
          <w:szCs w:val="32"/>
        </w:rPr>
      </w:pPr>
      <w:r>
        <w:rPr>
          <w:rFonts w:hint="eastAsia" w:ascii="仿宋_GB2312" w:hAnsi="仿宋_GB2312" w:eastAsia="仿宋_GB2312" w:cs="仿宋_GB2312"/>
          <w:sz w:val="32"/>
          <w:szCs w:val="32"/>
        </w:rPr>
        <w:t>本年度报告的电子版可以从上犹县人民政府网站</w:t>
      </w:r>
      <w:r>
        <w:rPr>
          <w:rFonts w:hint="eastAsia" w:ascii="仿宋_GB2312" w:hAnsi="仿宋_GB2312" w:eastAsia="仿宋_GB2312" w:cs="仿宋_GB2312"/>
          <w:color w:val="auto"/>
          <w:sz w:val="32"/>
          <w:szCs w:val="32"/>
        </w:rPr>
        <w:t>（</w:t>
      </w:r>
      <w:r>
        <w:rPr>
          <w:rFonts w:hint="eastAsia" w:ascii="宋体" w:hAnsi="宋体" w:eastAsia="仿宋_GB2312" w:cs="仿宋_GB2312"/>
          <w:spacing w:val="26"/>
          <w:sz w:val="30"/>
          <w:szCs w:val="30"/>
        </w:rPr>
        <w:t>http://www.shangyou.gov.cn</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下载。如对本报告有任何疑问，请与</w:t>
      </w:r>
      <w:r>
        <w:rPr>
          <w:rFonts w:hint="eastAsia" w:ascii="仿宋_GB2312" w:hAnsi="仿宋_GB2312" w:eastAsia="仿宋_GB2312" w:cs="仿宋_GB2312"/>
          <w:sz w:val="32"/>
          <w:szCs w:val="32"/>
          <w:lang w:val="en-US" w:eastAsia="zh-CN"/>
        </w:rPr>
        <w:t>上犹县交通运输局</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上犹县犹江大道26号</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0797-8525421</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744" w:firstLineChars="200"/>
        <w:jc w:val="left"/>
        <w:textAlignment w:val="auto"/>
        <w:rPr>
          <w:rFonts w:hint="eastAsia" w:ascii="仿宋_GB2312" w:hAnsi="仿宋_GB2312" w:eastAsia="仿宋_GB2312" w:cs="仿宋_GB2312"/>
          <w:spacing w:val="26"/>
          <w:sz w:val="32"/>
          <w:szCs w:val="32"/>
        </w:rPr>
      </w:pPr>
    </w:p>
    <w:p>
      <w:pPr>
        <w:pStyle w:val="4"/>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bidi="ar"/>
        </w:rPr>
        <w:t>2024年1月</w:t>
      </w:r>
      <w:r>
        <w:rPr>
          <w:rFonts w:hint="eastAsia" w:ascii="仿宋_GB2312" w:hAnsi="仿宋_GB2312" w:eastAsia="仿宋_GB2312" w:cs="仿宋_GB2312"/>
          <w:kern w:val="0"/>
          <w:sz w:val="32"/>
          <w:szCs w:val="32"/>
          <w:lang w:val="en-US" w:eastAsia="zh-CN" w:bidi="ar"/>
        </w:rPr>
        <w:t>9</w:t>
      </w:r>
      <w:r>
        <w:rPr>
          <w:rFonts w:hint="eastAsia" w:ascii="仿宋_GB2312" w:hAnsi="仿宋_GB2312" w:eastAsia="仿宋_GB2312" w:cs="仿宋_GB2312"/>
          <w:kern w:val="0"/>
          <w:sz w:val="32"/>
          <w:szCs w:val="32"/>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4</w:t>
    </w:r>
    <w:r>
      <w:rPr>
        <w:rStyle w:val="10"/>
        <w:rFonts w:ascii="宋体" w:hAnsi="宋体"/>
        <w:sz w:val="28"/>
        <w:szCs w:val="28"/>
      </w:rPr>
      <w:fldChar w:fldCharType="end"/>
    </w:r>
    <w:r>
      <w:rPr>
        <w:rStyle w:val="10"/>
        <w:rFonts w:hint="eastAsia" w:ascii="宋体" w:hAnsi="宋体"/>
        <w:sz w:val="28"/>
        <w:szCs w:val="28"/>
      </w:rPr>
      <w:t xml:space="preserve"> —</w:t>
    </w:r>
  </w:p>
  <w:p>
    <w:pPr>
      <w:spacing w:line="129" w:lineRule="exact"/>
      <w:ind w:right="360" w:firstLine="4430"/>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5</w:t>
    </w:r>
    <w:r>
      <w:rPr>
        <w:rStyle w:val="10"/>
        <w:rFonts w:ascii="宋体" w:hAnsi="宋体"/>
        <w:sz w:val="28"/>
        <w:szCs w:val="28"/>
      </w:rPr>
      <w:fldChar w:fldCharType="end"/>
    </w:r>
    <w:r>
      <w:rPr>
        <w:rStyle w:val="10"/>
        <w:rFonts w:hint="eastAsia" w:ascii="宋体" w:hAnsi="宋体"/>
        <w:sz w:val="28"/>
        <w:szCs w:val="28"/>
      </w:rPr>
      <w:t xml:space="preserve"> —</w:t>
    </w:r>
  </w:p>
  <w:p>
    <w:pPr>
      <w:spacing w:line="129" w:lineRule="exact"/>
      <w:ind w:right="360" w:firstLine="4470"/>
      <w:rPr>
        <w:rFonts w:ascii="Arial" w:hAnsi="Arial" w:eastAsia="Arial" w:cs="Arial"/>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6AFA3"/>
    <w:multiLevelType w:val="singleLevel"/>
    <w:tmpl w:val="A986AFA3"/>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zQxYTdhOGM0NjY2ZjdhNjM4MDg0MjU2NGRjMjAifQ=="/>
  </w:docVars>
  <w:rsids>
    <w:rsidRoot w:val="0D291695"/>
    <w:rsid w:val="05784AD3"/>
    <w:rsid w:val="06F145B2"/>
    <w:rsid w:val="07D7475D"/>
    <w:rsid w:val="0D291695"/>
    <w:rsid w:val="144322FC"/>
    <w:rsid w:val="15041541"/>
    <w:rsid w:val="17C0507B"/>
    <w:rsid w:val="1E891FA5"/>
    <w:rsid w:val="2BBD6CE2"/>
    <w:rsid w:val="2E8E0A44"/>
    <w:rsid w:val="36065C1B"/>
    <w:rsid w:val="39077D83"/>
    <w:rsid w:val="3F437C5A"/>
    <w:rsid w:val="430E0A2C"/>
    <w:rsid w:val="450639AA"/>
    <w:rsid w:val="46C65CF1"/>
    <w:rsid w:val="4B335026"/>
    <w:rsid w:val="4E0124AD"/>
    <w:rsid w:val="519222F7"/>
    <w:rsid w:val="57EA09B0"/>
    <w:rsid w:val="582B4839"/>
    <w:rsid w:val="6056631E"/>
    <w:rsid w:val="62DA4636"/>
    <w:rsid w:val="73B44B72"/>
    <w:rsid w:val="748751CB"/>
    <w:rsid w:val="7834716E"/>
    <w:rsid w:val="7E9A19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
    </w:rPr>
  </w:style>
  <w:style w:type="paragraph" w:styleId="3">
    <w:name w:val="Body Text"/>
    <w:basedOn w:val="1"/>
    <w:qFormat/>
    <w:uiPriority w:val="1"/>
    <w:pPr>
      <w:ind w:left="108"/>
    </w:pPr>
    <w:rPr>
      <w:rFonts w:ascii="仿宋_GB2312" w:hAnsi="仿宋_GB2312" w:eastAsia="仿宋_GB2312" w:cs="仿宋_GB2312"/>
      <w:sz w:val="32"/>
      <w:szCs w:val="32"/>
      <w:lang w:val="zh-CN" w:eastAsia="zh-CN" w:bidi="zh-CN"/>
    </w:rPr>
  </w:style>
  <w:style w:type="paragraph" w:styleId="4">
    <w:name w:val="Body Text Indent"/>
    <w:basedOn w:val="1"/>
    <w:next w:val="2"/>
    <w:unhideWhenUsed/>
    <w:qFormat/>
    <w:uiPriority w:val="99"/>
    <w:pPr>
      <w:spacing w:before="100" w:beforeAutospacing="1" w:after="120"/>
      <w:ind w:left="420" w:leftChars="200"/>
    </w:pPr>
    <w:rPr>
      <w:rFonts w:ascii="Times New Roman" w:hAnsi="Times New Roman"/>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2023-01-11T07:53:00Z</dcterms:created>
  <dc:creator>F丶M</dc:creator>
  <cp:lastModifiedBy>巡山小妖</cp:lastModifiedBy>
  <dcterms:modified xsi:type="dcterms:W3CDTF">2024-01-26T07:18:34Z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DB8EA2FA4D8B4BBE9D3197B8BDCEF6C6_12</vt:lpwstr>
  </property>
</Properties>
</file>