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上犹县商务局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cs="Times New Roman"/>
          <w:b w:val="0"/>
          <w:bCs/>
          <w:kern w:val="0"/>
          <w:sz w:val="44"/>
          <w:szCs w:val="44"/>
        </w:rPr>
      </w:pPr>
      <w:r>
        <w:rPr>
          <w:rFonts w:hint="eastAsia" w:ascii="方正小标宋简体" w:hAnsi="方正小标宋简体" w:eastAsia="方正小标宋简体" w:cs="方正小标宋简体"/>
          <w:b w:val="0"/>
          <w:bCs/>
          <w:sz w:val="44"/>
          <w:szCs w:val="44"/>
        </w:rPr>
        <w:t>2024年政府信息公开工作年度报告</w:t>
      </w:r>
    </w:p>
    <w:p>
      <w:pPr>
        <w:widowControl/>
        <w:jc w:val="left"/>
        <w:rPr>
          <w:rFonts w:ascii="宋体" w:hAnsi="宋体" w:eastAsia="宋体" w:cs="宋体"/>
          <w:kern w:val="0"/>
          <w:sz w:val="24"/>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依据《中华人民共和国政府信息公开条例》(以下简称《政府信息公开条例》)和《关于印发中华人民共和国政府信息公开工作年度报告格式的通知》(国办公开办函〔2021〕30号)要求，编制本报告。</w:t>
      </w:r>
    </w:p>
    <w:p>
      <w:pPr>
        <w:pStyle w:val="5"/>
        <w:keepNext w:val="0"/>
        <w:keepLines w:val="0"/>
        <w:pageBreakBefore w:val="0"/>
        <w:widowControl/>
        <w:kinsoku/>
        <w:wordWrap/>
        <w:overflowPunct/>
        <w:topLinePunct w:val="0"/>
        <w:autoSpaceDE/>
        <w:autoSpaceDN/>
        <w:bidi w:val="0"/>
        <w:adjustRightInd/>
        <w:snapToGrid/>
        <w:spacing w:beforeAutospacing="0" w:afterAutospacing="0"/>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一、总体情况</w:t>
      </w:r>
    </w:p>
    <w:p>
      <w:pPr>
        <w:pStyle w:val="5"/>
        <w:keepNext w:val="0"/>
        <w:keepLines w:val="0"/>
        <w:pageBreakBefore w:val="0"/>
        <w:widowControl/>
        <w:kinsoku/>
        <w:wordWrap/>
        <w:overflowPunct/>
        <w:topLinePunct w:val="0"/>
        <w:autoSpaceDE/>
        <w:autoSpaceDN/>
        <w:bidi w:val="0"/>
        <w:adjustRightInd/>
        <w:snapToGrid/>
        <w:spacing w:beforeAutospacing="0" w:afterAutospacing="0"/>
        <w:ind w:firstLine="744" w:firstLineChars="200"/>
        <w:jc w:val="both"/>
        <w:textAlignment w:val="auto"/>
        <w:rPr>
          <w:rFonts w:hint="eastAsia"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2024年度，我局认真执行《中华人民共和国政府信息公开条例》和县政府信息公开多项制度，结合实际，面向社会公众，深化政务公开，优化政务服务，强化交流互动，不断完善局信息公开工作，提高商务工作的透明度和公信力，在保障公众知情权、表达权、参与权、监督权方面取得了积极的成效。</w:t>
      </w:r>
    </w:p>
    <w:p>
      <w:pPr>
        <w:pStyle w:val="5"/>
        <w:keepNext w:val="0"/>
        <w:keepLines w:val="0"/>
        <w:pageBreakBefore w:val="0"/>
        <w:widowControl/>
        <w:kinsoku/>
        <w:wordWrap/>
        <w:overflowPunct/>
        <w:topLinePunct w:val="0"/>
        <w:autoSpaceDE/>
        <w:autoSpaceDN/>
        <w:bidi w:val="0"/>
        <w:adjustRightInd/>
        <w:snapToGrid/>
        <w:spacing w:beforeAutospacing="0" w:afterAutospacing="0"/>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（一）主动公开情况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1.概况信息。主动公开我局主要职责、机构职能、领导信息等。2024年，我局主动公开相关信息2条。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2.政策文件。主动公开发布商务政策信息，主要包括外资外贸、商贸流通、电子商务等相关政策。2024年，我局主动公开相关信息0条。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3.规划计划。主要包括全县招商引资、安商服务、外资外贸、商贸流通、电子商务等工作。2024年，我局主动公开相关信息0条。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4.工作动态。围绕我局主责主业和中心工作，重点公开招商引资、外资外贸、内贸流通、电子商务、创文创卫、安全生产等相关信息;以及公开国家、省、市商务部门动态等。2024年，我局主动公开相关信息61条。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5.财经信息。包括我局编制的预算收支和“三公”经费预算统计表等。2024年，我局主动公开相关信息4条。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hint="eastAsia"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6.其他需要公开的信息。除上述5类信息以外我局认为需要公开的其他信息0条。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（二）依申请公开情况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hint="eastAsia"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2024年，</w:t>
      </w:r>
      <w:r>
        <w:rPr>
          <w:rFonts w:ascii="仿宋_GB2312" w:hAnsi="宋体" w:eastAsia="仿宋_GB2312" w:cs="仿宋_GB2312"/>
          <w:spacing w:val="26"/>
          <w:kern w:val="2"/>
          <w:sz w:val="32"/>
          <w:szCs w:val="32"/>
          <w:lang w:val="en-US" w:eastAsia="zh-CN" w:bidi="ar"/>
        </w:rPr>
        <w:t>我局对依申请公开的受理渠道、办理流程等方面进行了明确的规定。规范依申请公开件的分办、办理、审查和批准等流程，做到依申请公开办理的规范化、流程化、标准化、痕迹化。</w:t>
      </w:r>
      <w:r>
        <w:rPr>
          <w:rFonts w:hint="eastAsia" w:ascii="仿宋_GB2312" w:hAnsi="宋体" w:eastAsia="仿宋_GB2312" w:cs="仿宋_GB2312"/>
          <w:spacing w:val="26"/>
          <w:kern w:val="2"/>
          <w:sz w:val="32"/>
          <w:szCs w:val="32"/>
          <w:lang w:val="en-US" w:eastAsia="zh-CN" w:bidi="ar"/>
        </w:rPr>
        <w:t>2024年我局未收到已申请公开事项。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（三）政府信息管理情况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hint="eastAsia"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2024年，我局</w:t>
      </w:r>
      <w:r>
        <w:rPr>
          <w:rFonts w:ascii="仿宋_GB2312" w:hAnsi="宋体" w:eastAsia="仿宋_GB2312" w:cs="仿宋_GB2312"/>
          <w:spacing w:val="26"/>
          <w:kern w:val="2"/>
          <w:sz w:val="32"/>
          <w:szCs w:val="32"/>
          <w:lang w:val="en-US" w:eastAsia="zh-CN" w:bidi="ar"/>
        </w:rPr>
        <w:t>加大政府信息公开力度，及时对政务公开指南、公开目录、内容要素要求和公开程序进行完善，保障信息公开的及时性、准确性和安全性。目前我局微信公众号</w:t>
      </w:r>
      <w:r>
        <w:rPr>
          <w:rFonts w:hint="eastAsia" w:ascii="仿宋_GB2312" w:hAnsi="宋体" w:eastAsia="仿宋_GB2312" w:cs="仿宋_GB2312"/>
          <w:spacing w:val="26"/>
          <w:kern w:val="2"/>
          <w:sz w:val="32"/>
          <w:szCs w:val="32"/>
          <w:lang w:val="en-US" w:eastAsia="zh-CN" w:bidi="ar"/>
        </w:rPr>
        <w:t>“投资上犹”</w:t>
      </w:r>
      <w:r>
        <w:rPr>
          <w:rFonts w:ascii="仿宋_GB2312" w:hAnsi="宋体" w:eastAsia="仿宋_GB2312" w:cs="仿宋_GB2312"/>
          <w:spacing w:val="26"/>
          <w:kern w:val="2"/>
          <w:sz w:val="32"/>
          <w:szCs w:val="32"/>
          <w:lang w:val="en-US" w:eastAsia="zh-CN" w:bidi="ar"/>
        </w:rPr>
        <w:t>信息公开目录包含政策文件、工作信息、业务工作、法律宣传、公众互动等栏目，符合上级有关</w:t>
      </w:r>
      <w:r>
        <w:rPr>
          <w:rFonts w:hint="eastAsia" w:ascii="仿宋_GB2312" w:hAnsi="宋体" w:eastAsia="仿宋_GB2312" w:cs="仿宋_GB2312"/>
          <w:spacing w:val="26"/>
          <w:kern w:val="2"/>
          <w:sz w:val="32"/>
          <w:szCs w:val="32"/>
          <w:lang w:val="en-US" w:eastAsia="zh-CN" w:bidi="ar"/>
        </w:rPr>
        <w:t>政府信息公开内容的要求。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（四）政府信息公开平台建设情况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hint="eastAsia"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2024年，我局积极推进我局门户网站优质规范发展，加强网站内容建设和信息发布审核，坚决把好政治关、政策关、文字关，确保信息发布准确无误。同时加强“投资上犹”微信号管理，建立健全相关工作制度，安排专人负责，做好内容保障、安全防护、监督管理等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（五）监督保障情况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hint="eastAsia"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2024年，</w:t>
      </w:r>
      <w:r>
        <w:rPr>
          <w:rFonts w:ascii="仿宋_GB2312" w:hAnsi="宋体" w:eastAsia="仿宋_GB2312" w:cs="仿宋_GB2312"/>
          <w:spacing w:val="26"/>
          <w:kern w:val="2"/>
          <w:sz w:val="32"/>
          <w:szCs w:val="32"/>
          <w:lang w:val="en-US" w:eastAsia="zh-CN" w:bidi="ar"/>
        </w:rPr>
        <w:t>我局高度重视的监督考核工作，明确由各</w:t>
      </w:r>
      <w:r>
        <w:rPr>
          <w:rFonts w:hint="eastAsia" w:ascii="仿宋_GB2312" w:hAnsi="宋体" w:eastAsia="仿宋_GB2312" w:cs="仿宋_GB2312"/>
          <w:spacing w:val="26"/>
          <w:kern w:val="2"/>
          <w:sz w:val="32"/>
          <w:szCs w:val="32"/>
          <w:lang w:val="en-US" w:eastAsia="zh-CN" w:bidi="ar"/>
        </w:rPr>
        <w:t>股室及局属单位按具体责任分工，负责相关栏目的内容保障和审核、更新。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b/>
          <w:sz w:val="32"/>
          <w:szCs w:val="32"/>
        </w:rPr>
      </w:pPr>
      <w:r>
        <w:rPr>
          <w:rFonts w:hint="eastAsia" w:ascii="黑体" w:hAnsi="黑体" w:eastAsia="黑体" w:cs="黑体"/>
          <w:b w:val="0"/>
          <w:bCs/>
          <w:sz w:val="32"/>
          <w:szCs w:val="32"/>
        </w:rPr>
        <w:t>二、主动公开政府信息情况</w:t>
      </w: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本年</w:t>
            </w:r>
            <w:r>
              <w:rPr>
                <w:rFonts w:hint="eastAsia" w:ascii="宋体" w:hAnsi="宋体" w:eastAsia="宋体" w:cs="宋体"/>
                <w:kern w:val="0"/>
                <w:sz w:val="20"/>
                <w:szCs w:val="20"/>
              </w:rPr>
              <w:t>制发件数</w:t>
            </w:r>
          </w:p>
        </w:tc>
        <w:tc>
          <w:tcPr>
            <w:tcW w:w="243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现行有效件</w:t>
            </w:r>
            <w:r>
              <w:rPr>
                <w:rFonts w:hint="eastAsia" w:ascii="宋体" w:hAnsi="宋体" w:eastAsia="宋体" w:cs="宋体"/>
                <w:kern w:val="0"/>
                <w:sz w:val="20"/>
                <w:szCs w:val="20"/>
              </w:rPr>
              <w:t>数</w:t>
            </w:r>
          </w:p>
        </w:tc>
      </w:tr>
      <w:tr>
        <w:tblPrEx>
          <w:tblCellMar>
            <w:top w:w="0" w:type="dxa"/>
            <w:left w:w="0" w:type="dxa"/>
            <w:bottom w:w="0" w:type="dxa"/>
            <w:right w:w="0" w:type="dxa"/>
          </w:tblCellMar>
        </w:tblPrEx>
        <w:trPr>
          <w:trHeight w:val="37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rPr>
              <w:t>行政许可</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lang w:val="en-US" w:eastAsia="zh-CN" w:bidi="ar"/>
              </w:rPr>
              <w:t>0</w:t>
            </w:r>
          </w:p>
        </w:tc>
      </w:tr>
      <w:tr>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rPr>
              <w:t>第二十条第（六）项</w:t>
            </w:r>
          </w:p>
        </w:tc>
      </w:tr>
      <w:tr>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pPr>
            <w:r>
              <w:rPr>
                <w:rFonts w:hint="eastAsia" w:ascii="宋体" w:hAnsi="宋体" w:eastAsia="宋体" w:cs="宋体"/>
                <w:color w:val="000000"/>
                <w:kern w:val="0"/>
                <w:sz w:val="20"/>
                <w:szCs w:val="20"/>
              </w:rPr>
              <w:t>第二十条第（八）项</w:t>
            </w:r>
          </w:p>
        </w:tc>
      </w:tr>
      <w:tr>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ascii="宋体"/>
                <w:sz w:val="24"/>
              </w:rPr>
            </w:pPr>
            <w:r>
              <w:rPr>
                <w:rFonts w:hint="eastAsia" w:ascii="宋体" w:hAnsi="宋体" w:eastAsia="宋体" w:cs="宋体"/>
                <w:color w:val="000000"/>
                <w:kern w:val="0"/>
                <w:sz w:val="20"/>
                <w:szCs w:val="20"/>
                <w:lang w:val="en-US" w:eastAsia="zh-CN" w:bidi="ar"/>
              </w:rPr>
              <w:t>0</w:t>
            </w:r>
          </w:p>
        </w:tc>
      </w:tr>
    </w:tbl>
    <w:p>
      <w:pPr>
        <w:pStyle w:val="5"/>
        <w:widowControl/>
        <w:spacing w:beforeAutospacing="0" w:afterAutospacing="0"/>
        <w:jc w:val="both"/>
        <w:rPr>
          <w:rFonts w:ascii="黑体" w:hAnsi="黑体" w:eastAsia="黑体" w:cs="黑体"/>
          <w:b/>
          <w:sz w:val="32"/>
          <w:szCs w:val="32"/>
        </w:rPr>
      </w:pPr>
    </w:p>
    <w:p>
      <w:pPr>
        <w:pStyle w:val="5"/>
        <w:widowControl/>
        <w:spacing w:beforeAutospacing="0" w:afterAutospacing="0"/>
        <w:ind w:firstLine="420"/>
        <w:jc w:val="both"/>
        <w:rPr>
          <w:rFonts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tbl>
      <w:tblPr>
        <w:tblStyle w:val="6"/>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widowControl/>
              <w:jc w:val="left"/>
            </w:pPr>
            <w:r>
              <w:rPr>
                <w:rFonts w:hint="eastAsia" w:ascii="黑体" w:hAnsi="黑体" w:eastAsia="黑体" w:cs="黑体"/>
                <w:bCs/>
                <w:kern w:val="0"/>
                <w:sz w:val="20"/>
                <w:szCs w:val="20"/>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rPr>
                <w:rFonts w:ascii="宋体"/>
                <w:sz w:val="24"/>
              </w:rPr>
            </w:pPr>
          </w:p>
        </w:tc>
        <w:tc>
          <w:tcPr>
            <w:tcW w:w="685" w:type="dxa"/>
            <w:vMerge w:val="restart"/>
            <w:tcBorders>
              <w:top w:val="nil"/>
              <w:left w:val="nil"/>
              <w:bottom w:val="single" w:color="auto" w:sz="8"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自然人</w:t>
            </w:r>
          </w:p>
        </w:tc>
        <w:tc>
          <w:tcPr>
            <w:tcW w:w="3425"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法人或其他组织</w:t>
            </w:r>
          </w:p>
        </w:tc>
        <w:tc>
          <w:tcPr>
            <w:tcW w:w="685" w:type="dxa"/>
            <w:vMerge w:val="restart"/>
            <w:tcBorders>
              <w:top w:val="single" w:color="auto" w:sz="8" w:space="0"/>
              <w:left w:val="nil"/>
              <w:bottom w:val="outset" w:color="auto" w:sz="6"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rPr>
                <w:rFonts w:ascii="宋体"/>
                <w:sz w:val="24"/>
              </w:rPr>
            </w:pPr>
          </w:p>
        </w:tc>
        <w:tc>
          <w:tcPr>
            <w:tcW w:w="685" w:type="dxa"/>
            <w:vMerge w:val="continue"/>
            <w:tcBorders>
              <w:top w:val="nil"/>
              <w:left w:val="nil"/>
              <w:bottom w:val="single" w:color="auto" w:sz="8" w:space="0"/>
              <w:right w:val="single" w:color="auto" w:sz="8" w:space="0"/>
            </w:tcBorders>
            <w:shd w:val="clear" w:color="auto" w:fill="auto"/>
            <w:vAlign w:val="center"/>
          </w:tcPr>
          <w:p>
            <w:pPr>
              <w:rPr>
                <w:rFonts w:ascii="宋体"/>
                <w:sz w:val="24"/>
              </w:rPr>
            </w:pPr>
          </w:p>
        </w:tc>
        <w:tc>
          <w:tcPr>
            <w:tcW w:w="685" w:type="dxa"/>
            <w:tcBorders>
              <w:top w:val="nil"/>
              <w:left w:val="nil"/>
              <w:bottom w:val="single" w:color="auto" w:sz="8"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商业</w:t>
            </w:r>
          </w:p>
          <w:p>
            <w:pPr>
              <w:widowControl/>
              <w:jc w:val="center"/>
            </w:pPr>
            <w:r>
              <w:rPr>
                <w:rFonts w:hint="eastAsia" w:ascii="宋体" w:hAnsi="宋体" w:eastAsia="宋体" w:cs="宋体"/>
                <w:kern w:val="0"/>
                <w:sz w:val="20"/>
                <w:szCs w:val="20"/>
              </w:rPr>
              <w:t>企业</w:t>
            </w:r>
          </w:p>
        </w:tc>
        <w:tc>
          <w:tcPr>
            <w:tcW w:w="685" w:type="dxa"/>
            <w:tcBorders>
              <w:top w:val="nil"/>
              <w:left w:val="nil"/>
              <w:bottom w:val="single" w:color="auto" w:sz="8"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科研</w:t>
            </w:r>
          </w:p>
          <w:p>
            <w:pPr>
              <w:widowControl/>
              <w:jc w:val="center"/>
            </w:pPr>
            <w:r>
              <w:rPr>
                <w:rFonts w:hint="eastAsia" w:ascii="宋体" w:hAnsi="宋体" w:eastAsia="宋体" w:cs="宋体"/>
                <w:kern w:val="0"/>
                <w:sz w:val="20"/>
                <w:szCs w:val="20"/>
              </w:rPr>
              <w:t>机构</w:t>
            </w:r>
          </w:p>
        </w:tc>
        <w:tc>
          <w:tcPr>
            <w:tcW w:w="685" w:type="dxa"/>
            <w:tcBorders>
              <w:top w:val="single" w:color="auto" w:sz="8" w:space="0"/>
              <w:left w:val="nil"/>
              <w:bottom w:val="single" w:color="auto" w:sz="8"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社会公益组织</w:t>
            </w:r>
          </w:p>
        </w:tc>
        <w:tc>
          <w:tcPr>
            <w:tcW w:w="685" w:type="dxa"/>
            <w:tcBorders>
              <w:top w:val="single" w:color="auto" w:sz="8" w:space="0"/>
              <w:left w:val="nil"/>
              <w:bottom w:val="single" w:color="auto" w:sz="8"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法律服务机构</w:t>
            </w:r>
          </w:p>
        </w:tc>
        <w:tc>
          <w:tcPr>
            <w:tcW w:w="685" w:type="dxa"/>
            <w:tcBorders>
              <w:top w:val="single" w:color="auto" w:sz="8" w:space="0"/>
              <w:left w:val="nil"/>
              <w:bottom w:val="single" w:color="auto" w:sz="8" w:space="0"/>
              <w:right w:val="single" w:color="auto" w:sz="8" w:space="0"/>
            </w:tcBorders>
            <w:shd w:val="clear" w:color="auto" w:fill="auto"/>
            <w:vAlign w:val="center"/>
          </w:tcPr>
          <w:p>
            <w:pPr>
              <w:widowControl/>
              <w:jc w:val="center"/>
            </w:pPr>
            <w:r>
              <w:rPr>
                <w:rFonts w:hint="eastAsia" w:ascii="宋体" w:hAnsi="宋体" w:eastAsia="宋体" w:cs="宋体"/>
                <w:kern w:val="0"/>
                <w:sz w:val="20"/>
                <w:szCs w:val="20"/>
              </w:rPr>
              <w:t>其他</w:t>
            </w:r>
          </w:p>
        </w:tc>
        <w:tc>
          <w:tcPr>
            <w:tcW w:w="685" w:type="dxa"/>
            <w:vMerge w:val="continue"/>
            <w:tcBorders>
              <w:top w:val="single" w:color="auto" w:sz="8" w:space="0"/>
              <w:left w:val="nil"/>
              <w:bottom w:val="outset" w:color="auto" w:sz="6" w:space="0"/>
              <w:right w:val="single" w:color="auto" w:sz="8" w:space="0"/>
            </w:tcBorders>
            <w:shd w:val="clear" w:color="auto" w:fill="auto"/>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一、本年新收政府信息公开申请数量</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二、上年结转政府信息公开申请数量</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restart"/>
            <w:tcBorders>
              <w:top w:val="nil"/>
              <w:left w:val="single" w:color="auto" w:sz="8" w:space="0"/>
              <w:bottom w:val="outset" w:color="auto" w:sz="6"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三、本年度办理结果</w:t>
            </w:r>
          </w:p>
        </w:tc>
        <w:tc>
          <w:tcPr>
            <w:tcW w:w="4192" w:type="dxa"/>
            <w:gridSpan w:val="2"/>
            <w:tcBorders>
              <w:top w:val="nil"/>
              <w:left w:val="nil"/>
              <w:bottom w:val="single" w:color="auto" w:sz="8"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（一）予以公开</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4192" w:type="dxa"/>
            <w:gridSpan w:val="2"/>
            <w:tcBorders>
              <w:top w:val="nil"/>
              <w:left w:val="nil"/>
              <w:bottom w:val="single" w:color="auto" w:sz="8"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（二）部分公开</w:t>
            </w:r>
            <w:r>
              <w:rPr>
                <w:rFonts w:hint="eastAsia" w:ascii="黑体" w:hAnsi="黑体" w:eastAsia="黑体" w:cs="黑体"/>
                <w:kern w:val="0"/>
                <w:sz w:val="20"/>
                <w:szCs w:val="20"/>
              </w:rPr>
              <w:t>（区分处理的，只计这一情形，不计其他情形）</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restart"/>
            <w:tcBorders>
              <w:top w:val="nil"/>
              <w:left w:val="nil"/>
              <w:bottom w:val="outset" w:color="auto" w:sz="6"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（三）不予公开</w:t>
            </w: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1.属于国家秘密</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2.其他法律行政法规禁止公开</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3.危及“三安全一稳定”</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4.保护第三方合法权益</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5.属于三类内部事务信息</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6.属于四类过程性信息</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7.属于行政执法案卷</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8.属于行政查询事项</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restart"/>
            <w:tcBorders>
              <w:top w:val="nil"/>
              <w:left w:val="nil"/>
              <w:bottom w:val="outset" w:color="auto" w:sz="6"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（四）无法提供</w:t>
            </w: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1.本机关不掌握相关政府信息</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2.没有现成信息需要另行制作</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3.补正后申请内容仍不明确</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restart"/>
            <w:tcBorders>
              <w:top w:val="nil"/>
              <w:left w:val="nil"/>
              <w:bottom w:val="outset" w:color="auto" w:sz="6"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（五）不予处理</w:t>
            </w:r>
          </w:p>
        </w:tc>
        <w:tc>
          <w:tcPr>
            <w:tcW w:w="3271" w:type="dxa"/>
            <w:tcBorders>
              <w:top w:val="nil"/>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1.信访举报投诉类申请</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single" w:color="auto" w:sz="8" w:space="0"/>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2.重复申请</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single" w:color="auto" w:sz="8" w:space="0"/>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3.要求提供公开出版物</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single" w:color="auto" w:sz="8" w:space="0"/>
              <w:left w:val="nil"/>
              <w:bottom w:val="single" w:color="auto" w:sz="8" w:space="0"/>
              <w:right w:val="single" w:color="auto" w:sz="8" w:space="0"/>
            </w:tcBorders>
            <w:shd w:val="clear" w:color="auto" w:fill="auto"/>
          </w:tcPr>
          <w:p>
            <w:pPr>
              <w:widowControl/>
              <w:jc w:val="left"/>
            </w:pPr>
            <w:r>
              <w:rPr>
                <w:rFonts w:hint="eastAsia" w:ascii="宋体" w:hAnsi="宋体" w:eastAsia="宋体" w:cs="宋体"/>
                <w:kern w:val="0"/>
                <w:sz w:val="20"/>
                <w:szCs w:val="20"/>
              </w:rPr>
              <w:t>4.无正当理由大量反复申请</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outset" w:color="auto" w:sz="6" w:space="0"/>
              <w:right w:val="single" w:color="auto" w:sz="8" w:space="0"/>
            </w:tcBorders>
            <w:shd w:val="clear" w:color="auto" w:fill="auto"/>
            <w:vAlign w:val="center"/>
          </w:tcPr>
          <w:p>
            <w:pPr>
              <w:widowControl/>
            </w:pPr>
            <w:r>
              <w:rPr>
                <w:rFonts w:hint="eastAsia" w:ascii="宋体" w:hAnsi="宋体" w:eastAsia="宋体" w:cs="宋体"/>
                <w:kern w:val="0"/>
                <w:sz w:val="20"/>
                <w:szCs w:val="20"/>
              </w:rPr>
              <w:t>5.要求行政机关确认或重新出具已获取信息</w:t>
            </w:r>
          </w:p>
        </w:tc>
        <w:tc>
          <w:tcPr>
            <w:tcW w:w="68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restart"/>
            <w:tcBorders>
              <w:top w:val="outset" w:color="auto" w:sz="6" w:space="0"/>
              <w:left w:val="nil"/>
              <w:bottom w:val="outset" w:color="auto" w:sz="6"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（六）其他处理</w:t>
            </w:r>
          </w:p>
        </w:tc>
        <w:tc>
          <w:tcPr>
            <w:tcW w:w="3271" w:type="dxa"/>
            <w:tcBorders>
              <w:top w:val="nil"/>
              <w:left w:val="nil"/>
              <w:bottom w:val="single" w:color="auto" w:sz="8" w:space="0"/>
              <w:right w:val="single" w:color="auto" w:sz="8" w:space="0"/>
            </w:tcBorders>
            <w:shd w:val="clear" w:color="auto" w:fill="auto"/>
            <w:vAlign w:val="center"/>
          </w:tcPr>
          <w:p>
            <w:pPr>
              <w:widowControl/>
            </w:pPr>
            <w:r>
              <w:rPr>
                <w:rFonts w:hint="eastAsia" w:ascii="宋体" w:hAnsi="宋体" w:eastAsia="宋体" w:cs="宋体"/>
                <w:kern w:val="0"/>
                <w:sz w:val="20"/>
                <w:szCs w:val="20"/>
              </w:rPr>
              <w:t>1.申请人无正当理由逾期不补正、行政机关不再处理其政府信息公开申请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vAlign w:val="center"/>
          </w:tcPr>
          <w:p>
            <w:pPr>
              <w:widowControl/>
            </w:pPr>
            <w:r>
              <w:rPr>
                <w:rFonts w:hint="eastAsia" w:ascii="宋体" w:hAnsi="宋体" w:eastAsia="宋体" w:cs="宋体"/>
                <w:kern w:val="0"/>
                <w:sz w:val="20"/>
                <w:szCs w:val="20"/>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3.其他</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4192" w:type="dxa"/>
            <w:gridSpan w:val="2"/>
            <w:tcBorders>
              <w:top w:val="nil"/>
              <w:left w:val="nil"/>
              <w:bottom w:val="single" w:color="auto" w:sz="8"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（七）总计</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pPr>
              <w:widowControl/>
              <w:jc w:val="left"/>
            </w:pPr>
            <w:r>
              <w:rPr>
                <w:rFonts w:hint="eastAsia" w:ascii="宋体" w:hAnsi="宋体" w:eastAsia="宋体" w:cs="宋体"/>
                <w:kern w:val="0"/>
                <w:sz w:val="20"/>
                <w:szCs w:val="20"/>
              </w:rPr>
              <w:t>四、结转下年度继续办理</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pPr>
        <w:widowControl/>
        <w:rPr>
          <w:rFonts w:hint="eastAsia" w:ascii="黑体" w:hAnsi="黑体" w:eastAsia="黑体" w:cs="黑体"/>
          <w:b/>
          <w:kern w:val="0"/>
          <w:sz w:val="32"/>
          <w:szCs w:val="32"/>
        </w:rPr>
      </w:pPr>
    </w:p>
    <w:p>
      <w:pPr>
        <w:pStyle w:val="5"/>
        <w:widowControl/>
        <w:spacing w:beforeAutospacing="0" w:afterAutospacing="0"/>
        <w:ind w:firstLine="420"/>
        <w:jc w:val="both"/>
        <w:rPr>
          <w:rFonts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p>
      <w:pPr>
        <w:widowControl/>
        <w:jc w:val="center"/>
      </w:pPr>
    </w:p>
    <w:tbl>
      <w:tblPr>
        <w:tblStyle w:val="6"/>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kern w:val="0"/>
                <w:sz w:val="20"/>
                <w:szCs w:val="20"/>
              </w:rPr>
              <w:t>行政复议</w:t>
            </w:r>
          </w:p>
        </w:tc>
        <w:tc>
          <w:tcPr>
            <w:tcW w:w="642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kern w:val="0"/>
                <w:sz w:val="20"/>
                <w:szCs w:val="20"/>
              </w:rPr>
              <w:t>结果维持</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pPr>
              <w:widowControl/>
              <w:jc w:val="center"/>
            </w:pPr>
            <w:r>
              <w:rPr>
                <w:rFonts w:hint="eastAsia" w:ascii="宋体" w:hAnsi="宋体" w:eastAsia="宋体" w:cs="宋体"/>
                <w:kern w:val="0"/>
                <w:sz w:val="20"/>
                <w:szCs w:val="20"/>
              </w:rPr>
              <w:t>纠正</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p>
            <w:pPr>
              <w:widowControl/>
              <w:jc w:val="center"/>
            </w:pPr>
            <w:r>
              <w:rPr>
                <w:rFonts w:hint="eastAsia" w:ascii="宋体" w:hAnsi="宋体" w:eastAsia="宋体" w:cs="宋体"/>
                <w:kern w:val="0"/>
                <w:sz w:val="20"/>
                <w:szCs w:val="20"/>
              </w:rPr>
              <w:t>结果</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尚未</w:t>
            </w:r>
          </w:p>
          <w:p>
            <w:pPr>
              <w:widowControl/>
              <w:jc w:val="center"/>
            </w:pPr>
            <w:r>
              <w:rPr>
                <w:rFonts w:hint="eastAsia" w:ascii="宋体" w:hAnsi="宋体" w:eastAsia="宋体" w:cs="宋体"/>
                <w:kern w:val="0"/>
                <w:sz w:val="20"/>
                <w:szCs w:val="20"/>
              </w:rPr>
              <w:t>审结</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kern w:val="0"/>
                <w:sz w:val="20"/>
                <w:szCs w:val="20"/>
              </w:rPr>
              <w:t>总计</w:t>
            </w:r>
          </w:p>
        </w:tc>
        <w:tc>
          <w:tcPr>
            <w:tcW w:w="321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kern w:val="0"/>
                <w:sz w:val="20"/>
                <w:szCs w:val="20"/>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pPr>
              <w:widowControl/>
              <w:jc w:val="center"/>
            </w:pPr>
            <w:r>
              <w:rPr>
                <w:rFonts w:hint="eastAsia" w:ascii="宋体" w:hAnsi="宋体" w:eastAsia="宋体" w:cs="宋体"/>
                <w:kern w:val="0"/>
                <w:sz w:val="20"/>
                <w:szCs w:val="20"/>
              </w:rPr>
              <w:t>维持</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pPr>
              <w:widowControl/>
              <w:jc w:val="center"/>
            </w:pPr>
            <w:r>
              <w:rPr>
                <w:rFonts w:hint="eastAsia" w:ascii="宋体" w:hAnsi="宋体" w:eastAsia="宋体" w:cs="宋体"/>
                <w:kern w:val="0"/>
                <w:sz w:val="20"/>
                <w:szCs w:val="20"/>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p>
            <w:pPr>
              <w:widowControl/>
              <w:jc w:val="center"/>
            </w:pPr>
            <w:r>
              <w:rPr>
                <w:rFonts w:hint="eastAsia" w:ascii="宋体" w:hAnsi="宋体" w:eastAsia="宋体" w:cs="宋体"/>
                <w:kern w:val="0"/>
                <w:sz w:val="20"/>
                <w:szCs w:val="20"/>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尚未</w:t>
            </w:r>
          </w:p>
          <w:p>
            <w:pPr>
              <w:widowControl/>
              <w:jc w:val="center"/>
            </w:pPr>
            <w:r>
              <w:rPr>
                <w:rFonts w:hint="eastAsia" w:ascii="宋体" w:hAnsi="宋体" w:eastAsia="宋体" w:cs="宋体"/>
                <w:kern w:val="0"/>
                <w:sz w:val="20"/>
                <w:szCs w:val="20"/>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color w:val="000000"/>
                <w:kern w:val="0"/>
                <w:sz w:val="20"/>
                <w:szCs w:val="20"/>
              </w:rPr>
              <w:t>总计</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pPr>
              <w:widowControl/>
              <w:jc w:val="center"/>
            </w:pPr>
            <w:r>
              <w:rPr>
                <w:rFonts w:hint="eastAsia" w:ascii="宋体" w:hAnsi="宋体" w:eastAsia="宋体" w:cs="宋体"/>
                <w:kern w:val="0"/>
                <w:sz w:val="20"/>
                <w:szCs w:val="20"/>
              </w:rPr>
              <w:t>维持</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pPr>
              <w:widowControl/>
              <w:jc w:val="center"/>
            </w:pPr>
            <w:r>
              <w:rPr>
                <w:rFonts w:hint="eastAsia" w:ascii="宋体" w:hAnsi="宋体" w:eastAsia="宋体" w:cs="宋体"/>
                <w:kern w:val="0"/>
                <w:sz w:val="20"/>
                <w:szCs w:val="20"/>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w:t>
            </w:r>
          </w:p>
          <w:p>
            <w:pPr>
              <w:widowControl/>
              <w:jc w:val="center"/>
            </w:pPr>
            <w:r>
              <w:rPr>
                <w:rFonts w:hint="eastAsia" w:ascii="宋体" w:hAnsi="宋体" w:eastAsia="宋体" w:cs="宋体"/>
                <w:color w:val="000000"/>
                <w:kern w:val="0"/>
                <w:sz w:val="20"/>
                <w:szCs w:val="20"/>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尚未</w:t>
            </w:r>
          </w:p>
          <w:p>
            <w:pPr>
              <w:widowControl/>
              <w:jc w:val="center"/>
            </w:pPr>
            <w:r>
              <w:rPr>
                <w:rFonts w:hint="eastAsia" w:ascii="宋体" w:hAnsi="宋体" w:eastAsia="宋体" w:cs="宋体"/>
                <w:kern w:val="0"/>
                <w:sz w:val="20"/>
                <w:szCs w:val="20"/>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Lines="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pPr>
        <w:pStyle w:val="5"/>
        <w:widowControl/>
        <w:spacing w:beforeAutospacing="0" w:afterAutospacing="0"/>
        <w:ind w:firstLine="420"/>
        <w:jc w:val="both"/>
        <w:rPr>
          <w:rFonts w:hint="eastAsia" w:ascii="黑体" w:hAnsi="黑体" w:eastAsia="黑体" w:cs="黑体"/>
          <w:b w:val="0"/>
          <w:bCs/>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（一）存在的问题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ascii="仿宋_GB2312" w:hAnsi="宋体" w:eastAsia="仿宋_GB2312" w:cs="仿宋_GB2312"/>
          <w:spacing w:val="26"/>
          <w:kern w:val="2"/>
          <w:sz w:val="32"/>
          <w:szCs w:val="32"/>
          <w:lang w:val="en-US" w:eastAsia="zh-CN" w:bidi="ar"/>
        </w:rPr>
        <w:t>202</w:t>
      </w:r>
      <w:r>
        <w:rPr>
          <w:rFonts w:hint="eastAsia" w:ascii="仿宋_GB2312" w:hAnsi="宋体" w:eastAsia="仿宋_GB2312" w:cs="仿宋_GB2312"/>
          <w:spacing w:val="26"/>
          <w:kern w:val="2"/>
          <w:sz w:val="32"/>
          <w:szCs w:val="32"/>
          <w:lang w:val="en-US" w:eastAsia="zh-CN" w:bidi="ar"/>
        </w:rPr>
        <w:t>4年，我局政务公开工作虽然取得了一些成绩，但仍然存在许多不足。一是政务信息公开途径还不够多，公开形式需进一步拓展。二是有的公开内容还不规范、不具体，部分内容更新不及时。三是政务信息系统整合共享还不够深入。四是商务政务信息资源目录和共享需求目录还不够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（二）问题改进情况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hint="eastAsia"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我局以党的二十大精神为指导，按照县委县政府工作部署持续深化政务公开工作。一是加强政策解读。凡是涉及群众切身利益的重大政策措施、重点工程项目，在决策前广泛征求群众意见，出台后及时做好政策解读;二是编制公开事项标准目录。在全面梳理、细化、分类的基础上，逐项确定每个公开事项的标准，编制政务公开事项标准目录，确定公开事项的名称、依据、内容、主体、时限、方式、要求等要素，并实施动态调整；三是进一步规范政务公开工作流程。按照转变政府职能和推进“五公开”的要求，全面梳理和优化政务公开工作流程，健全工作机制，推动发布、解读、回应、互动有序衔接，实现决策、执行、管理、服务、结果全过程、各环节公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（一）政府信息公开信息处理费收取情况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202</w:t>
      </w:r>
      <w:r>
        <w:rPr>
          <w:rFonts w:ascii="仿宋_GB2312" w:hAnsi="宋体" w:eastAsia="仿宋_GB2312" w:cs="仿宋_GB2312"/>
          <w:spacing w:val="26"/>
          <w:kern w:val="2"/>
          <w:sz w:val="32"/>
          <w:szCs w:val="32"/>
          <w:lang w:val="en-US" w:eastAsia="zh-CN" w:bidi="ar"/>
        </w:rPr>
        <w:t>4</w:t>
      </w:r>
      <w:r>
        <w:rPr>
          <w:rFonts w:hint="eastAsia" w:ascii="仿宋_GB2312" w:hAnsi="宋体" w:eastAsia="仿宋_GB2312" w:cs="仿宋_GB2312"/>
          <w:spacing w:val="26"/>
          <w:kern w:val="2"/>
          <w:sz w:val="32"/>
          <w:szCs w:val="32"/>
          <w:lang w:val="en-US" w:eastAsia="zh-CN" w:bidi="ar"/>
        </w:rPr>
        <w:t>年度本机关未收取信息处理费。发出收费通知的件数和总金额，以及实际收取的总金额均为0。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（二）政务公开工作要点完成情况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一是</w:t>
      </w:r>
      <w:r>
        <w:rPr>
          <w:rFonts w:ascii="仿宋_GB2312" w:hAnsi="宋体" w:eastAsia="仿宋_GB2312" w:cs="仿宋_GB2312"/>
          <w:spacing w:val="26"/>
          <w:kern w:val="2"/>
          <w:sz w:val="32"/>
          <w:szCs w:val="32"/>
          <w:lang w:val="en-US" w:eastAsia="zh-CN" w:bidi="ar"/>
        </w:rPr>
        <w:t>构建主要领导负责、分管领导主抓、各股室落实的组织架构，严格落实主要领导信息发布安全问题第一责任人制度和内部责任追究制度。局办公室负责全面统筹、组织协调和落实相关工作，并指定专人负责信息发布和日常维护，切实保障该项工作稳步推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ascii="仿宋_GB2312" w:hAnsi="宋体" w:eastAsia="仿宋_GB2312" w:cs="仿宋_GB2312"/>
          <w:spacing w:val="26"/>
          <w:kern w:val="2"/>
          <w:sz w:val="32"/>
          <w:szCs w:val="32"/>
          <w:lang w:val="en-US" w:eastAsia="zh-CN" w:bidi="ar"/>
        </w:rPr>
        <w:t>二是进一步规范工作流程。按要求定期维护政府信息公开网，确保政府信息公开工作能够按照既定的工作流程有效运作，方便公众查询。办公室做好审核把关工作，不断规范政务公开行为，提高政务公开工作水平，杜绝公开信息出现错别字、敏感性词语、涉密词语、法言法律不规范词语、涉及隐私词语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ascii="仿宋_GB2312" w:hAnsi="宋体" w:eastAsia="仿宋_GB2312" w:cs="仿宋_GB2312"/>
          <w:spacing w:val="26"/>
          <w:kern w:val="2"/>
          <w:sz w:val="32"/>
          <w:szCs w:val="32"/>
          <w:lang w:val="en-US" w:eastAsia="zh-CN" w:bidi="ar"/>
        </w:rPr>
        <w:t>三是严格内容把关，规范发布程序。按照先审查、后公开，谁审查、谁负责，谁公开、谁负责的原则，每条信息均做到严格审查、严格控制、严格把关，确保上网信息不涉密、不涉敏、无错别字、无错误词，牢牢守住信息发布安全的红线底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6" w:firstLineChars="200"/>
        <w:jc w:val="both"/>
        <w:textAlignment w:val="auto"/>
        <w:rPr>
          <w:rFonts w:hint="eastAsia" w:ascii="方正楷体_GBK" w:hAnsi="方正楷体_GBK" w:eastAsia="方正楷体_GBK" w:cs="方正楷体_GBK"/>
          <w:b/>
          <w:bCs/>
          <w:spacing w:val="26"/>
          <w:kern w:val="2"/>
          <w:sz w:val="32"/>
          <w:szCs w:val="32"/>
          <w:lang w:val="en-US" w:eastAsia="zh-CN" w:bidi="ar"/>
        </w:rPr>
      </w:pPr>
      <w:r>
        <w:rPr>
          <w:rFonts w:hint="eastAsia" w:ascii="方正楷体_GBK" w:hAnsi="方正楷体_GBK" w:eastAsia="方正楷体_GBK" w:cs="方正楷体_GBK"/>
          <w:b/>
          <w:bCs/>
          <w:spacing w:val="26"/>
          <w:kern w:val="2"/>
          <w:sz w:val="32"/>
          <w:szCs w:val="32"/>
          <w:lang w:val="en-US" w:eastAsia="zh-CN" w:bidi="ar"/>
        </w:rPr>
        <w:t>（三）重点领域信息公开情况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ascii="仿宋_GB2312" w:hAnsi="宋体" w:eastAsia="仿宋_GB2312" w:cs="仿宋_GB2312"/>
          <w:spacing w:val="26"/>
          <w:kern w:val="2"/>
          <w:sz w:val="32"/>
          <w:szCs w:val="32"/>
          <w:lang w:val="en-US" w:eastAsia="zh-CN" w:bidi="ar"/>
        </w:rPr>
        <w:t>在“投资上犹”微信公众号</w:t>
      </w:r>
      <w:r>
        <w:rPr>
          <w:rFonts w:hint="default" w:ascii="仿宋_GB2312" w:hAnsi="宋体" w:eastAsia="仿宋_GB2312" w:cs="仿宋_GB2312"/>
          <w:spacing w:val="26"/>
          <w:kern w:val="2"/>
          <w:sz w:val="32"/>
          <w:szCs w:val="32"/>
          <w:lang w:val="en-US" w:eastAsia="zh-CN" w:bidi="ar"/>
        </w:rPr>
        <w:t>及时主动公开《2024年</w:t>
      </w:r>
      <w:r>
        <w:rPr>
          <w:rFonts w:ascii="仿宋_GB2312" w:hAnsi="宋体" w:eastAsia="仿宋_GB2312" w:cs="仿宋_GB2312"/>
          <w:spacing w:val="26"/>
          <w:kern w:val="2"/>
          <w:sz w:val="32"/>
          <w:szCs w:val="32"/>
          <w:lang w:val="en-US" w:eastAsia="zh-CN" w:bidi="ar"/>
        </w:rPr>
        <w:t>赣州文旅商贸消费券免费领</w:t>
      </w:r>
      <w:r>
        <w:rPr>
          <w:rFonts w:hint="default" w:ascii="仿宋_GB2312" w:hAnsi="宋体" w:eastAsia="仿宋_GB2312" w:cs="仿宋_GB2312"/>
          <w:spacing w:val="26"/>
          <w:kern w:val="2"/>
          <w:sz w:val="32"/>
          <w:szCs w:val="32"/>
          <w:lang w:val="en-US" w:eastAsia="zh-CN" w:bidi="ar"/>
        </w:rPr>
        <w:t>》《</w:t>
      </w:r>
      <w:r>
        <w:rPr>
          <w:rFonts w:ascii="仿宋_GB2312" w:hAnsi="宋体" w:eastAsia="仿宋_GB2312" w:cs="仿宋_GB2312"/>
          <w:spacing w:val="26"/>
          <w:kern w:val="2"/>
          <w:sz w:val="32"/>
          <w:szCs w:val="32"/>
          <w:lang w:val="en-US" w:eastAsia="zh-CN" w:bidi="ar"/>
        </w:rPr>
        <w:t>赣品入沪|上犹特色产品将于五一期间亮相首届沪上赣州美食推广活动</w:t>
      </w:r>
      <w:r>
        <w:rPr>
          <w:rFonts w:hint="default" w:ascii="仿宋_GB2312" w:hAnsi="宋体" w:eastAsia="仿宋_GB2312" w:cs="仿宋_GB2312"/>
          <w:spacing w:val="26"/>
          <w:kern w:val="2"/>
          <w:sz w:val="32"/>
          <w:szCs w:val="32"/>
          <w:lang w:val="en-US" w:eastAsia="zh-CN" w:bidi="ar"/>
        </w:rPr>
        <w:t>》和《</w:t>
      </w:r>
      <w:r>
        <w:rPr>
          <w:rFonts w:ascii="仿宋_GB2312" w:hAnsi="宋体" w:eastAsia="仿宋_GB2312" w:cs="仿宋_GB2312"/>
          <w:spacing w:val="26"/>
          <w:kern w:val="2"/>
          <w:sz w:val="32"/>
          <w:szCs w:val="32"/>
          <w:lang w:val="en-US" w:eastAsia="zh-CN" w:bidi="ar"/>
        </w:rPr>
        <w:t>上犹县</w:t>
      </w:r>
      <w:r>
        <w:rPr>
          <w:rFonts w:hint="default" w:ascii="仿宋_GB2312" w:hAnsi="宋体" w:eastAsia="仿宋_GB2312" w:cs="仿宋_GB2312"/>
          <w:spacing w:val="26"/>
          <w:kern w:val="2"/>
          <w:sz w:val="32"/>
          <w:szCs w:val="32"/>
          <w:lang w:val="en-US" w:eastAsia="zh-CN" w:bidi="ar"/>
        </w:rPr>
        <w:t>家电家装厨卫消费品“焕新”及电动自行车以旧换新补贴工作细则》，并配上文字和图片解读，强化扩大消费政策信息公开，加大餐饮、生活服务消费信息公开力度，促进消费加快恢复。</w:t>
      </w:r>
      <w:r>
        <w:rPr>
          <w:rFonts w:ascii="仿宋_GB2312" w:hAnsi="宋体" w:eastAsia="仿宋_GB2312" w:cs="仿宋_GB2312"/>
          <w:spacing w:val="26"/>
          <w:kern w:val="2"/>
          <w:sz w:val="32"/>
          <w:szCs w:val="32"/>
          <w:lang w:val="en-US" w:eastAsia="zh-CN" w:bidi="ar"/>
        </w:rPr>
        <w:t>2024年在“投资上犹”微信公众号发布重要信息64条。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both"/>
        <w:textAlignment w:val="auto"/>
        <w:rPr>
          <w:rFonts w:ascii="仿宋_GB2312" w:hAnsi="宋体" w:eastAsia="仿宋_GB2312" w:cs="仿宋_GB2312"/>
          <w:spacing w:val="26"/>
          <w:kern w:val="2"/>
          <w:sz w:val="32"/>
          <w:szCs w:val="32"/>
          <w:lang w:val="en-US" w:eastAsia="zh-CN" w:bidi="ar"/>
        </w:rPr>
      </w:pPr>
      <w:r>
        <w:rPr>
          <w:rFonts w:ascii="仿宋_GB2312" w:hAnsi="宋体" w:eastAsia="仿宋_GB2312" w:cs="仿宋_GB2312"/>
          <w:spacing w:val="26"/>
          <w:kern w:val="2"/>
          <w:sz w:val="32"/>
          <w:szCs w:val="32"/>
          <w:lang w:val="en-US" w:eastAsia="zh-CN" w:bidi="ar"/>
        </w:rPr>
        <w:t>本年度报告的电子版可以从上犹县人民政府网站（</w:t>
      </w:r>
      <w:r>
        <w:rPr>
          <w:rFonts w:hint="eastAsia" w:ascii="仿宋_GB2312" w:hAnsi="宋体" w:eastAsia="仿宋_GB2312" w:cs="仿宋_GB2312"/>
          <w:spacing w:val="26"/>
          <w:kern w:val="2"/>
          <w:sz w:val="32"/>
          <w:szCs w:val="32"/>
          <w:lang w:val="en-US" w:eastAsia="zh-CN" w:bidi="ar"/>
        </w:rPr>
        <w:t>http://www.shangyou.gov.cn）下载。如对本报告有任何疑问，请与上犹县商务局办公室联系（地址：上犹县稍口行政小区B栋6楼，邮编：341200，联系电话：0797-7132606，邮箱：jxsywmj@163.com）。</w:t>
      </w:r>
    </w:p>
    <w:p/>
    <w:p/>
    <w:p>
      <w:pPr>
        <w:keepNext w:val="0"/>
        <w:keepLines w:val="0"/>
        <w:pageBreakBefore w:val="0"/>
        <w:widowControl/>
        <w:suppressLineNumbers w:val="0"/>
        <w:kinsoku/>
        <w:wordWrap/>
        <w:overflowPunct/>
        <w:topLinePunct w:val="0"/>
        <w:autoSpaceDE/>
        <w:autoSpaceDN/>
        <w:bidi w:val="0"/>
        <w:adjustRightInd/>
        <w:snapToGrid/>
        <w:spacing w:line="560" w:lineRule="exact"/>
        <w:ind w:firstLine="744" w:firstLineChars="200"/>
        <w:jc w:val="right"/>
        <w:textAlignment w:val="auto"/>
        <w:rPr>
          <w:rFonts w:hint="default" w:ascii="仿宋_GB2312" w:hAnsi="宋体" w:eastAsia="仿宋_GB2312" w:cs="仿宋_GB2312"/>
          <w:spacing w:val="26"/>
          <w:kern w:val="2"/>
          <w:sz w:val="32"/>
          <w:szCs w:val="32"/>
          <w:lang w:val="en-US" w:eastAsia="zh-CN" w:bidi="ar"/>
        </w:rPr>
      </w:pPr>
      <w:r>
        <w:rPr>
          <w:rFonts w:hint="eastAsia" w:ascii="仿宋_GB2312" w:hAnsi="宋体" w:eastAsia="仿宋_GB2312" w:cs="仿宋_GB2312"/>
          <w:spacing w:val="26"/>
          <w:kern w:val="2"/>
          <w:sz w:val="32"/>
          <w:szCs w:val="32"/>
          <w:lang w:val="en-US" w:eastAsia="zh-CN" w:bidi="ar"/>
        </w:rPr>
        <w:t>2025年1月18日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宋体-PUA">
    <w:panose1 w:val="02010600030101010101"/>
    <w:charset w:val="86"/>
    <w:family w:val="auto"/>
    <w:pitch w:val="default"/>
    <w:sig w:usb0="00000000" w:usb1="1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1N2Q4NzIyYjIxMjU2YWFlZTkzYmQ2YWY0ODU4YWQifQ=="/>
  </w:docVars>
  <w:rsids>
    <w:rsidRoot w:val="F35F620B"/>
    <w:rsid w:val="000E1EEC"/>
    <w:rsid w:val="00976F41"/>
    <w:rsid w:val="00F34D00"/>
    <w:rsid w:val="029E1610"/>
    <w:rsid w:val="05102C0D"/>
    <w:rsid w:val="0674109C"/>
    <w:rsid w:val="08877BE0"/>
    <w:rsid w:val="0D23109A"/>
    <w:rsid w:val="0DDE356C"/>
    <w:rsid w:val="12A7787F"/>
    <w:rsid w:val="198A4263"/>
    <w:rsid w:val="1CC4061E"/>
    <w:rsid w:val="206A7390"/>
    <w:rsid w:val="21311327"/>
    <w:rsid w:val="262F2F49"/>
    <w:rsid w:val="265D2CE8"/>
    <w:rsid w:val="278018E1"/>
    <w:rsid w:val="2CE7356C"/>
    <w:rsid w:val="2EB71857"/>
    <w:rsid w:val="306C6577"/>
    <w:rsid w:val="308D747D"/>
    <w:rsid w:val="322F603B"/>
    <w:rsid w:val="33092244"/>
    <w:rsid w:val="3A92164B"/>
    <w:rsid w:val="3BCA6162"/>
    <w:rsid w:val="3C7D92AF"/>
    <w:rsid w:val="3ED723E2"/>
    <w:rsid w:val="3EE824B1"/>
    <w:rsid w:val="3FA4132B"/>
    <w:rsid w:val="3FFFDB67"/>
    <w:rsid w:val="401F3597"/>
    <w:rsid w:val="40C15F0C"/>
    <w:rsid w:val="45C4133E"/>
    <w:rsid w:val="47D3493F"/>
    <w:rsid w:val="480E3C82"/>
    <w:rsid w:val="4F363A2B"/>
    <w:rsid w:val="535334D8"/>
    <w:rsid w:val="54471ED1"/>
    <w:rsid w:val="563C3B2B"/>
    <w:rsid w:val="59DB2F9C"/>
    <w:rsid w:val="5E3D2FD5"/>
    <w:rsid w:val="627B4140"/>
    <w:rsid w:val="65091D3A"/>
    <w:rsid w:val="67B13D35"/>
    <w:rsid w:val="68DC5C29"/>
    <w:rsid w:val="6B77F051"/>
    <w:rsid w:val="6CB4220A"/>
    <w:rsid w:val="70205EFC"/>
    <w:rsid w:val="7361387E"/>
    <w:rsid w:val="73A76EC0"/>
    <w:rsid w:val="75DC28C5"/>
    <w:rsid w:val="76B94A5A"/>
    <w:rsid w:val="78FE57B9"/>
    <w:rsid w:val="7B6FFAD3"/>
    <w:rsid w:val="7E377A5F"/>
    <w:rsid w:val="7F212188"/>
    <w:rsid w:val="7FC56178"/>
    <w:rsid w:val="7FD85EAB"/>
    <w:rsid w:val="7FF77A1E"/>
    <w:rsid w:val="8ABFD2C5"/>
    <w:rsid w:val="C9EFECA7"/>
    <w:rsid w:val="DF5FAFA6"/>
    <w:rsid w:val="EFDD0747"/>
    <w:rsid w:val="F35F620B"/>
    <w:rsid w:val="FB7F562A"/>
    <w:rsid w:val="FDFF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3012</Words>
  <Characters>685</Characters>
  <Lines>97</Lines>
  <Paragraphs>194</Paragraphs>
  <TotalTime>12</TotalTime>
  <ScaleCrop>false</ScaleCrop>
  <LinksUpToDate>false</LinksUpToDate>
  <CharactersWithSpaces>3503</CharactersWithSpaces>
  <Application>WPS Office_11.8.2.1130_F1E327BC-269C-435d-A152-05C5408002CA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2025-01-08T15:17:00Z</dcterms:created>
  <dc:creator>Yolanda</dc:creator>
  <cp:lastModifiedBy>user</cp:lastModifiedBy>
  <dcterms:modified xsi:type="dcterms:W3CDTF">2025-01-23T10:20:40Z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DB2C415EA160491B9C6D792C6070BA2D_13</vt:lpwstr>
  </property>
  <property fmtid="{D5CDD505-2E9C-101B-9397-08002B2CF9AE}" pid="4" name="KSOTemplateDocerSaveRecord">
    <vt:lpwstr>eyJoZGlkIjoiNGE4OWEzNmI1ZjZmYmFmM2M4MjQwNzhiOTBmNmIxYWYiLCJ1c2VySWQiOiI3NDY1NjU2ODkifQ==</vt:lpwstr>
  </property>
</Properties>
</file>