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lang w:eastAsia="zh-CN"/>
        </w:rPr>
        <w:t>上犹县</w:t>
      </w:r>
      <w:r>
        <w:rPr>
          <w:rFonts w:hint="eastAsia" w:ascii="方正小标宋简体" w:hAnsi="方正小标宋简体" w:eastAsia="方正小标宋简体" w:cs="方正小标宋简体"/>
          <w:sz w:val="44"/>
          <w:szCs w:val="44"/>
        </w:rPr>
        <w:t>退役军人事务局202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年度政府信息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公开工作年度报告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以下简称《条例》）和《江西省政务公开办公室关于转发国办公开办函【2021】30号文件做好年度报告编制发布工作的通知》（赣府公开办字【2021】8号）等文件要求，现将上犹县退役军人事务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年度政府信息公开工作年度报告向社会公布。本年度报告中所列数据的统计期限自202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年12月31日止。全文包括总体情况、主动公开政府信息情况、收到和处理政府信息公开申请情况、政府信息公开行政复议行政诉讼情况、存在的主要问题及改进情况、其他需要报告的事项等6个方面的内容。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总体情况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sz w:val="32"/>
          <w:szCs w:val="32"/>
        </w:rPr>
      </w:pPr>
      <w:r>
        <w:rPr>
          <w:rFonts w:hint="eastAsia" w:ascii="宋体" w:hAnsi="宋体" w:eastAsia="仿宋_GB2312" w:cs="宋体"/>
          <w:sz w:val="32"/>
          <w:szCs w:val="32"/>
        </w:rPr>
        <w:t>202</w:t>
      </w:r>
      <w:r>
        <w:rPr>
          <w:rFonts w:hint="eastAsia" w:ascii="宋体" w:hAnsi="宋体" w:eastAsia="仿宋_GB2312" w:cs="宋体"/>
          <w:sz w:val="32"/>
          <w:szCs w:val="32"/>
          <w:lang w:val="en-US" w:eastAsia="zh-CN"/>
        </w:rPr>
        <w:t>4</w:t>
      </w:r>
      <w:r>
        <w:rPr>
          <w:rFonts w:hint="eastAsia" w:ascii="宋体" w:hAnsi="宋体" w:eastAsia="仿宋_GB2312" w:cs="宋体"/>
          <w:sz w:val="32"/>
          <w:szCs w:val="32"/>
        </w:rPr>
        <w:t>年</w:t>
      </w:r>
      <w:r>
        <w:rPr>
          <w:rFonts w:hint="eastAsia" w:ascii="宋体" w:hAnsi="宋体" w:eastAsia="仿宋_GB2312" w:cs="宋体"/>
          <w:sz w:val="32"/>
          <w:szCs w:val="32"/>
          <w:lang w:eastAsia="zh-CN"/>
        </w:rPr>
        <w:t>，</w:t>
      </w:r>
      <w:r>
        <w:rPr>
          <w:rFonts w:hint="eastAsia" w:ascii="宋体" w:hAnsi="宋体" w:eastAsia="仿宋_GB2312" w:cs="宋体"/>
          <w:sz w:val="32"/>
          <w:szCs w:val="32"/>
        </w:rPr>
        <w:t>上犹县退役军人事务局坚持以习近平新时代中国特色社会主义思想为指导，按照党中央、国务院“公开为常态、不公开为例外”的原则，认真落实党中央、国务院和省委、省政府关于全面推进政务公开工作的系列工作部署和《条例》规定，以构建人民群众满意型政府为目标，紧紧围绕人民群众关注的热点信息，建立健全政务公开制度体系，加强政府信息主动公开力度，规范政府信息依申请公开办理流程，积极稳妥推进政府信息公开工作，不断推进政府信息公开和政务公开工作迈上新的台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宋体" w:hAnsi="宋体" w:eastAsia="仿宋_GB2312" w:cs="宋体"/>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主动公开。</w:t>
      </w:r>
      <w:r>
        <w:rPr>
          <w:rFonts w:hint="eastAsia" w:ascii="宋体" w:hAnsi="宋体" w:eastAsia="仿宋_GB2312" w:cs="宋体"/>
          <w:sz w:val="32"/>
          <w:szCs w:val="32"/>
        </w:rPr>
        <w:t>202</w:t>
      </w:r>
      <w:r>
        <w:rPr>
          <w:rFonts w:hint="eastAsia" w:ascii="宋体" w:hAnsi="宋体" w:eastAsia="仿宋_GB2312" w:cs="宋体"/>
          <w:sz w:val="32"/>
          <w:szCs w:val="32"/>
          <w:lang w:val="en-US" w:eastAsia="zh-CN"/>
        </w:rPr>
        <w:t>4</w:t>
      </w:r>
      <w:r>
        <w:rPr>
          <w:rFonts w:hint="eastAsia" w:ascii="宋体" w:hAnsi="宋体" w:eastAsia="仿宋_GB2312" w:cs="宋体"/>
          <w:sz w:val="32"/>
          <w:szCs w:val="32"/>
        </w:rPr>
        <w:t>年，</w:t>
      </w:r>
      <w:r>
        <w:rPr>
          <w:rFonts w:hint="eastAsia" w:ascii="宋体" w:hAnsi="宋体" w:eastAsia="仿宋_GB2312" w:cs="宋体"/>
          <w:sz w:val="32"/>
          <w:szCs w:val="32"/>
          <w:lang w:eastAsia="zh-CN"/>
        </w:rPr>
        <w:t>我</w:t>
      </w:r>
      <w:r>
        <w:rPr>
          <w:rFonts w:hint="eastAsia" w:ascii="宋体" w:hAnsi="宋体" w:eastAsia="仿宋_GB2312" w:cs="宋体"/>
          <w:sz w:val="32"/>
          <w:szCs w:val="32"/>
        </w:rPr>
        <w:t>局</w:t>
      </w:r>
      <w:r>
        <w:rPr>
          <w:rFonts w:hint="eastAsia" w:ascii="宋体" w:hAnsi="宋体" w:eastAsia="仿宋_GB2312" w:cs="宋体"/>
          <w:sz w:val="32"/>
          <w:szCs w:val="32"/>
          <w:lang w:val="en-US" w:eastAsia="zh-CN"/>
        </w:rPr>
        <w:t>通过政府门户网站</w:t>
      </w:r>
      <w:r>
        <w:rPr>
          <w:rFonts w:hint="eastAsia" w:ascii="宋体" w:hAnsi="宋体" w:eastAsia="仿宋_GB2312" w:cs="宋体"/>
          <w:sz w:val="32"/>
          <w:szCs w:val="32"/>
        </w:rPr>
        <w:t>主动公开政府信息</w:t>
      </w:r>
      <w:r>
        <w:rPr>
          <w:rFonts w:hint="eastAsia" w:ascii="宋体" w:hAnsi="宋体" w:eastAsia="仿宋_GB2312" w:cs="宋体"/>
          <w:sz w:val="32"/>
          <w:szCs w:val="32"/>
          <w:lang w:val="en-US" w:eastAsia="zh-CN"/>
        </w:rPr>
        <w:t>659</w:t>
      </w:r>
      <w:r>
        <w:rPr>
          <w:rFonts w:hint="eastAsia" w:ascii="宋体" w:hAnsi="宋体" w:eastAsia="仿宋_GB2312" w:cs="宋体"/>
          <w:sz w:val="32"/>
          <w:szCs w:val="32"/>
        </w:rPr>
        <w:t>条</w:t>
      </w:r>
      <w:r>
        <w:rPr>
          <w:rFonts w:hint="eastAsia" w:ascii="宋体" w:hAnsi="宋体" w:eastAsia="仿宋_GB2312" w:cs="宋体"/>
          <w:sz w:val="32"/>
          <w:szCs w:val="32"/>
          <w:lang w:eastAsia="zh-CN"/>
        </w:rPr>
        <w:t>，</w:t>
      </w:r>
      <w:r>
        <w:rPr>
          <w:rFonts w:hint="eastAsia" w:ascii="宋体" w:hAnsi="宋体" w:eastAsia="仿宋_GB2312" w:cs="宋体"/>
          <w:sz w:val="32"/>
          <w:szCs w:val="32"/>
        </w:rPr>
        <w:t>及时更新政府网站内容，按时公开年度预、决算信息、重点工作等信息，及时更新办事服务事项</w:t>
      </w:r>
      <w:r>
        <w:rPr>
          <w:rFonts w:hint="eastAsia" w:ascii="宋体" w:hAnsi="宋体" w:eastAsia="仿宋_GB2312" w:cs="宋体"/>
          <w:sz w:val="32"/>
          <w:szCs w:val="32"/>
          <w:lang w:eastAsia="zh-CN"/>
        </w:rPr>
        <w:t>，</w:t>
      </w:r>
      <w:r>
        <w:rPr>
          <w:rFonts w:hint="eastAsia" w:ascii="宋体" w:hAnsi="宋体" w:eastAsia="仿宋_GB2312" w:cs="宋体"/>
          <w:sz w:val="32"/>
          <w:szCs w:val="32"/>
          <w:lang w:val="en-US" w:eastAsia="zh-CN"/>
        </w:rPr>
        <w:t>重点公开</w:t>
      </w:r>
      <w:r>
        <w:rPr>
          <w:rFonts w:hint="eastAsia" w:ascii="宋体" w:hAnsi="宋体" w:eastAsia="仿宋_GB2312" w:cs="宋体"/>
          <w:sz w:val="32"/>
          <w:szCs w:val="32"/>
          <w:lang w:eastAsia="zh-CN"/>
        </w:rPr>
        <w:t>包括退役士兵</w:t>
      </w:r>
      <w:r>
        <w:rPr>
          <w:rFonts w:hint="eastAsia" w:ascii="宋体" w:hAnsi="宋体" w:eastAsia="仿宋_GB2312" w:cs="宋体"/>
          <w:sz w:val="32"/>
          <w:szCs w:val="32"/>
          <w:lang w:val="en-US" w:eastAsia="zh-CN"/>
        </w:rPr>
        <w:t>报到</w:t>
      </w:r>
      <w:r>
        <w:rPr>
          <w:rFonts w:hint="eastAsia" w:ascii="宋体" w:hAnsi="宋体" w:eastAsia="仿宋_GB2312" w:cs="宋体"/>
          <w:sz w:val="32"/>
          <w:szCs w:val="32"/>
          <w:lang w:eastAsia="zh-CN"/>
        </w:rPr>
        <w:t>、退役军人优待证办理、退役军人</w:t>
      </w:r>
      <w:r>
        <w:rPr>
          <w:rFonts w:hint="eastAsia" w:ascii="宋体" w:hAnsi="宋体" w:eastAsia="仿宋_GB2312" w:cs="宋体"/>
          <w:sz w:val="32"/>
          <w:szCs w:val="32"/>
          <w:lang w:val="en-US" w:eastAsia="zh-CN"/>
        </w:rPr>
        <w:t>就业创业帮扶</w:t>
      </w:r>
      <w:r>
        <w:rPr>
          <w:rFonts w:hint="eastAsia" w:ascii="宋体" w:hAnsi="宋体" w:eastAsia="仿宋_GB2312" w:cs="宋体"/>
          <w:sz w:val="32"/>
          <w:szCs w:val="32"/>
          <w:lang w:eastAsia="zh-CN"/>
        </w:rPr>
        <w:t>等与服务对象生活紧密相关的信息。</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宋体" w:hAnsi="宋体" w:eastAsia="仿宋_GB2312" w:cs="宋体"/>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依申请公开。</w:t>
      </w:r>
      <w:r>
        <w:rPr>
          <w:rFonts w:hint="eastAsia" w:ascii="宋体" w:hAnsi="宋体" w:eastAsia="仿宋_GB2312" w:cs="宋体"/>
          <w:sz w:val="32"/>
          <w:szCs w:val="32"/>
        </w:rPr>
        <w:t>202</w:t>
      </w:r>
      <w:r>
        <w:rPr>
          <w:rFonts w:hint="eastAsia" w:ascii="宋体" w:hAnsi="宋体" w:eastAsia="仿宋_GB2312" w:cs="宋体"/>
          <w:sz w:val="32"/>
          <w:szCs w:val="32"/>
          <w:lang w:val="en-US" w:eastAsia="zh-CN"/>
        </w:rPr>
        <w:t>4</w:t>
      </w:r>
      <w:r>
        <w:rPr>
          <w:rFonts w:hint="eastAsia" w:ascii="宋体" w:hAnsi="宋体" w:eastAsia="仿宋_GB2312" w:cs="宋体"/>
          <w:sz w:val="32"/>
          <w:szCs w:val="32"/>
        </w:rPr>
        <w:t>年，</w:t>
      </w:r>
      <w:r>
        <w:rPr>
          <w:rFonts w:hint="eastAsia" w:ascii="宋体" w:hAnsi="宋体" w:eastAsia="仿宋_GB2312" w:cs="宋体"/>
          <w:sz w:val="32"/>
          <w:szCs w:val="32"/>
          <w:lang w:eastAsia="zh-CN"/>
        </w:rPr>
        <w:t>我局</w:t>
      </w:r>
      <w:r>
        <w:rPr>
          <w:rFonts w:hint="eastAsia" w:ascii="宋体" w:hAnsi="宋体" w:eastAsia="仿宋_GB2312" w:cs="宋体"/>
          <w:sz w:val="32"/>
          <w:szCs w:val="32"/>
        </w:rPr>
        <w:t>未收到公开政府信息的申请。</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宋体" w:hAnsi="宋体" w:eastAsia="仿宋_GB2312" w:cs="宋体"/>
          <w:sz w:val="32"/>
          <w:szCs w:val="32"/>
          <w:lang w:val="en-US"/>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政府信息管理。</w:t>
      </w:r>
      <w:r>
        <w:rPr>
          <w:rFonts w:hint="eastAsia" w:ascii="宋体" w:hAnsi="宋体" w:eastAsia="仿宋_GB2312" w:cs="宋体"/>
          <w:sz w:val="32"/>
          <w:szCs w:val="32"/>
          <w:lang w:val="en-US" w:eastAsia="zh-CN"/>
        </w:rPr>
        <w:t>严格把好责任关、审核关，建立健全政府信息公开平台日常安全管理专人负责制度，及时更新政务信息、检查平台页面和各栏目是否运行正常、通报信息是否及时更新，杜绝出现“死链”、“错链”；落实“三审三校”制度，公开信息均由股室负责人核稿，分管局领导审签，确保政府信息公开的严肃性和准确性，信息发布工作更加规范化、安全化、制度化。</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宋体" w:hAnsi="宋体" w:eastAsia="仿宋_GB2312" w:cs="宋体"/>
          <w:sz w:val="32"/>
          <w:szCs w:val="32"/>
        </w:rPr>
      </w:pPr>
      <w:r>
        <w:rPr>
          <w:rFonts w:hint="eastAsia" w:ascii="楷体_GB2312" w:hAnsi="楷体_GB2312" w:eastAsia="楷体_GB2312" w:cs="楷体_GB2312"/>
          <w:b/>
          <w:bCs/>
          <w:sz w:val="32"/>
          <w:szCs w:val="32"/>
        </w:rPr>
        <w:t>（四）政府信息公开平台建设。</w:t>
      </w:r>
      <w:r>
        <w:rPr>
          <w:rFonts w:hint="eastAsia" w:ascii="宋体" w:hAnsi="宋体" w:eastAsia="仿宋_GB2312" w:cs="宋体"/>
          <w:sz w:val="32"/>
          <w:szCs w:val="32"/>
          <w:lang w:val="en-US" w:eastAsia="zh-CN"/>
        </w:rPr>
        <w:t>充分依托上犹县政府信息公开平台，推进退役军人领域重点信息公开，进一步扩大群众获取政府信息渠道，进一步保障人民群众知情权、参与权、监督权</w:t>
      </w:r>
      <w:r>
        <w:rPr>
          <w:rFonts w:hint="eastAsia" w:ascii="宋体"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宋体" w:hAnsi="宋体" w:eastAsia="仿宋_GB2312" w:cs="宋体"/>
          <w:sz w:val="32"/>
          <w:szCs w:val="32"/>
          <w:lang w:val="en-US" w:eastAsia="zh-CN"/>
        </w:rPr>
      </w:pPr>
      <w:r>
        <w:rPr>
          <w:rFonts w:hint="eastAsia" w:ascii="楷体_GB2312" w:hAnsi="楷体_GB2312" w:eastAsia="楷体_GB2312" w:cs="楷体_GB2312"/>
          <w:b/>
          <w:bCs/>
          <w:sz w:val="32"/>
          <w:szCs w:val="32"/>
        </w:rPr>
        <w:t>（五）监督保障。</w:t>
      </w:r>
      <w:r>
        <w:rPr>
          <w:rFonts w:hint="eastAsia" w:ascii="仿宋_GB2312" w:hAnsi="仿宋_GB2312" w:eastAsia="仿宋_GB2312" w:cs="仿宋_GB2312"/>
          <w:b w:val="0"/>
          <w:bCs w:val="0"/>
          <w:sz w:val="32"/>
          <w:szCs w:val="32"/>
          <w:lang w:val="en-US" w:eastAsia="zh-CN"/>
        </w:rPr>
        <w:t>加强组织领导，深化业务人员知识培训，切实提升信息公开工作水平</w:t>
      </w:r>
      <w:r>
        <w:rPr>
          <w:rFonts w:hint="eastAsia" w:ascii="宋体" w:hAnsi="宋体" w:eastAsia="仿宋_GB2312" w:cs="宋体"/>
          <w:sz w:val="32"/>
          <w:szCs w:val="32"/>
        </w:rPr>
        <w:t>。</w:t>
      </w:r>
      <w:r>
        <w:rPr>
          <w:rFonts w:hint="eastAsia" w:ascii="宋体" w:hAnsi="宋体" w:eastAsia="仿宋_GB2312" w:cs="宋体"/>
          <w:sz w:val="32"/>
          <w:szCs w:val="32"/>
          <w:lang w:val="en-US" w:eastAsia="zh-CN"/>
        </w:rPr>
        <w:t>健全政府信息公开考核评议机制，定期对信息公开工作进行检查和评估。持续完善政府信息公开保密审查机制，规范审查程序，落实审查责任。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黑体"/>
          <w:sz w:val="32"/>
          <w:szCs w:val="32"/>
        </w:rPr>
      </w:pPr>
      <w:r>
        <w:rPr>
          <w:rFonts w:hint="eastAsia" w:ascii="宋体" w:hAnsi="宋体" w:eastAsia="黑体" w:cs="黑体"/>
          <w:sz w:val="32"/>
          <w:szCs w:val="32"/>
          <w:lang w:eastAsia="zh-CN"/>
        </w:rPr>
        <w:t>二、</w:t>
      </w:r>
      <w:r>
        <w:rPr>
          <w:rFonts w:hint="eastAsia" w:ascii="宋体" w:hAnsi="宋体" w:eastAsia="黑体" w:cs="黑体"/>
          <w:sz w:val="32"/>
          <w:szCs w:val="32"/>
        </w:rPr>
        <w:t>主动公开政府信息情况</w:t>
      </w:r>
    </w:p>
    <w:tbl>
      <w:tblPr>
        <w:tblStyle w:val="9"/>
        <w:tblW w:w="89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15"/>
        <w:gridCol w:w="2324"/>
        <w:gridCol w:w="2315"/>
        <w:gridCol w:w="19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8929" w:type="dxa"/>
            <w:gridSpan w:val="4"/>
            <w:tcBorders>
              <w:top w:val="single" w:color="000000" w:sz="2" w:space="0"/>
              <w:bottom w:val="single" w:color="000000" w:sz="2" w:space="0"/>
            </w:tcBorders>
            <w:noWrap w:val="0"/>
            <w:vAlign w:val="center"/>
          </w:tcPr>
          <w:p>
            <w:pPr>
              <w:spacing w:before="115" w:line="219" w:lineRule="auto"/>
              <w:jc w:val="center"/>
              <w:rPr>
                <w:rFonts w:ascii="宋体" w:hAnsi="宋体" w:cs="宋体"/>
                <w:sz w:val="20"/>
                <w:szCs w:val="20"/>
              </w:rPr>
            </w:pPr>
            <w:r>
              <w:rPr>
                <w:rFonts w:ascii="宋体" w:hAnsi="宋体" w:cs="宋体"/>
                <w:spacing w:val="1"/>
                <w:sz w:val="20"/>
                <w:szCs w:val="20"/>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bottom w:val="single" w:color="000000" w:sz="2" w:space="0"/>
            </w:tcBorders>
            <w:noWrap w:val="0"/>
            <w:vAlign w:val="center"/>
          </w:tcPr>
          <w:p>
            <w:pPr>
              <w:spacing w:before="106" w:line="219" w:lineRule="auto"/>
              <w:jc w:val="center"/>
              <w:rPr>
                <w:rFonts w:ascii="宋体" w:hAnsi="宋体" w:cs="宋体"/>
                <w:sz w:val="20"/>
                <w:szCs w:val="20"/>
              </w:rPr>
            </w:pPr>
            <w:r>
              <w:rPr>
                <w:rFonts w:ascii="宋体" w:hAnsi="宋体" w:cs="宋体"/>
                <w:spacing w:val="-2"/>
                <w:sz w:val="20"/>
                <w:szCs w:val="20"/>
              </w:rPr>
              <w:t>信息内容</w:t>
            </w:r>
          </w:p>
        </w:tc>
        <w:tc>
          <w:tcPr>
            <w:tcW w:w="2324" w:type="dxa"/>
            <w:tcBorders>
              <w:top w:val="single" w:color="000000" w:sz="2" w:space="0"/>
              <w:bottom w:val="single" w:color="000000" w:sz="2" w:space="0"/>
            </w:tcBorders>
            <w:noWrap w:val="0"/>
            <w:vAlign w:val="center"/>
          </w:tcPr>
          <w:p>
            <w:pPr>
              <w:spacing w:before="105" w:line="219" w:lineRule="auto"/>
              <w:jc w:val="center"/>
              <w:rPr>
                <w:rFonts w:ascii="宋体" w:hAnsi="宋体" w:cs="宋体"/>
                <w:sz w:val="20"/>
                <w:szCs w:val="20"/>
              </w:rPr>
            </w:pPr>
            <w:r>
              <w:rPr>
                <w:rFonts w:ascii="宋体" w:hAnsi="宋体" w:cs="宋体"/>
                <w:spacing w:val="-2"/>
                <w:sz w:val="20"/>
                <w:szCs w:val="20"/>
              </w:rPr>
              <w:t>本年制发件数</w:t>
            </w:r>
          </w:p>
        </w:tc>
        <w:tc>
          <w:tcPr>
            <w:tcW w:w="2315" w:type="dxa"/>
            <w:tcBorders>
              <w:top w:val="single" w:color="000000" w:sz="2" w:space="0"/>
              <w:bottom w:val="single" w:color="000000" w:sz="2" w:space="0"/>
            </w:tcBorders>
            <w:noWrap w:val="0"/>
            <w:vAlign w:val="center"/>
          </w:tcPr>
          <w:p>
            <w:pPr>
              <w:spacing w:before="105" w:line="219" w:lineRule="auto"/>
              <w:jc w:val="center"/>
              <w:rPr>
                <w:rFonts w:ascii="宋体" w:hAnsi="宋体" w:cs="宋体"/>
                <w:sz w:val="20"/>
                <w:szCs w:val="20"/>
              </w:rPr>
            </w:pPr>
            <w:r>
              <w:rPr>
                <w:rFonts w:ascii="宋体" w:hAnsi="宋体" w:cs="宋体"/>
                <w:spacing w:val="-2"/>
                <w:sz w:val="20"/>
                <w:szCs w:val="20"/>
              </w:rPr>
              <w:t>本年废止件数</w:t>
            </w:r>
          </w:p>
        </w:tc>
        <w:tc>
          <w:tcPr>
            <w:tcW w:w="1975" w:type="dxa"/>
            <w:tcBorders>
              <w:top w:val="single" w:color="000000" w:sz="2" w:space="0"/>
              <w:bottom w:val="single" w:color="000000" w:sz="2" w:space="0"/>
            </w:tcBorders>
            <w:noWrap w:val="0"/>
            <w:vAlign w:val="center"/>
          </w:tcPr>
          <w:p>
            <w:pPr>
              <w:spacing w:before="106" w:line="219" w:lineRule="auto"/>
              <w:jc w:val="center"/>
              <w:rPr>
                <w:rFonts w:ascii="宋体" w:hAnsi="宋体" w:cs="宋体"/>
                <w:sz w:val="20"/>
                <w:szCs w:val="20"/>
              </w:rPr>
            </w:pPr>
            <w:r>
              <w:rPr>
                <w:rFonts w:ascii="宋体" w:hAnsi="宋体" w:cs="宋体"/>
                <w:spacing w:val="-2"/>
                <w:sz w:val="20"/>
                <w:szCs w:val="20"/>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2315" w:type="dxa"/>
            <w:tcBorders>
              <w:top w:val="single" w:color="000000" w:sz="2" w:space="0"/>
              <w:bottom w:val="single" w:color="000000" w:sz="2" w:space="0"/>
            </w:tcBorders>
            <w:noWrap w:val="0"/>
            <w:vAlign w:val="center"/>
          </w:tcPr>
          <w:p>
            <w:pPr>
              <w:spacing w:before="95" w:line="219" w:lineRule="auto"/>
              <w:jc w:val="center"/>
              <w:rPr>
                <w:rFonts w:ascii="宋体" w:hAnsi="宋体" w:cs="宋体"/>
                <w:sz w:val="20"/>
                <w:szCs w:val="20"/>
              </w:rPr>
            </w:pPr>
            <w:r>
              <w:rPr>
                <w:rFonts w:ascii="宋体" w:hAnsi="宋体" w:cs="宋体"/>
                <w:spacing w:val="7"/>
                <w:sz w:val="20"/>
                <w:szCs w:val="20"/>
              </w:rPr>
              <w:t>规章</w:t>
            </w:r>
          </w:p>
        </w:tc>
        <w:tc>
          <w:tcPr>
            <w:tcW w:w="2324"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2315"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1975"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bottom w:val="single" w:color="000000" w:sz="2" w:space="0"/>
            </w:tcBorders>
            <w:noWrap w:val="0"/>
            <w:vAlign w:val="center"/>
          </w:tcPr>
          <w:p>
            <w:pPr>
              <w:spacing w:before="107" w:line="219" w:lineRule="auto"/>
              <w:jc w:val="center"/>
              <w:rPr>
                <w:rFonts w:ascii="宋体" w:hAnsi="宋体" w:cs="宋体"/>
                <w:sz w:val="20"/>
                <w:szCs w:val="20"/>
              </w:rPr>
            </w:pPr>
            <w:r>
              <w:rPr>
                <w:rFonts w:ascii="宋体" w:hAnsi="宋体" w:cs="宋体"/>
                <w:spacing w:val="-2"/>
                <w:sz w:val="20"/>
                <w:szCs w:val="20"/>
              </w:rPr>
              <w:t>行政规范性文件</w:t>
            </w:r>
          </w:p>
        </w:tc>
        <w:tc>
          <w:tcPr>
            <w:tcW w:w="2324"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2315"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1975" w:type="dxa"/>
            <w:tcBorders>
              <w:top w:val="single" w:color="000000" w:sz="2" w:space="0"/>
              <w:bottom w:val="single" w:color="000000" w:sz="2" w:space="0"/>
            </w:tcBorders>
            <w:noWrap w:val="0"/>
            <w:vAlign w:val="center"/>
          </w:tcPr>
          <w:p>
            <w:pPr>
              <w:jc w:val="center"/>
              <w:rPr>
                <w:rFonts w:hint="default" w:ascii="宋体" w:hAnsi="宋体" w:eastAsia="宋体"/>
                <w:lang w:val="en-US" w:eastAsia="zh-CN"/>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8929" w:type="dxa"/>
            <w:gridSpan w:val="4"/>
            <w:tcBorders>
              <w:top w:val="single" w:color="000000" w:sz="2" w:space="0"/>
              <w:bottom w:val="single" w:color="000000" w:sz="2" w:space="0"/>
            </w:tcBorders>
            <w:noWrap w:val="0"/>
            <w:vAlign w:val="center"/>
          </w:tcPr>
          <w:p>
            <w:pPr>
              <w:spacing w:before="107" w:line="219" w:lineRule="auto"/>
              <w:jc w:val="center"/>
              <w:rPr>
                <w:rFonts w:ascii="宋体" w:hAnsi="宋体" w:cs="宋体"/>
                <w:sz w:val="20"/>
                <w:szCs w:val="20"/>
              </w:rPr>
            </w:pPr>
            <w:r>
              <w:rPr>
                <w:rFonts w:ascii="宋体" w:hAnsi="宋体" w:cs="宋体"/>
                <w:spacing w:val="1"/>
                <w:sz w:val="20"/>
                <w:szCs w:val="20"/>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2315" w:type="dxa"/>
            <w:tcBorders>
              <w:top w:val="single" w:color="000000" w:sz="2" w:space="0"/>
              <w:bottom w:val="single" w:color="000000" w:sz="2" w:space="0"/>
            </w:tcBorders>
            <w:noWrap w:val="0"/>
            <w:vAlign w:val="center"/>
          </w:tcPr>
          <w:p>
            <w:pPr>
              <w:spacing w:before="107" w:line="219" w:lineRule="auto"/>
              <w:jc w:val="center"/>
              <w:rPr>
                <w:rFonts w:ascii="宋体" w:hAnsi="宋体" w:cs="宋体"/>
                <w:sz w:val="20"/>
                <w:szCs w:val="20"/>
              </w:rPr>
            </w:pPr>
            <w:r>
              <w:rPr>
                <w:rFonts w:ascii="宋体" w:hAnsi="宋体" w:cs="宋体"/>
                <w:spacing w:val="-2"/>
                <w:sz w:val="20"/>
                <w:szCs w:val="20"/>
              </w:rPr>
              <w:t>信息内容</w:t>
            </w:r>
          </w:p>
        </w:tc>
        <w:tc>
          <w:tcPr>
            <w:tcW w:w="6614" w:type="dxa"/>
            <w:gridSpan w:val="3"/>
            <w:tcBorders>
              <w:top w:val="single" w:color="000000" w:sz="2" w:space="0"/>
              <w:bottom w:val="single" w:color="000000" w:sz="2" w:space="0"/>
            </w:tcBorders>
            <w:noWrap w:val="0"/>
            <w:vAlign w:val="center"/>
          </w:tcPr>
          <w:p>
            <w:pPr>
              <w:spacing w:before="106" w:line="219" w:lineRule="auto"/>
              <w:jc w:val="center"/>
              <w:rPr>
                <w:rFonts w:ascii="宋体" w:hAnsi="宋体" w:cs="宋体"/>
                <w:sz w:val="20"/>
                <w:szCs w:val="20"/>
              </w:rPr>
            </w:pPr>
            <w:r>
              <w:rPr>
                <w:rFonts w:ascii="宋体" w:hAnsi="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bottom w:val="single" w:color="000000" w:sz="2" w:space="0"/>
            </w:tcBorders>
            <w:noWrap w:val="0"/>
            <w:vAlign w:val="center"/>
          </w:tcPr>
          <w:p>
            <w:pPr>
              <w:spacing w:before="108" w:line="220" w:lineRule="auto"/>
              <w:jc w:val="center"/>
              <w:rPr>
                <w:rFonts w:ascii="宋体" w:hAnsi="宋体" w:cs="宋体"/>
                <w:sz w:val="20"/>
                <w:szCs w:val="20"/>
              </w:rPr>
            </w:pPr>
            <w:r>
              <w:rPr>
                <w:rFonts w:ascii="宋体" w:hAnsi="宋体" w:cs="宋体"/>
                <w:spacing w:val="-3"/>
                <w:sz w:val="20"/>
                <w:szCs w:val="20"/>
              </w:rPr>
              <w:t>行政许可</w:t>
            </w:r>
          </w:p>
        </w:tc>
        <w:tc>
          <w:tcPr>
            <w:tcW w:w="6614" w:type="dxa"/>
            <w:gridSpan w:val="3"/>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8929" w:type="dxa"/>
            <w:gridSpan w:val="4"/>
            <w:tcBorders>
              <w:top w:val="single" w:color="000000" w:sz="2" w:space="0"/>
              <w:bottom w:val="single" w:color="000000" w:sz="2" w:space="0"/>
            </w:tcBorders>
            <w:noWrap w:val="0"/>
            <w:vAlign w:val="center"/>
          </w:tcPr>
          <w:p>
            <w:pPr>
              <w:spacing w:before="108" w:line="219" w:lineRule="auto"/>
              <w:jc w:val="center"/>
              <w:rPr>
                <w:rFonts w:ascii="宋体" w:hAnsi="宋体" w:cs="宋体"/>
                <w:sz w:val="20"/>
                <w:szCs w:val="20"/>
              </w:rPr>
            </w:pPr>
            <w:r>
              <w:rPr>
                <w:rFonts w:ascii="宋体" w:hAnsi="宋体" w:cs="宋体"/>
                <w:spacing w:val="1"/>
                <w:sz w:val="20"/>
                <w:szCs w:val="20"/>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bottom w:val="single" w:color="000000" w:sz="2" w:space="0"/>
            </w:tcBorders>
            <w:noWrap w:val="0"/>
            <w:vAlign w:val="center"/>
          </w:tcPr>
          <w:p>
            <w:pPr>
              <w:spacing w:before="109" w:line="219" w:lineRule="auto"/>
              <w:jc w:val="center"/>
              <w:rPr>
                <w:rFonts w:ascii="宋体" w:hAnsi="宋体" w:cs="宋体"/>
                <w:sz w:val="20"/>
                <w:szCs w:val="20"/>
              </w:rPr>
            </w:pPr>
            <w:r>
              <w:rPr>
                <w:rFonts w:ascii="宋体" w:hAnsi="宋体" w:cs="宋体"/>
                <w:spacing w:val="-2"/>
                <w:sz w:val="20"/>
                <w:szCs w:val="20"/>
              </w:rPr>
              <w:t>信息内容</w:t>
            </w:r>
          </w:p>
        </w:tc>
        <w:tc>
          <w:tcPr>
            <w:tcW w:w="6614" w:type="dxa"/>
            <w:gridSpan w:val="3"/>
            <w:tcBorders>
              <w:top w:val="single" w:color="000000" w:sz="2" w:space="0"/>
              <w:bottom w:val="single" w:color="000000" w:sz="2" w:space="0"/>
            </w:tcBorders>
            <w:noWrap w:val="0"/>
            <w:vAlign w:val="center"/>
          </w:tcPr>
          <w:p>
            <w:pPr>
              <w:spacing w:before="108" w:line="219" w:lineRule="auto"/>
              <w:jc w:val="center"/>
              <w:rPr>
                <w:rFonts w:ascii="宋体" w:hAnsi="宋体" w:cs="宋体"/>
                <w:sz w:val="20"/>
                <w:szCs w:val="20"/>
              </w:rPr>
            </w:pPr>
            <w:r>
              <w:rPr>
                <w:rFonts w:ascii="宋体" w:hAnsi="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2315" w:type="dxa"/>
            <w:tcBorders>
              <w:top w:val="single" w:color="000000" w:sz="2" w:space="0"/>
              <w:bottom w:val="single" w:color="000000" w:sz="2" w:space="0"/>
            </w:tcBorders>
            <w:noWrap w:val="0"/>
            <w:vAlign w:val="center"/>
          </w:tcPr>
          <w:p>
            <w:pPr>
              <w:spacing w:before="109" w:line="220" w:lineRule="auto"/>
              <w:jc w:val="center"/>
              <w:rPr>
                <w:rFonts w:ascii="宋体" w:hAnsi="宋体" w:cs="宋体"/>
                <w:sz w:val="20"/>
                <w:szCs w:val="20"/>
              </w:rPr>
            </w:pPr>
            <w:r>
              <w:rPr>
                <w:rFonts w:ascii="宋体" w:hAnsi="宋体" w:cs="宋体"/>
                <w:spacing w:val="6"/>
                <w:sz w:val="20"/>
                <w:szCs w:val="20"/>
              </w:rPr>
              <w:t>行政处罚</w:t>
            </w:r>
          </w:p>
        </w:tc>
        <w:tc>
          <w:tcPr>
            <w:tcW w:w="6614" w:type="dxa"/>
            <w:gridSpan w:val="3"/>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bottom w:val="single" w:color="000000" w:sz="2" w:space="0"/>
            </w:tcBorders>
            <w:noWrap w:val="0"/>
            <w:vAlign w:val="center"/>
          </w:tcPr>
          <w:p>
            <w:pPr>
              <w:spacing w:before="110" w:line="220" w:lineRule="auto"/>
              <w:jc w:val="center"/>
              <w:rPr>
                <w:rFonts w:ascii="宋体" w:hAnsi="宋体" w:cs="宋体"/>
                <w:sz w:val="20"/>
                <w:szCs w:val="20"/>
              </w:rPr>
            </w:pPr>
            <w:r>
              <w:rPr>
                <w:rFonts w:ascii="宋体" w:hAnsi="宋体" w:cs="宋体"/>
                <w:spacing w:val="4"/>
                <w:sz w:val="20"/>
                <w:szCs w:val="20"/>
              </w:rPr>
              <w:t>行政强制</w:t>
            </w:r>
          </w:p>
        </w:tc>
        <w:tc>
          <w:tcPr>
            <w:tcW w:w="6614" w:type="dxa"/>
            <w:gridSpan w:val="3"/>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8929" w:type="dxa"/>
            <w:gridSpan w:val="4"/>
            <w:tcBorders>
              <w:top w:val="single" w:color="000000" w:sz="2" w:space="0"/>
              <w:bottom w:val="single" w:color="000000" w:sz="2" w:space="0"/>
            </w:tcBorders>
            <w:noWrap w:val="0"/>
            <w:vAlign w:val="center"/>
          </w:tcPr>
          <w:p>
            <w:pPr>
              <w:spacing w:before="110" w:line="219" w:lineRule="auto"/>
              <w:jc w:val="center"/>
              <w:rPr>
                <w:rFonts w:ascii="宋体" w:hAnsi="宋体" w:cs="宋体"/>
                <w:sz w:val="20"/>
                <w:szCs w:val="20"/>
              </w:rPr>
            </w:pPr>
            <w:r>
              <w:rPr>
                <w:rFonts w:ascii="宋体" w:hAnsi="宋体" w:cs="宋体"/>
                <w:spacing w:val="1"/>
                <w:sz w:val="20"/>
                <w:szCs w:val="20"/>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jc w:val="center"/>
        </w:trPr>
        <w:tc>
          <w:tcPr>
            <w:tcW w:w="2315" w:type="dxa"/>
            <w:tcBorders>
              <w:top w:val="single" w:color="000000" w:sz="2" w:space="0"/>
              <w:bottom w:val="single" w:color="000000" w:sz="2" w:space="0"/>
            </w:tcBorders>
            <w:noWrap w:val="0"/>
            <w:vAlign w:val="center"/>
          </w:tcPr>
          <w:p>
            <w:pPr>
              <w:spacing w:before="100" w:line="219" w:lineRule="auto"/>
              <w:jc w:val="center"/>
              <w:rPr>
                <w:rFonts w:ascii="宋体" w:hAnsi="宋体" w:cs="宋体"/>
                <w:sz w:val="20"/>
                <w:szCs w:val="20"/>
              </w:rPr>
            </w:pPr>
            <w:r>
              <w:rPr>
                <w:rFonts w:ascii="宋体" w:hAnsi="宋体" w:cs="宋体"/>
                <w:spacing w:val="-2"/>
                <w:sz w:val="20"/>
                <w:szCs w:val="20"/>
              </w:rPr>
              <w:t>信息内容</w:t>
            </w:r>
          </w:p>
        </w:tc>
        <w:tc>
          <w:tcPr>
            <w:tcW w:w="6614" w:type="dxa"/>
            <w:gridSpan w:val="3"/>
            <w:tcBorders>
              <w:top w:val="single" w:color="000000" w:sz="2" w:space="0"/>
              <w:bottom w:val="single" w:color="000000" w:sz="2" w:space="0"/>
            </w:tcBorders>
            <w:noWrap w:val="0"/>
            <w:vAlign w:val="center"/>
          </w:tcPr>
          <w:p>
            <w:pPr>
              <w:spacing w:before="99" w:line="219" w:lineRule="auto"/>
              <w:jc w:val="center"/>
              <w:rPr>
                <w:rFonts w:ascii="宋体" w:hAnsi="宋体" w:cs="宋体"/>
                <w:sz w:val="20"/>
                <w:szCs w:val="20"/>
              </w:rPr>
            </w:pPr>
            <w:r>
              <w:rPr>
                <w:rFonts w:ascii="宋体" w:hAnsi="宋体" w:cs="宋体"/>
                <w:spacing w:val="7"/>
                <w:sz w:val="20"/>
                <w:szCs w:val="20"/>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2315" w:type="dxa"/>
            <w:tcBorders>
              <w:top w:val="single" w:color="000000" w:sz="2" w:space="0"/>
              <w:bottom w:val="single" w:color="000000" w:sz="2" w:space="0"/>
            </w:tcBorders>
            <w:noWrap w:val="0"/>
            <w:vAlign w:val="center"/>
          </w:tcPr>
          <w:p>
            <w:pPr>
              <w:spacing w:before="110" w:line="219" w:lineRule="auto"/>
              <w:jc w:val="center"/>
              <w:rPr>
                <w:rFonts w:ascii="宋体" w:hAnsi="宋体" w:cs="宋体"/>
                <w:sz w:val="20"/>
                <w:szCs w:val="20"/>
              </w:rPr>
            </w:pPr>
            <w:r>
              <w:rPr>
                <w:rFonts w:ascii="宋体" w:hAnsi="宋体" w:cs="宋体"/>
                <w:spacing w:val="1"/>
                <w:sz w:val="20"/>
                <w:szCs w:val="20"/>
              </w:rPr>
              <w:t>行政事业性收费</w:t>
            </w:r>
          </w:p>
        </w:tc>
        <w:tc>
          <w:tcPr>
            <w:tcW w:w="6614" w:type="dxa"/>
            <w:gridSpan w:val="3"/>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hAnsi="宋体"/>
        </w:rPr>
      </w:pPr>
      <w:r>
        <w:rPr>
          <w:rFonts w:hint="eastAsia" w:ascii="宋体" w:hAnsi="宋体" w:eastAsia="黑体" w:cs="黑体"/>
          <w:sz w:val="32"/>
          <w:szCs w:val="32"/>
          <w:lang w:eastAsia="zh-CN"/>
        </w:rPr>
        <w:t>三、</w:t>
      </w:r>
      <w:r>
        <w:rPr>
          <w:rFonts w:hint="eastAsia" w:ascii="宋体" w:hAnsi="宋体" w:eastAsia="黑体" w:cs="黑体"/>
          <w:sz w:val="32"/>
          <w:szCs w:val="32"/>
        </w:rPr>
        <w:t>收到和处理政府信息公开申请情况</w:t>
      </w:r>
    </w:p>
    <w:tbl>
      <w:tblPr>
        <w:tblStyle w:val="9"/>
        <w:tblW w:w="893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48"/>
        <w:gridCol w:w="938"/>
        <w:gridCol w:w="2205"/>
        <w:gridCol w:w="29"/>
        <w:gridCol w:w="809"/>
        <w:gridCol w:w="29"/>
        <w:gridCol w:w="600"/>
        <w:gridCol w:w="38"/>
        <w:gridCol w:w="600"/>
        <w:gridCol w:w="86"/>
        <w:gridCol w:w="552"/>
        <w:gridCol w:w="108"/>
        <w:gridCol w:w="521"/>
        <w:gridCol w:w="139"/>
        <w:gridCol w:w="500"/>
        <w:gridCol w:w="39"/>
        <w:gridCol w:w="629"/>
        <w:gridCol w:w="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4220" w:type="dxa"/>
            <w:gridSpan w:val="4"/>
            <w:vMerge w:val="restart"/>
            <w:tcBorders>
              <w:top w:val="single" w:color="000000" w:sz="2" w:space="0"/>
              <w:bottom w:val="nil"/>
            </w:tcBorders>
            <w:noWrap w:val="0"/>
            <w:vAlign w:val="center"/>
          </w:tcPr>
          <w:p>
            <w:pPr>
              <w:spacing w:before="62" w:line="276" w:lineRule="auto"/>
              <w:ind w:right="222"/>
              <w:jc w:val="center"/>
              <w:rPr>
                <w:rFonts w:ascii="宋体" w:hAnsi="宋体" w:cs="宋体"/>
                <w:sz w:val="19"/>
                <w:szCs w:val="19"/>
              </w:rPr>
            </w:pPr>
            <w:r>
              <w:rPr>
                <w:rFonts w:ascii="宋体" w:hAnsi="宋体" w:cs="宋体"/>
                <w:spacing w:val="9"/>
                <w:w w:val="102"/>
                <w:sz w:val="19"/>
                <w:szCs w:val="19"/>
              </w:rPr>
              <w:t>（本列数据的勾稽关系为:第一项加第二项之</w:t>
            </w:r>
            <w:r>
              <w:rPr>
                <w:rFonts w:ascii="宋体" w:hAnsi="宋体" w:cs="宋体"/>
                <w:spacing w:val="15"/>
                <w:sz w:val="19"/>
                <w:szCs w:val="19"/>
              </w:rPr>
              <w:t>和，等于第三项加第四项之和）</w:t>
            </w:r>
          </w:p>
        </w:tc>
        <w:tc>
          <w:tcPr>
            <w:tcW w:w="4719" w:type="dxa"/>
            <w:gridSpan w:val="14"/>
            <w:tcBorders>
              <w:top w:val="single" w:color="000000" w:sz="2" w:space="0"/>
              <w:bottom w:val="single" w:color="000000" w:sz="2" w:space="0"/>
            </w:tcBorders>
            <w:noWrap w:val="0"/>
            <w:vAlign w:val="center"/>
          </w:tcPr>
          <w:p>
            <w:pPr>
              <w:spacing w:before="115" w:line="219" w:lineRule="auto"/>
              <w:jc w:val="center"/>
              <w:rPr>
                <w:rFonts w:ascii="宋体" w:hAnsi="宋体" w:cs="宋体"/>
                <w:sz w:val="20"/>
                <w:szCs w:val="20"/>
              </w:rPr>
            </w:pPr>
            <w:r>
              <w:rPr>
                <w:rFonts w:ascii="宋体" w:hAnsi="宋体" w:cs="宋体"/>
                <w:spacing w:val="1"/>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jc w:val="center"/>
        </w:trPr>
        <w:tc>
          <w:tcPr>
            <w:tcW w:w="4220" w:type="dxa"/>
            <w:gridSpan w:val="4"/>
            <w:vMerge w:val="continue"/>
            <w:tcBorders>
              <w:top w:val="nil"/>
              <w:bottom w:val="nil"/>
            </w:tcBorders>
            <w:noWrap w:val="0"/>
            <w:vAlign w:val="center"/>
          </w:tcPr>
          <w:p>
            <w:pPr>
              <w:jc w:val="center"/>
              <w:rPr>
                <w:rFonts w:ascii="宋体" w:hAnsi="宋体"/>
              </w:rPr>
            </w:pPr>
          </w:p>
        </w:tc>
        <w:tc>
          <w:tcPr>
            <w:tcW w:w="838" w:type="dxa"/>
            <w:gridSpan w:val="2"/>
            <w:vMerge w:val="restart"/>
            <w:tcBorders>
              <w:top w:val="single" w:color="000000" w:sz="2" w:space="0"/>
              <w:bottom w:val="nil"/>
            </w:tcBorders>
            <w:noWrap w:val="0"/>
            <w:vAlign w:val="center"/>
          </w:tcPr>
          <w:p>
            <w:pPr>
              <w:spacing w:line="458" w:lineRule="auto"/>
              <w:jc w:val="center"/>
              <w:rPr>
                <w:rFonts w:ascii="宋体" w:hAnsi="宋体"/>
              </w:rPr>
            </w:pPr>
          </w:p>
          <w:p>
            <w:pPr>
              <w:spacing w:before="65" w:line="220" w:lineRule="auto"/>
              <w:ind w:firstLine="110"/>
              <w:jc w:val="center"/>
              <w:rPr>
                <w:rFonts w:ascii="宋体" w:hAnsi="宋体" w:cs="宋体"/>
                <w:sz w:val="20"/>
                <w:szCs w:val="20"/>
              </w:rPr>
            </w:pPr>
            <w:r>
              <w:rPr>
                <w:rFonts w:ascii="宋体" w:hAnsi="宋体" w:cs="宋体"/>
                <w:spacing w:val="2"/>
                <w:sz w:val="20"/>
                <w:szCs w:val="20"/>
              </w:rPr>
              <w:t>自然人</w:t>
            </w:r>
          </w:p>
        </w:tc>
        <w:tc>
          <w:tcPr>
            <w:tcW w:w="3183" w:type="dxa"/>
            <w:gridSpan w:val="10"/>
            <w:tcBorders>
              <w:top w:val="single" w:color="000000" w:sz="2" w:space="0"/>
              <w:bottom w:val="single" w:color="000000" w:sz="2" w:space="0"/>
            </w:tcBorders>
            <w:noWrap w:val="0"/>
            <w:vAlign w:val="center"/>
          </w:tcPr>
          <w:p>
            <w:pPr>
              <w:spacing w:before="106" w:line="220" w:lineRule="auto"/>
              <w:jc w:val="center"/>
              <w:rPr>
                <w:rFonts w:ascii="宋体" w:hAnsi="宋体" w:cs="宋体"/>
                <w:sz w:val="20"/>
                <w:szCs w:val="20"/>
              </w:rPr>
            </w:pPr>
            <w:r>
              <w:rPr>
                <w:rFonts w:ascii="宋体" w:hAnsi="宋体" w:cs="宋体"/>
                <w:spacing w:val="-2"/>
                <w:sz w:val="20"/>
                <w:szCs w:val="20"/>
              </w:rPr>
              <w:t>法人或其他组织</w:t>
            </w:r>
          </w:p>
        </w:tc>
        <w:tc>
          <w:tcPr>
            <w:tcW w:w="698" w:type="dxa"/>
            <w:gridSpan w:val="2"/>
            <w:vMerge w:val="restart"/>
            <w:tcBorders>
              <w:top w:val="single" w:color="000000" w:sz="2" w:space="0"/>
              <w:bottom w:val="nil"/>
            </w:tcBorders>
            <w:noWrap w:val="0"/>
            <w:vAlign w:val="center"/>
          </w:tcPr>
          <w:p>
            <w:pPr>
              <w:spacing w:line="458" w:lineRule="auto"/>
              <w:jc w:val="center"/>
              <w:rPr>
                <w:rFonts w:ascii="宋体" w:hAnsi="宋体"/>
              </w:rPr>
            </w:pPr>
          </w:p>
          <w:p>
            <w:pPr>
              <w:spacing w:before="65" w:line="221" w:lineRule="auto"/>
              <w:jc w:val="center"/>
              <w:rPr>
                <w:rFonts w:ascii="宋体" w:hAnsi="宋体" w:cs="宋体"/>
                <w:sz w:val="20"/>
                <w:szCs w:val="20"/>
              </w:rPr>
            </w:pPr>
            <w:r>
              <w:rPr>
                <w:rFonts w:ascii="宋体" w:hAnsi="宋体" w:cs="宋体"/>
                <w:spacing w:val="4"/>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jc w:val="center"/>
        </w:trPr>
        <w:tc>
          <w:tcPr>
            <w:tcW w:w="4220" w:type="dxa"/>
            <w:gridSpan w:val="4"/>
            <w:vMerge w:val="continue"/>
            <w:tcBorders>
              <w:top w:val="nil"/>
              <w:bottom w:val="single" w:color="000000" w:sz="2" w:space="0"/>
            </w:tcBorders>
            <w:noWrap w:val="0"/>
            <w:vAlign w:val="center"/>
          </w:tcPr>
          <w:p>
            <w:pPr>
              <w:jc w:val="center"/>
              <w:rPr>
                <w:rFonts w:ascii="宋体" w:hAnsi="宋体"/>
              </w:rPr>
            </w:pPr>
          </w:p>
        </w:tc>
        <w:tc>
          <w:tcPr>
            <w:tcW w:w="838" w:type="dxa"/>
            <w:gridSpan w:val="2"/>
            <w:vMerge w:val="continue"/>
            <w:tcBorders>
              <w:top w:val="nil"/>
              <w:bottom w:val="single" w:color="000000" w:sz="2" w:space="0"/>
            </w:tcBorders>
            <w:noWrap w:val="0"/>
            <w:vAlign w:val="center"/>
          </w:tcPr>
          <w:p>
            <w:pPr>
              <w:jc w:val="center"/>
              <w:rPr>
                <w:rFonts w:ascii="宋体" w:hAnsi="宋体"/>
              </w:rPr>
            </w:pPr>
          </w:p>
        </w:tc>
        <w:tc>
          <w:tcPr>
            <w:tcW w:w="638" w:type="dxa"/>
            <w:gridSpan w:val="2"/>
            <w:tcBorders>
              <w:top w:val="single" w:color="000000" w:sz="2" w:space="0"/>
              <w:bottom w:val="single" w:color="000000" w:sz="2" w:space="0"/>
            </w:tcBorders>
            <w:noWrap w:val="0"/>
            <w:vAlign w:val="center"/>
          </w:tcPr>
          <w:p>
            <w:pPr>
              <w:spacing w:before="207" w:line="251" w:lineRule="auto"/>
              <w:ind w:left="112" w:right="116"/>
              <w:jc w:val="center"/>
              <w:rPr>
                <w:rFonts w:ascii="宋体" w:hAnsi="宋体" w:cs="宋体"/>
                <w:sz w:val="20"/>
                <w:szCs w:val="20"/>
              </w:rPr>
            </w:pPr>
            <w:r>
              <w:rPr>
                <w:rFonts w:ascii="宋体" w:hAnsi="宋体" w:cs="宋体"/>
                <w:spacing w:val="-6"/>
                <w:sz w:val="20"/>
                <w:szCs w:val="20"/>
              </w:rPr>
              <w:t>商业</w:t>
            </w:r>
            <w:r>
              <w:rPr>
                <w:rFonts w:ascii="宋体" w:hAnsi="宋体" w:cs="宋体"/>
                <w:sz w:val="20"/>
                <w:szCs w:val="20"/>
              </w:rPr>
              <w:t xml:space="preserve"> </w:t>
            </w:r>
            <w:r>
              <w:rPr>
                <w:rFonts w:ascii="宋体" w:hAnsi="宋体" w:cs="宋体"/>
                <w:spacing w:val="-6"/>
                <w:sz w:val="20"/>
                <w:szCs w:val="20"/>
              </w:rPr>
              <w:t>企业</w:t>
            </w:r>
          </w:p>
        </w:tc>
        <w:tc>
          <w:tcPr>
            <w:tcW w:w="686" w:type="dxa"/>
            <w:gridSpan w:val="2"/>
            <w:tcBorders>
              <w:top w:val="single" w:color="000000" w:sz="2" w:space="0"/>
              <w:bottom w:val="single" w:color="000000" w:sz="2" w:space="0"/>
            </w:tcBorders>
            <w:noWrap w:val="0"/>
            <w:vAlign w:val="center"/>
          </w:tcPr>
          <w:p>
            <w:pPr>
              <w:spacing w:before="209" w:line="245" w:lineRule="auto"/>
              <w:ind w:right="91"/>
              <w:jc w:val="center"/>
              <w:rPr>
                <w:rFonts w:ascii="宋体" w:hAnsi="宋体" w:cs="宋体"/>
                <w:sz w:val="20"/>
                <w:szCs w:val="20"/>
              </w:rPr>
            </w:pPr>
            <w:r>
              <w:rPr>
                <w:rFonts w:ascii="宋体" w:hAnsi="宋体" w:cs="宋体"/>
                <w:spacing w:val="-4"/>
                <w:sz w:val="20"/>
                <w:szCs w:val="20"/>
              </w:rPr>
              <w:t>科研</w:t>
            </w:r>
            <w:r>
              <w:rPr>
                <w:rFonts w:ascii="宋体" w:hAnsi="宋体" w:cs="宋体"/>
                <w:sz w:val="20"/>
                <w:szCs w:val="20"/>
              </w:rPr>
              <w:t xml:space="preserve"> </w:t>
            </w:r>
            <w:r>
              <w:rPr>
                <w:rFonts w:ascii="宋体" w:hAnsi="宋体" w:cs="宋体"/>
                <w:spacing w:val="6"/>
                <w:sz w:val="20"/>
                <w:szCs w:val="20"/>
              </w:rPr>
              <w:t>机构</w:t>
            </w:r>
          </w:p>
        </w:tc>
        <w:tc>
          <w:tcPr>
            <w:tcW w:w="660" w:type="dxa"/>
            <w:gridSpan w:val="2"/>
            <w:tcBorders>
              <w:top w:val="single" w:color="000000" w:sz="2" w:space="0"/>
              <w:bottom w:val="single" w:color="000000" w:sz="2" w:space="0"/>
            </w:tcBorders>
            <w:noWrap w:val="0"/>
            <w:vAlign w:val="center"/>
          </w:tcPr>
          <w:p>
            <w:pPr>
              <w:spacing w:before="69" w:line="235" w:lineRule="auto"/>
              <w:ind w:left="105" w:right="93"/>
              <w:jc w:val="center"/>
              <w:rPr>
                <w:rFonts w:ascii="宋体" w:hAnsi="宋体" w:cs="宋体"/>
                <w:sz w:val="20"/>
                <w:szCs w:val="20"/>
              </w:rPr>
            </w:pPr>
            <w:r>
              <w:rPr>
                <w:rFonts w:ascii="宋体" w:hAnsi="宋体" w:cs="宋体"/>
                <w:spacing w:val="-5"/>
                <w:sz w:val="20"/>
                <w:szCs w:val="20"/>
              </w:rPr>
              <w:t>社会</w:t>
            </w:r>
            <w:r>
              <w:rPr>
                <w:rFonts w:ascii="宋体" w:hAnsi="宋体" w:cs="宋体"/>
                <w:sz w:val="20"/>
                <w:szCs w:val="20"/>
              </w:rPr>
              <w:t xml:space="preserve"> </w:t>
            </w:r>
            <w:r>
              <w:rPr>
                <w:rFonts w:ascii="宋体" w:hAnsi="宋体" w:cs="宋体"/>
                <w:spacing w:val="4"/>
                <w:sz w:val="20"/>
                <w:szCs w:val="20"/>
              </w:rPr>
              <w:t>公益</w:t>
            </w:r>
            <w:r>
              <w:rPr>
                <w:rFonts w:ascii="宋体" w:hAnsi="宋体" w:cs="宋体"/>
                <w:spacing w:val="1"/>
                <w:sz w:val="20"/>
                <w:szCs w:val="20"/>
              </w:rPr>
              <w:t xml:space="preserve"> </w:t>
            </w:r>
            <w:r>
              <w:rPr>
                <w:rFonts w:ascii="宋体" w:hAnsi="宋体" w:cs="宋体"/>
                <w:spacing w:val="5"/>
                <w:sz w:val="20"/>
                <w:szCs w:val="20"/>
              </w:rPr>
              <w:t>组织</w:t>
            </w:r>
          </w:p>
        </w:tc>
        <w:tc>
          <w:tcPr>
            <w:tcW w:w="660" w:type="dxa"/>
            <w:gridSpan w:val="2"/>
            <w:tcBorders>
              <w:top w:val="single" w:color="000000" w:sz="2" w:space="0"/>
              <w:bottom w:val="single" w:color="000000" w:sz="2" w:space="0"/>
            </w:tcBorders>
            <w:noWrap w:val="0"/>
            <w:vAlign w:val="center"/>
          </w:tcPr>
          <w:p>
            <w:pPr>
              <w:spacing w:before="69" w:line="235" w:lineRule="auto"/>
              <w:ind w:left="116" w:right="89"/>
              <w:jc w:val="center"/>
              <w:rPr>
                <w:rFonts w:ascii="宋体" w:hAnsi="宋体" w:cs="宋体"/>
                <w:sz w:val="20"/>
                <w:szCs w:val="20"/>
              </w:rPr>
            </w:pPr>
            <w:r>
              <w:rPr>
                <w:rFonts w:ascii="宋体" w:hAnsi="宋体" w:cs="宋体"/>
                <w:spacing w:val="-5"/>
                <w:sz w:val="20"/>
                <w:szCs w:val="20"/>
              </w:rPr>
              <w:t>法律</w:t>
            </w:r>
            <w:r>
              <w:rPr>
                <w:rFonts w:ascii="宋体" w:hAnsi="宋体" w:cs="宋体"/>
                <w:spacing w:val="1"/>
                <w:sz w:val="20"/>
                <w:szCs w:val="20"/>
              </w:rPr>
              <w:t xml:space="preserve"> </w:t>
            </w:r>
            <w:r>
              <w:rPr>
                <w:rFonts w:ascii="宋体" w:hAnsi="宋体" w:cs="宋体"/>
                <w:spacing w:val="-4"/>
                <w:sz w:val="20"/>
                <w:szCs w:val="20"/>
              </w:rPr>
              <w:t>服务</w:t>
            </w:r>
            <w:r>
              <w:rPr>
                <w:rFonts w:ascii="宋体" w:hAnsi="宋体" w:cs="宋体"/>
                <w:sz w:val="20"/>
                <w:szCs w:val="20"/>
              </w:rPr>
              <w:t xml:space="preserve"> </w:t>
            </w:r>
            <w:r>
              <w:rPr>
                <w:rFonts w:ascii="宋体" w:hAnsi="宋体" w:cs="宋体"/>
                <w:spacing w:val="6"/>
                <w:sz w:val="20"/>
                <w:szCs w:val="20"/>
              </w:rPr>
              <w:t>机构</w:t>
            </w:r>
          </w:p>
        </w:tc>
        <w:tc>
          <w:tcPr>
            <w:tcW w:w="539" w:type="dxa"/>
            <w:gridSpan w:val="2"/>
            <w:tcBorders>
              <w:top w:val="single" w:color="000000" w:sz="2" w:space="0"/>
              <w:bottom w:val="single" w:color="000000" w:sz="2" w:space="0"/>
            </w:tcBorders>
            <w:noWrap w:val="0"/>
            <w:vAlign w:val="center"/>
          </w:tcPr>
          <w:p>
            <w:pPr>
              <w:spacing w:line="251" w:lineRule="auto"/>
              <w:jc w:val="center"/>
              <w:rPr>
                <w:rFonts w:ascii="宋体" w:hAnsi="宋体"/>
              </w:rPr>
            </w:pPr>
          </w:p>
          <w:p>
            <w:pPr>
              <w:spacing w:before="65" w:line="220" w:lineRule="auto"/>
              <w:jc w:val="center"/>
              <w:rPr>
                <w:rFonts w:ascii="宋体" w:hAnsi="宋体" w:cs="宋体"/>
                <w:sz w:val="20"/>
                <w:szCs w:val="20"/>
              </w:rPr>
            </w:pPr>
            <w:r>
              <w:rPr>
                <w:rFonts w:ascii="宋体" w:hAnsi="宋体" w:cs="宋体"/>
                <w:spacing w:val="-3"/>
                <w:sz w:val="20"/>
                <w:szCs w:val="20"/>
              </w:rPr>
              <w:t>其他</w:t>
            </w:r>
          </w:p>
        </w:tc>
        <w:tc>
          <w:tcPr>
            <w:tcW w:w="698" w:type="dxa"/>
            <w:gridSpan w:val="2"/>
            <w:vMerge w:val="continue"/>
            <w:tcBorders>
              <w:top w:val="nil"/>
              <w:bottom w:val="single" w:color="000000" w:sz="2" w:space="0"/>
            </w:tcBorders>
            <w:noWrap w:val="0"/>
            <w:vAlign w:val="center"/>
          </w:tcPr>
          <w:p>
            <w:pPr>
              <w:jc w:val="center"/>
              <w:rPr>
                <w:rFonts w:ascii="宋体" w:hAnsi="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4220" w:type="dxa"/>
            <w:gridSpan w:val="4"/>
            <w:tcBorders>
              <w:top w:val="single" w:color="000000" w:sz="2" w:space="0"/>
              <w:bottom w:val="single" w:color="000000" w:sz="2" w:space="0"/>
            </w:tcBorders>
            <w:noWrap w:val="0"/>
            <w:vAlign w:val="center"/>
          </w:tcPr>
          <w:p>
            <w:pPr>
              <w:spacing w:before="99" w:line="219" w:lineRule="auto"/>
              <w:ind w:firstLine="70"/>
              <w:jc w:val="center"/>
              <w:rPr>
                <w:rFonts w:ascii="宋体" w:hAnsi="宋体" w:cs="宋体"/>
                <w:sz w:val="20"/>
                <w:szCs w:val="20"/>
              </w:rPr>
            </w:pPr>
            <w:r>
              <w:rPr>
                <w:rFonts w:ascii="宋体" w:hAnsi="宋体" w:cs="宋体"/>
                <w:spacing w:val="-1"/>
                <w:sz w:val="20"/>
                <w:szCs w:val="20"/>
              </w:rPr>
              <w:t>一、本年新收政府信息公开申请数量</w:t>
            </w:r>
          </w:p>
        </w:tc>
        <w:tc>
          <w:tcPr>
            <w:tcW w:w="838" w:type="dxa"/>
            <w:gridSpan w:val="2"/>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86"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0"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0"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5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9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95" w:hRule="atLeast"/>
          <w:jc w:val="center"/>
        </w:trPr>
        <w:tc>
          <w:tcPr>
            <w:tcW w:w="4191" w:type="dxa"/>
            <w:gridSpan w:val="3"/>
            <w:tcBorders>
              <w:top w:val="single" w:color="000000" w:sz="2" w:space="0"/>
              <w:bottom w:val="single" w:color="000000" w:sz="2" w:space="0"/>
            </w:tcBorders>
            <w:noWrap w:val="0"/>
            <w:vAlign w:val="center"/>
          </w:tcPr>
          <w:p>
            <w:pPr>
              <w:spacing w:before="94" w:line="219" w:lineRule="auto"/>
              <w:ind w:firstLine="69"/>
              <w:jc w:val="both"/>
              <w:rPr>
                <w:rFonts w:ascii="宋体" w:hAnsi="宋体" w:cs="宋体"/>
                <w:sz w:val="20"/>
                <w:szCs w:val="20"/>
              </w:rPr>
            </w:pPr>
            <w:r>
              <w:rPr>
                <w:rFonts w:ascii="宋体" w:hAnsi="宋体" w:cs="宋体"/>
                <w:spacing w:val="-1"/>
                <w:sz w:val="20"/>
                <w:szCs w:val="20"/>
              </w:rPr>
              <w:t>二、上年结转政府信息公开申请数量</w:t>
            </w:r>
          </w:p>
        </w:tc>
        <w:tc>
          <w:tcPr>
            <w:tcW w:w="838" w:type="dxa"/>
            <w:gridSpan w:val="2"/>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hint="eastAsia"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65" w:hRule="atLeast"/>
          <w:jc w:val="center"/>
        </w:trPr>
        <w:tc>
          <w:tcPr>
            <w:tcW w:w="1048" w:type="dxa"/>
            <w:vMerge w:val="restart"/>
            <w:tcBorders>
              <w:top w:val="single" w:color="000000" w:sz="2" w:space="0"/>
              <w:bottom w:val="nil"/>
            </w:tcBorders>
            <w:noWrap w:val="0"/>
            <w:vAlign w:val="center"/>
          </w:tcPr>
          <w:p>
            <w:pPr>
              <w:spacing w:before="62" w:line="258" w:lineRule="auto"/>
              <w:jc w:val="both"/>
              <w:rPr>
                <w:rFonts w:ascii="宋体" w:hAnsi="宋体" w:cs="宋体"/>
                <w:sz w:val="19"/>
                <w:szCs w:val="19"/>
              </w:rPr>
            </w:pPr>
            <w:r>
              <w:rPr>
                <w:rFonts w:ascii="宋体" w:hAnsi="宋体" w:cs="宋体"/>
                <w:spacing w:val="5"/>
                <w:sz w:val="19"/>
                <w:szCs w:val="19"/>
              </w:rPr>
              <w:t>三、本年度</w:t>
            </w:r>
            <w:r>
              <w:rPr>
                <w:rFonts w:ascii="宋体" w:hAnsi="宋体" w:cs="宋体"/>
                <w:spacing w:val="3"/>
                <w:sz w:val="19"/>
                <w:szCs w:val="19"/>
              </w:rPr>
              <w:t xml:space="preserve"> </w:t>
            </w:r>
            <w:r>
              <w:rPr>
                <w:rFonts w:ascii="宋体" w:hAnsi="宋体" w:cs="宋体"/>
                <w:spacing w:val="10"/>
                <w:sz w:val="19"/>
                <w:szCs w:val="19"/>
              </w:rPr>
              <w:t>办理结果</w:t>
            </w:r>
          </w:p>
        </w:tc>
        <w:tc>
          <w:tcPr>
            <w:tcW w:w="3143" w:type="dxa"/>
            <w:gridSpan w:val="2"/>
            <w:tcBorders>
              <w:top w:val="single" w:color="000000" w:sz="2" w:space="0"/>
              <w:bottom w:val="single" w:color="000000" w:sz="2" w:space="0"/>
            </w:tcBorders>
            <w:noWrap w:val="0"/>
            <w:vAlign w:val="center"/>
          </w:tcPr>
          <w:p>
            <w:pPr>
              <w:spacing w:before="105" w:line="241" w:lineRule="auto"/>
              <w:jc w:val="both"/>
              <w:rPr>
                <w:rFonts w:ascii="宋体" w:hAnsi="宋体" w:cs="宋体"/>
                <w:sz w:val="18"/>
                <w:szCs w:val="18"/>
              </w:rPr>
            </w:pPr>
            <w:r>
              <w:rPr>
                <w:rFonts w:ascii="宋体" w:hAnsi="宋体" w:cs="宋体"/>
                <w:spacing w:val="19"/>
                <w:w w:val="102"/>
                <w:sz w:val="18"/>
                <w:szCs w:val="18"/>
              </w:rPr>
              <w:t>（一）予以公开</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25" w:hRule="atLeast"/>
          <w:jc w:val="center"/>
        </w:trPr>
        <w:tc>
          <w:tcPr>
            <w:tcW w:w="1048" w:type="dxa"/>
            <w:vMerge w:val="continue"/>
            <w:tcBorders>
              <w:top w:val="nil"/>
              <w:bottom w:val="nil"/>
            </w:tcBorders>
            <w:noWrap w:val="0"/>
            <w:vAlign w:val="center"/>
          </w:tcPr>
          <w:p>
            <w:pPr>
              <w:jc w:val="center"/>
              <w:rPr>
                <w:rFonts w:ascii="宋体" w:hAnsi="宋体"/>
              </w:rPr>
            </w:pPr>
          </w:p>
        </w:tc>
        <w:tc>
          <w:tcPr>
            <w:tcW w:w="3143" w:type="dxa"/>
            <w:gridSpan w:val="2"/>
            <w:tcBorders>
              <w:top w:val="single" w:color="000000" w:sz="2" w:space="0"/>
              <w:bottom w:val="single" w:color="000000" w:sz="2" w:space="0"/>
            </w:tcBorders>
            <w:noWrap w:val="0"/>
            <w:vAlign w:val="center"/>
          </w:tcPr>
          <w:p>
            <w:pPr>
              <w:spacing w:before="85" w:line="262" w:lineRule="auto"/>
              <w:jc w:val="both"/>
              <w:rPr>
                <w:rFonts w:ascii="宋体" w:hAnsi="宋体" w:cs="宋体"/>
                <w:sz w:val="19"/>
                <w:szCs w:val="19"/>
              </w:rPr>
            </w:pPr>
            <w:r>
              <w:rPr>
                <w:rFonts w:ascii="宋体" w:hAnsi="宋体" w:cs="宋体"/>
                <w:spacing w:val="5"/>
                <w:sz w:val="19"/>
                <w:szCs w:val="19"/>
              </w:rPr>
              <w:t>（二）部分公开（区分处理的，只计</w:t>
            </w:r>
            <w:r>
              <w:rPr>
                <w:rFonts w:ascii="宋体" w:hAnsi="宋体" w:cs="宋体"/>
                <w:spacing w:val="2"/>
                <w:sz w:val="19"/>
                <w:szCs w:val="19"/>
              </w:rPr>
              <w:t xml:space="preserve"> </w:t>
            </w:r>
            <w:r>
              <w:rPr>
                <w:rFonts w:ascii="宋体" w:hAnsi="宋体" w:cs="宋体"/>
                <w:spacing w:val="13"/>
                <w:sz w:val="19"/>
                <w:szCs w:val="19"/>
              </w:rPr>
              <w:t>这一情形，不计其他情形）</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9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restart"/>
            <w:tcBorders>
              <w:top w:val="single" w:color="000000" w:sz="2" w:space="0"/>
              <w:bottom w:val="nil"/>
            </w:tcBorders>
            <w:noWrap w:val="0"/>
            <w:vAlign w:val="center"/>
          </w:tcPr>
          <w:p>
            <w:pPr>
              <w:spacing w:before="59" w:line="291" w:lineRule="auto"/>
              <w:jc w:val="both"/>
              <w:rPr>
                <w:rFonts w:ascii="宋体" w:hAnsi="宋体" w:cs="宋体"/>
                <w:sz w:val="18"/>
                <w:szCs w:val="18"/>
              </w:rPr>
            </w:pPr>
            <w:r>
              <w:rPr>
                <w:rFonts w:ascii="宋体" w:hAnsi="宋体" w:cs="宋体"/>
                <w:spacing w:val="3"/>
                <w:sz w:val="18"/>
                <w:szCs w:val="18"/>
              </w:rPr>
              <w:t>（三）不予</w:t>
            </w:r>
            <w:r>
              <w:rPr>
                <w:rFonts w:ascii="宋体" w:hAnsi="宋体" w:cs="宋体"/>
                <w:spacing w:val="2"/>
                <w:sz w:val="18"/>
                <w:szCs w:val="18"/>
              </w:rPr>
              <w:t xml:space="preserve"> </w:t>
            </w:r>
            <w:r>
              <w:rPr>
                <w:rFonts w:ascii="宋体" w:hAnsi="宋体" w:cs="宋体"/>
                <w:spacing w:val="12"/>
                <w:sz w:val="18"/>
                <w:szCs w:val="18"/>
              </w:rPr>
              <w:t>公开</w:t>
            </w:r>
          </w:p>
        </w:tc>
        <w:tc>
          <w:tcPr>
            <w:tcW w:w="2205" w:type="dxa"/>
            <w:tcBorders>
              <w:top w:val="single" w:color="000000" w:sz="2" w:space="0"/>
              <w:bottom w:val="single" w:color="000000" w:sz="2" w:space="0"/>
            </w:tcBorders>
            <w:noWrap w:val="0"/>
            <w:vAlign w:val="center"/>
          </w:tcPr>
          <w:p>
            <w:pPr>
              <w:spacing w:before="95" w:line="219" w:lineRule="auto"/>
              <w:ind w:firstLine="44"/>
              <w:jc w:val="both"/>
              <w:rPr>
                <w:rFonts w:ascii="宋体" w:hAnsi="宋体" w:cs="宋体"/>
                <w:sz w:val="20"/>
                <w:szCs w:val="20"/>
              </w:rPr>
            </w:pPr>
            <w:r>
              <w:rPr>
                <w:rFonts w:ascii="宋体" w:hAnsi="宋体" w:cs="宋体"/>
                <w:spacing w:val="1"/>
                <w:sz w:val="20"/>
                <w:szCs w:val="20"/>
              </w:rPr>
              <w:t>1.属于国家秘密</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3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104" w:line="245" w:lineRule="auto"/>
              <w:ind w:left="43" w:right="342" w:hanging="9"/>
              <w:jc w:val="both"/>
              <w:rPr>
                <w:rFonts w:ascii="宋体" w:hAnsi="宋体" w:cs="宋体"/>
                <w:sz w:val="20"/>
                <w:szCs w:val="20"/>
              </w:rPr>
            </w:pPr>
            <w:r>
              <w:rPr>
                <w:rFonts w:ascii="宋体" w:hAnsi="宋体" w:cs="宋体"/>
                <w:sz w:val="20"/>
                <w:szCs w:val="20"/>
              </w:rPr>
              <w:t>2.其他法律行政法规</w:t>
            </w:r>
            <w:r>
              <w:rPr>
                <w:rFonts w:ascii="宋体" w:hAnsi="宋体" w:cs="宋体"/>
                <w:spacing w:val="8"/>
                <w:sz w:val="20"/>
                <w:szCs w:val="20"/>
              </w:rPr>
              <w:t xml:space="preserve"> </w:t>
            </w:r>
            <w:r>
              <w:rPr>
                <w:rFonts w:ascii="宋体" w:hAnsi="宋体" w:cs="宋体"/>
                <w:spacing w:val="-2"/>
                <w:sz w:val="20"/>
                <w:szCs w:val="20"/>
              </w:rPr>
              <w:t>禁止公开</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1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105"/>
              <w:ind w:firstLine="44"/>
              <w:jc w:val="both"/>
              <w:rPr>
                <w:rFonts w:ascii="宋体" w:hAnsi="宋体" w:cs="宋体"/>
                <w:sz w:val="18"/>
                <w:szCs w:val="18"/>
              </w:rPr>
            </w:pPr>
            <w:r>
              <w:rPr>
                <w:rFonts w:ascii="宋体" w:hAnsi="宋体" w:cs="宋体"/>
                <w:spacing w:val="9"/>
                <w:w w:val="102"/>
                <w:sz w:val="18"/>
                <w:szCs w:val="18"/>
              </w:rPr>
              <w:t>3.危及“三安全一稳定”</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1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105" w:line="219" w:lineRule="auto"/>
              <w:ind w:firstLine="44"/>
              <w:jc w:val="both"/>
              <w:rPr>
                <w:rFonts w:ascii="宋体" w:hAnsi="宋体" w:cs="宋体"/>
                <w:sz w:val="20"/>
                <w:szCs w:val="20"/>
              </w:rPr>
            </w:pPr>
            <w:r>
              <w:rPr>
                <w:rFonts w:ascii="宋体" w:hAnsi="宋体" w:cs="宋体"/>
                <w:sz w:val="20"/>
                <w:szCs w:val="20"/>
              </w:rPr>
              <w:t>4.保护第三方合法权益</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24"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106" w:line="239" w:lineRule="auto"/>
              <w:ind w:left="44" w:right="331"/>
              <w:jc w:val="both"/>
              <w:rPr>
                <w:rFonts w:ascii="宋体" w:hAnsi="宋体" w:cs="宋体"/>
                <w:sz w:val="20"/>
                <w:szCs w:val="20"/>
              </w:rPr>
            </w:pPr>
            <w:r>
              <w:rPr>
                <w:rFonts w:ascii="宋体" w:hAnsi="宋体" w:cs="宋体"/>
                <w:sz w:val="20"/>
                <w:szCs w:val="20"/>
              </w:rPr>
              <w:t>5.属于三类内部事务</w:t>
            </w:r>
            <w:r>
              <w:rPr>
                <w:rFonts w:ascii="宋体" w:hAnsi="宋体" w:cs="宋体"/>
                <w:spacing w:val="9"/>
                <w:sz w:val="20"/>
                <w:szCs w:val="20"/>
              </w:rPr>
              <w:t xml:space="preserve"> </w:t>
            </w:r>
            <w:r>
              <w:rPr>
                <w:rFonts w:ascii="宋体" w:hAnsi="宋体" w:cs="宋体"/>
                <w:spacing w:val="7"/>
                <w:sz w:val="20"/>
                <w:szCs w:val="20"/>
              </w:rPr>
              <w:t>信息</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2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106" w:line="219" w:lineRule="auto"/>
              <w:ind w:firstLine="44"/>
              <w:jc w:val="both"/>
              <w:rPr>
                <w:rFonts w:ascii="宋体" w:hAnsi="宋体" w:cs="宋体"/>
                <w:sz w:val="20"/>
                <w:szCs w:val="20"/>
              </w:rPr>
            </w:pPr>
            <w:r>
              <w:rPr>
                <w:rFonts w:ascii="宋体" w:hAnsi="宋体" w:cs="宋体"/>
                <w:spacing w:val="1"/>
                <w:sz w:val="20"/>
                <w:szCs w:val="20"/>
              </w:rPr>
              <w:t>6.属于四类过程性信息</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9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96" w:line="219" w:lineRule="auto"/>
              <w:ind w:firstLine="44"/>
              <w:jc w:val="both"/>
              <w:rPr>
                <w:rFonts w:ascii="宋体" w:hAnsi="宋体" w:cs="宋体"/>
                <w:sz w:val="20"/>
                <w:szCs w:val="20"/>
              </w:rPr>
            </w:pPr>
            <w:r>
              <w:rPr>
                <w:rFonts w:ascii="宋体" w:hAnsi="宋体" w:cs="宋体"/>
                <w:sz w:val="20"/>
                <w:szCs w:val="20"/>
              </w:rPr>
              <w:t>7.属于行政执法案卷</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2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single" w:color="000000" w:sz="2" w:space="0"/>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106" w:line="220" w:lineRule="auto"/>
              <w:ind w:firstLine="44"/>
              <w:jc w:val="both"/>
              <w:rPr>
                <w:rFonts w:ascii="宋体" w:hAnsi="宋体" w:cs="宋体"/>
                <w:sz w:val="20"/>
                <w:szCs w:val="20"/>
              </w:rPr>
            </w:pPr>
            <w:r>
              <w:rPr>
                <w:rFonts w:ascii="宋体" w:hAnsi="宋体" w:cs="宋体"/>
                <w:spacing w:val="1"/>
                <w:sz w:val="20"/>
                <w:szCs w:val="20"/>
              </w:rPr>
              <w:t>8.属于行政查询事项</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2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restart"/>
            <w:tcBorders>
              <w:top w:val="single" w:color="000000" w:sz="2" w:space="0"/>
              <w:bottom w:val="nil"/>
            </w:tcBorders>
            <w:noWrap w:val="0"/>
            <w:vAlign w:val="center"/>
          </w:tcPr>
          <w:p>
            <w:pPr>
              <w:spacing w:before="59" w:line="251" w:lineRule="auto"/>
              <w:jc w:val="both"/>
              <w:rPr>
                <w:rFonts w:ascii="宋体" w:hAnsi="宋体" w:cs="宋体"/>
                <w:sz w:val="18"/>
                <w:szCs w:val="18"/>
              </w:rPr>
            </w:pPr>
            <w:r>
              <w:rPr>
                <w:rFonts w:ascii="宋体" w:hAnsi="宋体" w:cs="宋体"/>
                <w:spacing w:val="3"/>
                <w:sz w:val="18"/>
                <w:szCs w:val="18"/>
              </w:rPr>
              <w:t>（四）无法</w:t>
            </w:r>
            <w:r>
              <w:rPr>
                <w:rFonts w:ascii="宋体" w:hAnsi="宋体" w:cs="宋体"/>
                <w:spacing w:val="2"/>
                <w:w w:val="101"/>
                <w:sz w:val="18"/>
                <w:szCs w:val="18"/>
              </w:rPr>
              <w:t xml:space="preserve"> </w:t>
            </w:r>
            <w:r>
              <w:rPr>
                <w:rFonts w:ascii="宋体" w:hAnsi="宋体" w:cs="宋体"/>
                <w:spacing w:val="3"/>
                <w:sz w:val="18"/>
                <w:szCs w:val="18"/>
              </w:rPr>
              <w:t>提供</w:t>
            </w:r>
          </w:p>
        </w:tc>
        <w:tc>
          <w:tcPr>
            <w:tcW w:w="2205" w:type="dxa"/>
            <w:tcBorders>
              <w:top w:val="single" w:color="000000" w:sz="2" w:space="0"/>
              <w:bottom w:val="single" w:color="000000" w:sz="2" w:space="0"/>
            </w:tcBorders>
            <w:noWrap w:val="0"/>
            <w:vAlign w:val="center"/>
          </w:tcPr>
          <w:p>
            <w:pPr>
              <w:spacing w:before="96" w:line="244" w:lineRule="auto"/>
              <w:ind w:left="44" w:right="231"/>
              <w:jc w:val="both"/>
              <w:rPr>
                <w:rFonts w:ascii="宋体" w:hAnsi="宋体" w:cs="宋体"/>
                <w:sz w:val="20"/>
                <w:szCs w:val="20"/>
              </w:rPr>
            </w:pPr>
            <w:r>
              <w:rPr>
                <w:rFonts w:hint="eastAsia" w:ascii="宋体" w:hAnsi="宋体" w:cs="宋体"/>
                <w:sz w:val="20"/>
                <w:szCs w:val="20"/>
                <w:lang w:val="en-US" w:eastAsia="zh-CN"/>
              </w:rPr>
              <w:t>1.</w:t>
            </w:r>
            <w:r>
              <w:rPr>
                <w:rFonts w:ascii="宋体" w:hAnsi="宋体" w:cs="宋体"/>
                <w:sz w:val="20"/>
                <w:szCs w:val="20"/>
              </w:rPr>
              <w:t>本机关不掌握相关</w:t>
            </w:r>
            <w:r>
              <w:rPr>
                <w:rFonts w:ascii="宋体" w:hAnsi="宋体" w:cs="宋体"/>
                <w:spacing w:val="9"/>
                <w:sz w:val="20"/>
                <w:szCs w:val="20"/>
              </w:rPr>
              <w:t xml:space="preserve"> </w:t>
            </w:r>
            <w:r>
              <w:rPr>
                <w:rFonts w:ascii="宋体" w:hAnsi="宋体" w:cs="宋体"/>
                <w:spacing w:val="3"/>
                <w:sz w:val="20"/>
                <w:szCs w:val="20"/>
              </w:rPr>
              <w:t>政府信息</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24"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75" w:line="253" w:lineRule="auto"/>
              <w:ind w:left="44" w:right="330"/>
              <w:jc w:val="both"/>
              <w:rPr>
                <w:rFonts w:ascii="宋体" w:hAnsi="宋体" w:cs="宋体"/>
                <w:sz w:val="20"/>
                <w:szCs w:val="20"/>
              </w:rPr>
            </w:pPr>
            <w:r>
              <w:rPr>
                <w:rFonts w:ascii="宋体" w:hAnsi="宋体" w:cs="宋体"/>
                <w:spacing w:val="1"/>
                <w:sz w:val="20"/>
                <w:szCs w:val="20"/>
              </w:rPr>
              <w:t>2.没有现成信息需要</w:t>
            </w:r>
            <w:r>
              <w:rPr>
                <w:rFonts w:ascii="宋体" w:hAnsi="宋体" w:cs="宋体"/>
                <w:spacing w:val="3"/>
                <w:sz w:val="20"/>
                <w:szCs w:val="20"/>
              </w:rPr>
              <w:t>另行制作</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1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single" w:color="000000" w:sz="2" w:space="0"/>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86" w:line="244" w:lineRule="auto"/>
              <w:ind w:left="44" w:right="330"/>
              <w:jc w:val="both"/>
              <w:rPr>
                <w:rFonts w:ascii="宋体" w:hAnsi="宋体" w:cs="宋体"/>
                <w:sz w:val="20"/>
                <w:szCs w:val="20"/>
              </w:rPr>
            </w:pPr>
            <w:r>
              <w:rPr>
                <w:rFonts w:ascii="宋体" w:hAnsi="宋体" w:cs="宋体"/>
                <w:spacing w:val="1"/>
                <w:sz w:val="20"/>
                <w:szCs w:val="20"/>
              </w:rPr>
              <w:t>3.补正后申请内容仍</w:t>
            </w:r>
            <w:r>
              <w:rPr>
                <w:rFonts w:ascii="宋体" w:hAnsi="宋体" w:cs="宋体"/>
                <w:spacing w:val="5"/>
                <w:sz w:val="20"/>
                <w:szCs w:val="20"/>
              </w:rPr>
              <w:t>不明确</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7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restart"/>
            <w:tcBorders>
              <w:top w:val="single" w:color="000000" w:sz="2" w:space="0"/>
              <w:bottom w:val="nil"/>
            </w:tcBorders>
            <w:noWrap w:val="0"/>
            <w:vAlign w:val="center"/>
          </w:tcPr>
          <w:p>
            <w:pPr>
              <w:spacing w:before="58" w:line="273" w:lineRule="auto"/>
              <w:jc w:val="both"/>
              <w:rPr>
                <w:rFonts w:ascii="宋体" w:hAnsi="宋体" w:cs="宋体"/>
                <w:sz w:val="18"/>
                <w:szCs w:val="18"/>
              </w:rPr>
            </w:pPr>
            <w:r>
              <w:rPr>
                <w:rFonts w:ascii="宋体" w:hAnsi="宋体" w:cs="宋体"/>
                <w:spacing w:val="3"/>
                <w:sz w:val="18"/>
                <w:szCs w:val="18"/>
              </w:rPr>
              <w:t>（五）不予</w:t>
            </w:r>
            <w:r>
              <w:rPr>
                <w:rFonts w:ascii="宋体" w:hAnsi="宋体" w:cs="宋体"/>
                <w:spacing w:val="2"/>
                <w:sz w:val="18"/>
                <w:szCs w:val="18"/>
              </w:rPr>
              <w:t xml:space="preserve"> 处理</w:t>
            </w:r>
          </w:p>
        </w:tc>
        <w:tc>
          <w:tcPr>
            <w:tcW w:w="2205" w:type="dxa"/>
            <w:tcBorders>
              <w:top w:val="single" w:color="000000" w:sz="2" w:space="0"/>
              <w:bottom w:val="single" w:color="000000" w:sz="2" w:space="0"/>
            </w:tcBorders>
            <w:noWrap w:val="0"/>
            <w:vAlign w:val="center"/>
          </w:tcPr>
          <w:p>
            <w:pPr>
              <w:spacing w:before="86" w:line="219" w:lineRule="auto"/>
              <w:ind w:firstLine="44"/>
              <w:jc w:val="both"/>
              <w:rPr>
                <w:rFonts w:ascii="宋体" w:hAnsi="宋体" w:cs="宋体"/>
                <w:sz w:val="20"/>
                <w:szCs w:val="20"/>
              </w:rPr>
            </w:pPr>
            <w:r>
              <w:rPr>
                <w:rFonts w:ascii="宋体" w:hAnsi="宋体" w:cs="宋体"/>
                <w:spacing w:val="-1"/>
                <w:sz w:val="20"/>
                <w:szCs w:val="20"/>
              </w:rPr>
              <w:t>1.信访举报投诉类申请</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4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67" w:line="219" w:lineRule="auto"/>
              <w:ind w:firstLine="44"/>
              <w:jc w:val="both"/>
              <w:rPr>
                <w:rFonts w:ascii="宋体" w:hAnsi="宋体" w:cs="宋体"/>
                <w:sz w:val="20"/>
                <w:szCs w:val="20"/>
              </w:rPr>
            </w:pPr>
            <w:r>
              <w:rPr>
                <w:rFonts w:ascii="宋体" w:hAnsi="宋体" w:cs="宋体"/>
                <w:spacing w:val="1"/>
                <w:sz w:val="20"/>
                <w:szCs w:val="20"/>
              </w:rPr>
              <w:t>2.重复申请</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7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86" w:line="219" w:lineRule="auto"/>
              <w:ind w:firstLine="44"/>
              <w:jc w:val="both"/>
              <w:rPr>
                <w:rFonts w:ascii="宋体" w:hAnsi="宋体" w:cs="宋体"/>
                <w:sz w:val="20"/>
                <w:szCs w:val="20"/>
              </w:rPr>
            </w:pPr>
            <w:r>
              <w:rPr>
                <w:rFonts w:ascii="宋体" w:hAnsi="宋体" w:cs="宋体"/>
                <w:sz w:val="20"/>
                <w:szCs w:val="20"/>
              </w:rPr>
              <w:t>3.要求提供公开出版物</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2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77" w:line="239" w:lineRule="auto"/>
              <w:ind w:left="44" w:right="233"/>
              <w:jc w:val="both"/>
              <w:rPr>
                <w:rFonts w:ascii="宋体" w:hAnsi="宋体" w:cs="宋体"/>
                <w:sz w:val="20"/>
                <w:szCs w:val="20"/>
              </w:rPr>
            </w:pPr>
            <w:r>
              <w:rPr>
                <w:rFonts w:hint="eastAsia" w:ascii="宋体" w:hAnsi="宋体" w:cs="宋体"/>
                <w:sz w:val="20"/>
                <w:szCs w:val="20"/>
                <w:lang w:val="en-US" w:eastAsia="zh-CN"/>
              </w:rPr>
              <w:t>4.</w:t>
            </w:r>
            <w:r>
              <w:rPr>
                <w:rFonts w:ascii="宋体" w:hAnsi="宋体" w:cs="宋体"/>
                <w:sz w:val="20"/>
                <w:szCs w:val="20"/>
              </w:rPr>
              <w:t>无正当理由大量反</w:t>
            </w:r>
            <w:r>
              <w:rPr>
                <w:rFonts w:ascii="宋体" w:hAnsi="宋体" w:cs="宋体"/>
                <w:spacing w:val="7"/>
                <w:sz w:val="20"/>
                <w:szCs w:val="20"/>
              </w:rPr>
              <w:t xml:space="preserve"> </w:t>
            </w:r>
            <w:r>
              <w:rPr>
                <w:rFonts w:ascii="宋体" w:hAnsi="宋体" w:cs="宋体"/>
                <w:spacing w:val="3"/>
                <w:sz w:val="20"/>
                <w:szCs w:val="20"/>
              </w:rPr>
              <w:t>复申请</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57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single" w:color="000000" w:sz="2" w:space="0"/>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47" w:line="234" w:lineRule="auto"/>
              <w:ind w:left="44" w:right="126"/>
              <w:jc w:val="both"/>
              <w:rPr>
                <w:rFonts w:ascii="宋体" w:hAnsi="宋体" w:cs="宋体"/>
                <w:sz w:val="20"/>
                <w:szCs w:val="20"/>
              </w:rPr>
            </w:pPr>
            <w:r>
              <w:rPr>
                <w:rFonts w:ascii="宋体" w:hAnsi="宋体" w:cs="宋体"/>
                <w:spacing w:val="1"/>
                <w:sz w:val="20"/>
                <w:szCs w:val="20"/>
              </w:rPr>
              <w:t>5.要求行政机关确认</w:t>
            </w:r>
            <w:r>
              <w:rPr>
                <w:rFonts w:ascii="宋体" w:hAnsi="宋体" w:cs="宋体"/>
                <w:sz w:val="20"/>
                <w:szCs w:val="20"/>
              </w:rPr>
              <w:t xml:space="preserve">   </w:t>
            </w:r>
            <w:r>
              <w:rPr>
                <w:rFonts w:ascii="宋体" w:hAnsi="宋体" w:cs="宋体"/>
                <w:spacing w:val="1"/>
                <w:sz w:val="20"/>
                <w:szCs w:val="20"/>
              </w:rPr>
              <w:t>或重新出具已获取信息</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1024"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restart"/>
            <w:tcBorders>
              <w:top w:val="single" w:color="000000" w:sz="2" w:space="0"/>
              <w:bottom w:val="nil"/>
            </w:tcBorders>
            <w:noWrap w:val="0"/>
            <w:vAlign w:val="center"/>
          </w:tcPr>
          <w:p>
            <w:pPr>
              <w:spacing w:before="59" w:line="293" w:lineRule="auto"/>
              <w:jc w:val="both"/>
              <w:rPr>
                <w:rFonts w:ascii="宋体" w:hAnsi="宋体" w:cs="宋体"/>
                <w:sz w:val="18"/>
                <w:szCs w:val="18"/>
              </w:rPr>
            </w:pPr>
            <w:r>
              <w:rPr>
                <w:rFonts w:ascii="宋体" w:hAnsi="宋体" w:cs="宋体"/>
                <w:spacing w:val="3"/>
                <w:sz w:val="18"/>
                <w:szCs w:val="18"/>
              </w:rPr>
              <w:t>（六）其他</w:t>
            </w:r>
            <w:r>
              <w:rPr>
                <w:rFonts w:ascii="宋体" w:hAnsi="宋体" w:cs="宋体"/>
                <w:spacing w:val="2"/>
                <w:w w:val="101"/>
                <w:sz w:val="18"/>
                <w:szCs w:val="18"/>
              </w:rPr>
              <w:t xml:space="preserve"> </w:t>
            </w:r>
            <w:r>
              <w:rPr>
                <w:rFonts w:ascii="宋体" w:hAnsi="宋体" w:cs="宋体"/>
                <w:spacing w:val="2"/>
                <w:sz w:val="18"/>
                <w:szCs w:val="18"/>
              </w:rPr>
              <w:t>处理</w:t>
            </w:r>
          </w:p>
        </w:tc>
        <w:tc>
          <w:tcPr>
            <w:tcW w:w="2205" w:type="dxa"/>
            <w:tcBorders>
              <w:top w:val="single" w:color="000000" w:sz="2" w:space="0"/>
              <w:bottom w:val="single" w:color="000000" w:sz="2" w:space="0"/>
            </w:tcBorders>
            <w:noWrap w:val="0"/>
            <w:vAlign w:val="center"/>
          </w:tcPr>
          <w:p>
            <w:pPr>
              <w:spacing w:before="35" w:line="228" w:lineRule="auto"/>
              <w:ind w:left="44" w:right="117"/>
              <w:jc w:val="both"/>
              <w:rPr>
                <w:rFonts w:ascii="宋体" w:hAnsi="宋体" w:cs="宋体"/>
                <w:sz w:val="20"/>
                <w:szCs w:val="20"/>
              </w:rPr>
            </w:pPr>
            <w:r>
              <w:rPr>
                <w:rFonts w:hint="eastAsia" w:ascii="宋体" w:hAnsi="宋体" w:cs="宋体"/>
                <w:spacing w:val="-3"/>
                <w:sz w:val="20"/>
                <w:szCs w:val="20"/>
                <w:lang w:val="en-US" w:eastAsia="zh-CN"/>
              </w:rPr>
              <w:t>1.</w:t>
            </w:r>
            <w:r>
              <w:rPr>
                <w:rFonts w:ascii="宋体" w:hAnsi="宋体" w:cs="宋体"/>
                <w:spacing w:val="-3"/>
                <w:sz w:val="20"/>
                <w:szCs w:val="20"/>
              </w:rPr>
              <w:t>申请人无正当理由</w:t>
            </w:r>
            <w:r>
              <w:rPr>
                <w:rFonts w:ascii="宋体" w:hAnsi="宋体" w:cs="宋体"/>
                <w:sz w:val="20"/>
                <w:szCs w:val="20"/>
              </w:rPr>
              <w:t xml:space="preserve"> 逾期不补正、行政机关</w:t>
            </w:r>
            <w:r>
              <w:rPr>
                <w:rFonts w:ascii="宋体" w:hAnsi="宋体" w:cs="宋体"/>
                <w:spacing w:val="3"/>
                <w:sz w:val="20"/>
                <w:szCs w:val="20"/>
              </w:rPr>
              <w:t xml:space="preserve"> </w:t>
            </w:r>
            <w:r>
              <w:rPr>
                <w:rFonts w:ascii="宋体" w:hAnsi="宋体" w:cs="宋体"/>
                <w:spacing w:val="1"/>
                <w:sz w:val="20"/>
                <w:szCs w:val="20"/>
              </w:rPr>
              <w:t xml:space="preserve">不再处理其政府信息公 </w:t>
            </w:r>
            <w:r>
              <w:rPr>
                <w:rFonts w:ascii="宋体" w:hAnsi="宋体" w:cs="宋体"/>
                <w:spacing w:val="-2"/>
                <w:sz w:val="20"/>
                <w:szCs w:val="20"/>
              </w:rPr>
              <w:t>开申请</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1044"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nil"/>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60" w:line="227" w:lineRule="auto"/>
              <w:ind w:left="44" w:right="41"/>
              <w:jc w:val="both"/>
              <w:rPr>
                <w:rFonts w:ascii="宋体" w:hAnsi="宋体" w:cs="宋体"/>
                <w:sz w:val="20"/>
                <w:szCs w:val="20"/>
              </w:rPr>
            </w:pPr>
            <w:r>
              <w:rPr>
                <w:rFonts w:ascii="宋体" w:hAnsi="宋体" w:cs="宋体"/>
                <w:sz w:val="20"/>
                <w:szCs w:val="20"/>
              </w:rPr>
              <w:t>2.申请人逾期未按收</w:t>
            </w:r>
            <w:r>
              <w:rPr>
                <w:rFonts w:ascii="宋体" w:hAnsi="宋体" w:cs="宋体"/>
                <w:spacing w:val="1"/>
                <w:sz w:val="20"/>
                <w:szCs w:val="20"/>
              </w:rPr>
              <w:t xml:space="preserve">    </w:t>
            </w:r>
            <w:r>
              <w:rPr>
                <w:rFonts w:ascii="宋体" w:hAnsi="宋体" w:cs="宋体"/>
                <w:spacing w:val="9"/>
                <w:sz w:val="20"/>
                <w:szCs w:val="20"/>
              </w:rPr>
              <w:t xml:space="preserve">费通知要求缴纳费用、 </w:t>
            </w:r>
            <w:r>
              <w:rPr>
                <w:rFonts w:ascii="宋体" w:hAnsi="宋体" w:cs="宋体"/>
                <w:spacing w:val="-2"/>
                <w:sz w:val="20"/>
                <w:szCs w:val="20"/>
              </w:rPr>
              <w:t>行政机关不再处理其政</w:t>
            </w:r>
            <w:r>
              <w:rPr>
                <w:rFonts w:ascii="宋体" w:hAnsi="宋体" w:cs="宋体"/>
                <w:spacing w:val="4"/>
                <w:sz w:val="20"/>
                <w:szCs w:val="20"/>
              </w:rPr>
              <w:t xml:space="preserve">  </w:t>
            </w:r>
            <w:r>
              <w:rPr>
                <w:rFonts w:ascii="宋体" w:hAnsi="宋体" w:cs="宋体"/>
                <w:spacing w:val="-1"/>
                <w:sz w:val="20"/>
                <w:szCs w:val="20"/>
              </w:rPr>
              <w:t>府信息公开申请</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25" w:hRule="atLeast"/>
          <w:jc w:val="center"/>
        </w:trPr>
        <w:tc>
          <w:tcPr>
            <w:tcW w:w="1048" w:type="dxa"/>
            <w:vMerge w:val="continue"/>
            <w:tcBorders>
              <w:top w:val="nil"/>
              <w:bottom w:val="nil"/>
            </w:tcBorders>
            <w:noWrap w:val="0"/>
            <w:vAlign w:val="center"/>
          </w:tcPr>
          <w:p>
            <w:pPr>
              <w:jc w:val="center"/>
              <w:rPr>
                <w:rFonts w:ascii="宋体" w:hAnsi="宋体"/>
              </w:rPr>
            </w:pPr>
          </w:p>
        </w:tc>
        <w:tc>
          <w:tcPr>
            <w:tcW w:w="938" w:type="dxa"/>
            <w:vMerge w:val="continue"/>
            <w:tcBorders>
              <w:top w:val="nil"/>
              <w:bottom w:val="single" w:color="000000" w:sz="2" w:space="0"/>
            </w:tcBorders>
            <w:noWrap w:val="0"/>
            <w:vAlign w:val="center"/>
          </w:tcPr>
          <w:p>
            <w:pPr>
              <w:jc w:val="center"/>
              <w:rPr>
                <w:rFonts w:ascii="宋体" w:hAnsi="宋体"/>
              </w:rPr>
            </w:pPr>
          </w:p>
        </w:tc>
        <w:tc>
          <w:tcPr>
            <w:tcW w:w="2205" w:type="dxa"/>
            <w:tcBorders>
              <w:top w:val="single" w:color="000000" w:sz="2" w:space="0"/>
              <w:bottom w:val="single" w:color="000000" w:sz="2" w:space="0"/>
            </w:tcBorders>
            <w:noWrap w:val="0"/>
            <w:vAlign w:val="center"/>
          </w:tcPr>
          <w:p>
            <w:pPr>
              <w:spacing w:before="109" w:line="220" w:lineRule="auto"/>
              <w:ind w:firstLine="44"/>
              <w:jc w:val="both"/>
              <w:rPr>
                <w:rFonts w:ascii="宋体" w:hAnsi="宋体" w:cs="宋体"/>
                <w:sz w:val="20"/>
                <w:szCs w:val="20"/>
              </w:rPr>
            </w:pPr>
            <w:r>
              <w:rPr>
                <w:rFonts w:ascii="宋体" w:hAnsi="宋体" w:cs="宋体"/>
                <w:spacing w:val="1"/>
                <w:sz w:val="20"/>
                <w:szCs w:val="20"/>
              </w:rPr>
              <w:t>3.其他</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04" w:hRule="atLeast"/>
          <w:jc w:val="center"/>
        </w:trPr>
        <w:tc>
          <w:tcPr>
            <w:tcW w:w="1048" w:type="dxa"/>
            <w:vMerge w:val="continue"/>
            <w:tcBorders>
              <w:top w:val="nil"/>
              <w:bottom w:val="single" w:color="000000" w:sz="2" w:space="0"/>
            </w:tcBorders>
            <w:noWrap w:val="0"/>
            <w:vAlign w:val="center"/>
          </w:tcPr>
          <w:p>
            <w:pPr>
              <w:jc w:val="center"/>
              <w:rPr>
                <w:rFonts w:ascii="宋体" w:hAnsi="宋体"/>
              </w:rPr>
            </w:pPr>
          </w:p>
        </w:tc>
        <w:tc>
          <w:tcPr>
            <w:tcW w:w="3143" w:type="dxa"/>
            <w:gridSpan w:val="2"/>
            <w:tcBorders>
              <w:top w:val="single" w:color="000000" w:sz="2" w:space="0"/>
              <w:bottom w:val="single" w:color="000000" w:sz="2" w:space="0"/>
            </w:tcBorders>
            <w:noWrap w:val="0"/>
            <w:vAlign w:val="center"/>
          </w:tcPr>
          <w:p>
            <w:pPr>
              <w:spacing w:before="99" w:line="241" w:lineRule="auto"/>
              <w:jc w:val="both"/>
              <w:rPr>
                <w:rFonts w:ascii="宋体" w:hAnsi="宋体" w:cs="宋体"/>
                <w:sz w:val="18"/>
                <w:szCs w:val="18"/>
              </w:rPr>
            </w:pPr>
            <w:r>
              <w:rPr>
                <w:rFonts w:ascii="宋体" w:hAnsi="宋体" w:cs="宋体"/>
                <w:spacing w:val="19"/>
                <w:w w:val="103"/>
                <w:sz w:val="18"/>
                <w:szCs w:val="18"/>
              </w:rPr>
              <w:t>（七）总计</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15" w:hRule="atLeast"/>
          <w:jc w:val="center"/>
        </w:trPr>
        <w:tc>
          <w:tcPr>
            <w:tcW w:w="4191" w:type="dxa"/>
            <w:gridSpan w:val="3"/>
            <w:tcBorders>
              <w:top w:val="single" w:color="000000" w:sz="2" w:space="0"/>
              <w:bottom w:val="single" w:color="000000" w:sz="2" w:space="0"/>
            </w:tcBorders>
            <w:noWrap w:val="0"/>
            <w:vAlign w:val="center"/>
          </w:tcPr>
          <w:p>
            <w:pPr>
              <w:spacing w:before="50" w:line="219" w:lineRule="auto"/>
              <w:jc w:val="both"/>
              <w:rPr>
                <w:rFonts w:ascii="宋体" w:hAnsi="宋体" w:cs="宋体"/>
                <w:sz w:val="20"/>
                <w:szCs w:val="20"/>
              </w:rPr>
            </w:pPr>
            <w:r>
              <w:rPr>
                <w:rFonts w:ascii="宋体" w:hAnsi="宋体" w:cs="宋体"/>
                <w:sz w:val="20"/>
                <w:szCs w:val="20"/>
              </w:rPr>
              <w:t>四、结转下年度继续办理</w:t>
            </w:r>
          </w:p>
        </w:tc>
        <w:tc>
          <w:tcPr>
            <w:tcW w:w="8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pPr>
              <w:jc w:val="center"/>
              <w:rPr>
                <w:rFonts w:ascii="宋体" w:hAnsi="宋体"/>
              </w:rPr>
            </w:pPr>
            <w:r>
              <w:rPr>
                <w:rFonts w:hint="eastAsia" w:ascii="宋体" w:hAnsi="宋体"/>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sz w:val="32"/>
          <w:szCs w:val="32"/>
        </w:rPr>
      </w:pPr>
      <w:r>
        <w:rPr>
          <w:rFonts w:hint="eastAsia" w:ascii="宋体" w:hAnsi="宋体" w:eastAsia="黑体" w:cs="黑体"/>
          <w:sz w:val="32"/>
          <w:szCs w:val="32"/>
          <w:lang w:eastAsia="zh-CN"/>
        </w:rPr>
        <w:t>四、</w:t>
      </w:r>
      <w:r>
        <w:rPr>
          <w:rFonts w:hint="eastAsia" w:ascii="宋体" w:hAnsi="宋体" w:eastAsia="黑体" w:cs="黑体"/>
          <w:sz w:val="32"/>
          <w:szCs w:val="32"/>
        </w:rPr>
        <w:t>政府信息公开行政复议、行政诉讼情况</w:t>
      </w:r>
    </w:p>
    <w:tbl>
      <w:tblPr>
        <w:tblStyle w:val="6"/>
        <w:tblW w:w="8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555"/>
        <w:gridCol w:w="555"/>
        <w:gridCol w:w="555"/>
        <w:gridCol w:w="555"/>
        <w:gridCol w:w="555"/>
        <w:gridCol w:w="555"/>
        <w:gridCol w:w="555"/>
        <w:gridCol w:w="555"/>
        <w:gridCol w:w="555"/>
        <w:gridCol w:w="555"/>
        <w:gridCol w:w="555"/>
        <w:gridCol w:w="555"/>
        <w:gridCol w:w="555"/>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行政复议</w:t>
            </w:r>
          </w:p>
        </w:tc>
        <w:tc>
          <w:tcPr>
            <w:tcW w:w="55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结果维持</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结果纠正</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其他结果</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尚未审结</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未经复议直接起诉</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结果维持</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结果纠正</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其他结果</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尚未审结</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结果维持</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结果纠正</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其他结果</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尚未审结</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lang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宋体" w:hAnsi="宋体" w:eastAsia="仿宋_GB2312" w:cs="宋体"/>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（一）工作中存在的问题。</w:t>
      </w:r>
      <w:r>
        <w:rPr>
          <w:rFonts w:hint="eastAsia" w:ascii="宋体" w:hAnsi="宋体" w:eastAsia="仿宋_GB2312" w:cs="宋体"/>
          <w:b/>
          <w:bCs/>
          <w:kern w:val="2"/>
          <w:sz w:val="32"/>
          <w:szCs w:val="32"/>
          <w:lang w:val="en-US" w:eastAsia="zh-CN" w:bidi="ar-SA"/>
        </w:rPr>
        <w:t>一是</w:t>
      </w:r>
      <w:r>
        <w:rPr>
          <w:rFonts w:hint="eastAsia" w:ascii="宋体" w:hAnsi="宋体" w:eastAsia="仿宋_GB2312" w:cs="宋体"/>
          <w:b w:val="0"/>
          <w:bCs w:val="0"/>
          <w:kern w:val="2"/>
          <w:sz w:val="32"/>
          <w:szCs w:val="32"/>
          <w:lang w:val="en-US" w:eastAsia="zh-CN" w:bidi="ar-SA"/>
        </w:rPr>
        <w:t>政策解读形式不够丰富多样，多以文字为主，缺少视频、图片解读，限制了政务公开的传播范围和便捷性</w:t>
      </w:r>
      <w:r>
        <w:rPr>
          <w:rFonts w:hint="eastAsia" w:ascii="宋体" w:hAnsi="宋体" w:eastAsia="仿宋_GB2312" w:cs="宋体"/>
          <w:kern w:val="2"/>
          <w:sz w:val="32"/>
          <w:szCs w:val="32"/>
          <w:lang w:val="en-US" w:eastAsia="zh-CN" w:bidi="ar-SA"/>
        </w:rPr>
        <w:t>；</w:t>
      </w:r>
      <w:r>
        <w:rPr>
          <w:rFonts w:hint="eastAsia" w:ascii="宋体" w:hAnsi="宋体" w:eastAsia="仿宋_GB2312" w:cs="宋体"/>
          <w:b/>
          <w:bCs/>
          <w:kern w:val="2"/>
          <w:sz w:val="32"/>
          <w:szCs w:val="32"/>
          <w:lang w:val="en-US" w:eastAsia="zh-CN" w:bidi="ar-SA"/>
        </w:rPr>
        <w:t>二是</w:t>
      </w:r>
      <w:r>
        <w:rPr>
          <w:rFonts w:hint="eastAsia" w:ascii="宋体" w:hAnsi="宋体" w:eastAsia="仿宋_GB2312" w:cs="宋体"/>
          <w:b w:val="0"/>
          <w:bCs w:val="0"/>
          <w:kern w:val="2"/>
          <w:sz w:val="32"/>
          <w:szCs w:val="32"/>
          <w:lang w:val="en-US" w:eastAsia="zh-CN" w:bidi="ar-SA"/>
        </w:rPr>
        <w:t>信息公开互动性不足，公众在获取政务信息后缺乏有效的反馈渠道，政务公开效果有待加强</w:t>
      </w:r>
      <w:r>
        <w:rPr>
          <w:rFonts w:hint="eastAsia" w:ascii="宋体" w:hAnsi="宋体" w:eastAsia="仿宋_GB2312" w:cs="宋体"/>
          <w:kern w:val="2"/>
          <w:sz w:val="32"/>
          <w:szCs w:val="32"/>
          <w:lang w:val="en-US" w:eastAsia="zh-CN" w:bidi="ar-SA"/>
        </w:rPr>
        <w:t>；</w:t>
      </w:r>
      <w:r>
        <w:rPr>
          <w:rFonts w:hint="eastAsia" w:ascii="宋体" w:hAnsi="宋体" w:eastAsia="仿宋_GB2312" w:cs="宋体"/>
          <w:b/>
          <w:bCs/>
          <w:kern w:val="2"/>
          <w:sz w:val="32"/>
          <w:szCs w:val="32"/>
          <w:lang w:val="en-US" w:eastAsia="zh-CN" w:bidi="ar-SA"/>
        </w:rPr>
        <w:t>三是</w:t>
      </w:r>
      <w:r>
        <w:rPr>
          <w:rFonts w:hint="eastAsia" w:ascii="宋体" w:hAnsi="宋体" w:eastAsia="仿宋_GB2312" w:cs="宋体"/>
          <w:kern w:val="2"/>
          <w:sz w:val="32"/>
          <w:szCs w:val="32"/>
          <w:lang w:val="en-US" w:eastAsia="zh-CN" w:bidi="ar-SA"/>
        </w:rPr>
        <w:t>政务公开持续性不强，部分退役军人领域信息公开后缺乏定期更新和维护，导致信息过时，影响公众查阅。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宋体" w:hAnsi="宋体" w:eastAsia="仿宋_GB2312" w:cs="宋体"/>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（二）改进措施。</w:t>
      </w:r>
      <w:r>
        <w:rPr>
          <w:rFonts w:hint="eastAsia" w:ascii="宋体" w:hAnsi="宋体" w:eastAsia="仿宋_GB2312" w:cs="宋体"/>
          <w:b/>
          <w:bCs/>
          <w:kern w:val="2"/>
          <w:sz w:val="32"/>
          <w:szCs w:val="32"/>
          <w:lang w:val="en-US" w:eastAsia="zh-CN" w:bidi="ar-SA"/>
        </w:rPr>
        <w:t>一是</w:t>
      </w:r>
      <w:r>
        <w:rPr>
          <w:rFonts w:hint="eastAsia" w:ascii="宋体" w:hAnsi="宋体" w:eastAsia="仿宋_GB2312" w:cs="宋体"/>
          <w:kern w:val="2"/>
          <w:sz w:val="32"/>
          <w:szCs w:val="32"/>
          <w:lang w:val="en-US" w:eastAsia="zh-CN" w:bidi="ar-SA"/>
        </w:rPr>
        <w:t>持续完善信息公开机制，强化业务人员对政府信息公开工作重要性认识，学习先进经验，改进工作作风，优化政策解读形式，用好用活政府信息公开平台</w:t>
      </w:r>
      <w:r>
        <w:rPr>
          <w:rFonts w:hint="eastAsia" w:ascii="宋体" w:hAnsi="宋体" w:eastAsia="仿宋_GB2312" w:cs="宋体"/>
          <w:b w:val="0"/>
          <w:bCs w:val="0"/>
          <w:kern w:val="2"/>
          <w:sz w:val="32"/>
          <w:szCs w:val="32"/>
          <w:lang w:val="en-US" w:eastAsia="zh-CN" w:bidi="ar-SA"/>
        </w:rPr>
        <w:t>。</w:t>
      </w:r>
      <w:r>
        <w:rPr>
          <w:rFonts w:hint="eastAsia" w:ascii="宋体" w:hAnsi="宋体" w:eastAsia="仿宋_GB2312" w:cs="宋体"/>
          <w:b/>
          <w:bCs/>
          <w:kern w:val="2"/>
          <w:sz w:val="32"/>
          <w:szCs w:val="32"/>
          <w:lang w:val="en-US" w:eastAsia="zh-CN" w:bidi="ar-SA"/>
        </w:rPr>
        <w:t>二是</w:t>
      </w:r>
      <w:r>
        <w:rPr>
          <w:rFonts w:hint="eastAsia" w:ascii="宋体" w:hAnsi="宋体" w:eastAsia="仿宋_GB2312" w:cs="宋体"/>
          <w:b w:val="0"/>
          <w:bCs w:val="0"/>
          <w:kern w:val="2"/>
          <w:sz w:val="32"/>
          <w:szCs w:val="32"/>
          <w:lang w:val="en-US" w:eastAsia="zh-CN" w:bidi="ar-SA"/>
        </w:rPr>
        <w:t>强化政务公开反馈机制，通过多渠道宣传局机关热线电话、邮箱等，便于公众就我局政府信息公开提出建议和意见，提升信息公开内容质量。</w:t>
      </w:r>
      <w:r>
        <w:rPr>
          <w:rFonts w:hint="eastAsia" w:ascii="宋体" w:hAnsi="宋体" w:eastAsia="仿宋_GB2312" w:cs="宋体"/>
          <w:b/>
          <w:bCs/>
          <w:kern w:val="2"/>
          <w:sz w:val="32"/>
          <w:szCs w:val="32"/>
          <w:lang w:val="en-US" w:eastAsia="zh-CN" w:bidi="ar-SA"/>
        </w:rPr>
        <w:t>三是</w:t>
      </w:r>
      <w:r>
        <w:rPr>
          <w:rFonts w:hint="eastAsia" w:ascii="宋体" w:hAnsi="宋体" w:eastAsia="仿宋_GB2312" w:cs="宋体"/>
          <w:b w:val="0"/>
          <w:bCs w:val="0"/>
          <w:kern w:val="2"/>
          <w:sz w:val="32"/>
          <w:szCs w:val="32"/>
          <w:lang w:val="en-US" w:eastAsia="zh-CN" w:bidi="ar-SA"/>
        </w:rPr>
        <w:t>持续开展政府信息公开“回头看”工作，对已公开的信息定期进行维护更新，删除过时、错误信息，确保信息时效性和准确性。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left"/>
        <w:textAlignment w:val="auto"/>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kern w:val="0"/>
          <w:sz w:val="32"/>
          <w:szCs w:val="32"/>
          <w:shd w:val="clear" w:fill="FFFFFF"/>
          <w:lang w:val="en-US" w:eastAsia="zh-CN" w:bidi="ar"/>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按照《国务院办公厅关于印发〈政府信息公开信息处理费管理办法〉的通知》（国办函〔2020〕109号）规定的按件、按量收费标准，本年度没有产生信息公开处理费。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本年度报告的电子版可以从上犹县人民政府网站（http://www.shangyou.gov.cn/syxxxgk/xtyjrswj/xxgk_bmtt.shtml）下载。如对本报告有任何疑问，请与上犹县退役军人事务局联系（地址：赣州市上犹县犹</w:t>
      </w:r>
      <w:bookmarkStart w:id="1" w:name="_GoBack"/>
      <w:bookmarkEnd w:id="1"/>
      <w:r>
        <w:rPr>
          <w:rFonts w:hint="eastAsia" w:ascii="宋体" w:hAnsi="宋体" w:eastAsia="仿宋_GB2312" w:cs="宋体"/>
          <w:kern w:val="2"/>
          <w:sz w:val="32"/>
          <w:szCs w:val="32"/>
          <w:lang w:val="en-US" w:eastAsia="zh-CN" w:bidi="ar-SA"/>
        </w:rPr>
        <w:t>江大道林业大楼，电话：0797-8500086）。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3360" w:firstLineChars="1050"/>
        <w:jc w:val="center"/>
        <w:textAlignment w:val="auto"/>
        <w:rPr>
          <w:rFonts w:hint="eastAsia"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上犹县退役军人事务局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3360" w:firstLineChars="1050"/>
        <w:jc w:val="center"/>
        <w:textAlignment w:val="auto"/>
        <w:rPr>
          <w:rFonts w:hint="default"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2025年1月7日</w:t>
      </w:r>
      <w:bookmarkEnd w:id="0"/>
    </w:p>
    <w:sectPr>
      <w:headerReference r:id="rId3" w:type="default"/>
      <w:footerReference r:id="rId4" w:type="default"/>
      <w:pgSz w:w="11906" w:h="16838"/>
      <w:pgMar w:top="2098" w:right="1587" w:bottom="2098" w:left="1587"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9" w:lineRule="exact"/>
      <w:ind w:right="360" w:firstLine="447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OTE2MDYzNzMzM2E3OTA5OTc1NWQ4MWNkYmQwZGEifQ=="/>
  </w:docVars>
  <w:rsids>
    <w:rsidRoot w:val="697435CD"/>
    <w:rsid w:val="010B22B0"/>
    <w:rsid w:val="02F36E13"/>
    <w:rsid w:val="0D7D4A1F"/>
    <w:rsid w:val="15C56A7A"/>
    <w:rsid w:val="20BB660F"/>
    <w:rsid w:val="20C53DD2"/>
    <w:rsid w:val="226F2247"/>
    <w:rsid w:val="26741F6E"/>
    <w:rsid w:val="28F039B6"/>
    <w:rsid w:val="3337290D"/>
    <w:rsid w:val="33BC5113"/>
    <w:rsid w:val="35D75C2E"/>
    <w:rsid w:val="37A546DC"/>
    <w:rsid w:val="3CCB2319"/>
    <w:rsid w:val="412B7C8B"/>
    <w:rsid w:val="43637E44"/>
    <w:rsid w:val="4F110002"/>
    <w:rsid w:val="507A1C34"/>
    <w:rsid w:val="51EC090F"/>
    <w:rsid w:val="529C40E3"/>
    <w:rsid w:val="5463310B"/>
    <w:rsid w:val="547D1CF3"/>
    <w:rsid w:val="589248D9"/>
    <w:rsid w:val="58A6339B"/>
    <w:rsid w:val="5BF44AEC"/>
    <w:rsid w:val="68CF2980"/>
    <w:rsid w:val="690A5DF3"/>
    <w:rsid w:val="69436D71"/>
    <w:rsid w:val="697435CD"/>
    <w:rsid w:val="6B323D78"/>
    <w:rsid w:val="70180DF5"/>
    <w:rsid w:val="707F56AE"/>
    <w:rsid w:val="72CA2C54"/>
    <w:rsid w:val="733F0900"/>
    <w:rsid w:val="74A0629E"/>
    <w:rsid w:val="74F86BF0"/>
    <w:rsid w:val="7F36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rPr>
      <w:rFonts w:ascii="Calibri" w:hAnsi="Calibri" w:eastAsia="宋体" w:cs="Times New Roman"/>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2135</Words>
  <Characters>2252</Characters>
  <Lines>0</Lines>
  <Paragraphs>0</Paragraphs>
  <TotalTime>73</TotalTime>
  <ScaleCrop>false</ScaleCrop>
  <LinksUpToDate>false</LinksUpToDate>
  <CharactersWithSpaces>2281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2023-01-10T08:26:00Z</dcterms:created>
  <dc:creator>果昀</dc:creator>
  <cp:lastModifiedBy>陆焰之瞳</cp:lastModifiedBy>
  <cp:lastPrinted>2023-01-11T11:25:00Z</cp:lastPrinted>
  <dcterms:modified xsi:type="dcterms:W3CDTF">2025-01-14T08:25:47Z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7D5FF4901408408D8E1C56AAD8F274D4</vt:lpwstr>
  </property>
</Properties>
</file>