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二、主动公开政府信息情况</w:t>
      </w:r>
    </w:p>
    <w:tbl>
      <w:tblPr>
        <w:tblStyle w:val="3"/>
        <w:tblW w:w="90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本年新制作数量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本年新公开数量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采购总金额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rFonts w:ascii="宋体" w:hAnsi="宋体"/>
          <w:sz w:val="2"/>
          <w:szCs w:val="2"/>
        </w:rPr>
      </w:pPr>
      <w:r>
        <w:rPr>
          <w:rFonts w:ascii="宋体" w:hAnsi="宋体"/>
        </w:rPr>
        <w:br w:type="page"/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4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三、收到和处理政府信息公开申请情况</w:t>
      </w:r>
    </w:p>
    <w:tbl>
      <w:tblPr>
        <w:tblStyle w:val="3"/>
        <w:tblW w:w="895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企业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法律服 务机构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本年 度办 理结 果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 不予 公开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其他法律行政法规禁止公开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危及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安全一稳定”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 无法 提供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补正后申请内容仍不明确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 不予 处理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（六）其他处理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ascii="宋体" w:hAnsi="宋体"/>
          <w:color w:val="000000"/>
          <w:spacing w:val="0"/>
          <w:w w:val="100"/>
          <w:position w:val="0"/>
        </w:rPr>
      </w:pPr>
      <w:bookmarkStart w:id="0" w:name="bookmark37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0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、政府信息公开行政复议、行政诉讼情况</w:t>
      </w:r>
    </w:p>
    <w:tbl>
      <w:tblPr>
        <w:tblStyle w:val="3"/>
        <w:tblW w:w="895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670A6"/>
    <w:rsid w:val="65D67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2020-01-19T06:50:00Z</dcterms:created>
  <dc:creator>峰之恒</dc:creator>
  <cp:lastModifiedBy>峰之恒</cp:lastModifiedBy>
  <dcterms:modified xsi:type="dcterms:W3CDTF">2020-01-19T06:50:36Z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