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上犹县消防救援大队信息公开工作年度报告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根据《中华人民共和国政府信息公开条例》和《省政务公开办公室关于转发国办公开办函〔2021〕30号文件做好年度报告编制发布工作的通知》以及省政务公开办《关于政府信息公开年报编制的工作提示》等文件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，我大队安排专人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编制本年报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年报由总体情况、主动公开政府信息情况、收到和处理政府信息公开申请情况、政府信息公开行政复议行政诉讼情况、存在的主要问题及改进情况等部分组成。年报中所列数据的统计期限自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年，在县委、县政府的领导下，我大队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高度重视政府信息公开工作，为确保信息公开工作的顺利实施，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安排专人负责，坚持服务群众的工作理念，强化大队组织领导，严格落实责任追究，不断夯实工作基础，提高服务质量及水平，通过对大队的信息进行规范化梳理，我大队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宣传报道了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工作，切实增强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工作的透明度，有力地推进了信息工作的开展。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（一）主动公开政府信息情况</w:t>
      </w:r>
    </w:p>
    <w:p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年，我大队通过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条，其中政务动态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条，公告公示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条，执法依据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3条，机构职能1条，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财政预决算1条，工作动态1条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，年度报告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主动公开的信息主要通过网上政府信息公开专栏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年，我大队没有收到政府信息公开申请。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（三）政府信息管理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围绕事项清单，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一是强化动态更新，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对于涉及群众公共利益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的信息及依法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必须公开的内容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做到及时公示并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公示的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信息及时、准确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废止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的文件做到定期清理、及时删除；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三是对发布的信息实行生命周期管理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建立健全政府信息公开属性的源头认定机制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对已发布的信息做好定期评估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四是强化政府公开信息的保密审查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泄密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对于发布的信息由保密工作人员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及分管领导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审核无误后由政务公开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专员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（四）平台建设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坚持县委、县政府的领导，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围绕重点工作科学设置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信息公开栏目；在新媒体建设工作上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紧紧围绕中心、服务大局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积极构建宣传阵地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弘扬主旋律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传播正能量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新形象。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（五）监督保障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我大队政务公开专员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对《中华人民共和国政府信息公开条例》的学习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上犹县消防救援大队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信息公示的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质量。严格执行网站维护管理办法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网站栏目内容更新时限、信息发布、安全维护与管理、监督考核等具体要求。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本年废止件数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tbl>
      <w:tblPr>
        <w:tblStyle w:val="4"/>
        <w:tblW w:w="90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95"/>
        <w:gridCol w:w="2613"/>
        <w:gridCol w:w="687"/>
        <w:gridCol w:w="675"/>
        <w:gridCol w:w="645"/>
        <w:gridCol w:w="765"/>
        <w:gridCol w:w="795"/>
        <w:gridCol w:w="675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63" w:type="dxa"/>
            <w:gridSpan w:val="3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3" w:type="dxa"/>
            <w:gridSpan w:val="3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自然人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法人或其他组织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263" w:type="dxa"/>
            <w:gridSpan w:val="3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商业企业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科研机构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社会公益组织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法律服务机构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57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（一）予以公开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（三）不予公开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1.属于国家秘密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2.其他法律行政法规禁止公开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3.危及“三安全一稳定”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4.保护第三方合法权益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5.属于三类内部事务信息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6.属于四类过程性信息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7.属于行政执法案卷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8.属于行政查询事项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（四）无法提供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本机关不掌握相关政府信息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2.没有现成信息需要另行制作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3.补正后申请内容仍不明确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（五）不予处理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1.信访举报投诉类申请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2.重复申请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3.要求提供公开出版物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无正当理由大量反复申请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5.要求行政机关确认或重新出具已获取信息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（六）其他处理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申请人无正当理由逾期不补正、行政机关不再处理其政府信息公开申请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3.其他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（七）总计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39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行政复议</w:t>
            </w:r>
          </w:p>
        </w:tc>
        <w:tc>
          <w:tcPr>
            <w:tcW w:w="5683" w:type="dxa"/>
            <w:gridSpan w:val="1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上犹县消防救援大队的信息公开工作取得了一定的进步，信息公开数量较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2021年相比增加了84条，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但仍然存在不足之处：一是主动公开的内容有一定的滞后性，公示仍然存在不够及时的情况；二是信息公示以后群众知晓率不高，未能形成良好的社会效应；三是信息公开内容较为单一，还需要进一步丰富。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进措施：针对存在的问题和不足，我大队将持续认真落实信息公开工作要求，加强信息公示专员的业务培训与学习，切实提升政府公开工作人员的业务水平和信息公开水平，丰富公示内容，创新公示载体，进一步完善上犹县消防救援大队信息公开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本年度报告的电子版可以从上犹县人民政府网站（www.shangyou.gov.cn）下载。如对本报告有任何疑问，请与上犹县消防救援大队联系（地址：赣州市上犹县东山镇赣丰线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8521596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2023年1月20日</w: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WYxMzM3YzJiZDBjN2Y3OGFhMTNmODg1ODg4NGEifQ=="/>
  </w:docVars>
  <w:rsids>
    <w:rsidRoot w:val="5EFF08A3"/>
    <w:rsid w:val="582E4BF9"/>
    <w:rsid w:val="5E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2130</Words>
  <Characters>2184</Characters>
  <Lines>0</Lines>
  <Paragraphs>0</Paragraphs>
  <TotalTime>4</TotalTime>
  <ScaleCrop>false</ScaleCrop>
  <LinksUpToDate>false</LinksUpToDate>
  <CharactersWithSpaces>2184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2023-01-13T02:49:00Z</dcterms:created>
  <dc:creator>Gloria丶</dc:creator>
  <cp:lastModifiedBy>Gloria丶</cp:lastModifiedBy>
  <dcterms:modified xsi:type="dcterms:W3CDTF">2023-02-20T07:03:32Z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C9DC6998A3444C84AC31F5CF3CE978D8</vt:lpwstr>
  </property>
</Properties>
</file>