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上犹县消防救援大队信息公开工作年度报告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根据《中华人民共和国政府信息公开条例》和《省政务公开办公室关于转发国办公开办函〔2021〕30号文件做好年度报告编制发布工作的通知》以及省政务公开办《关于政府信息公开年报编制的工作提示》等文件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，我大队安排专人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编制本年报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年报由总体情况、主动公开政府信息情况、收到和处理政府信息公开申请情况、政府信息公开行政复议行政诉讼情况、存在的主要问题及改进情况等部分组成。年报中所列数据的统计期限自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年，在县委、县政府的领导下，我大队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高度重视政府信息公开工作，为确保信息公开工作的顺利实施，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安排专人负责，坚持服务群众的工作理念，强化大队组织领导，严格落实责任追究，不断夯实工作基础，提高服务质量及水平，通过对大队的信息进行规范化梳理，我大队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宣传报道了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工作，切实增强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工作的透明度，有力地推进了信息工作的开展。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（一）主动公开政府信息情况</w:t>
      </w:r>
    </w:p>
    <w:p>
      <w:pPr>
        <w:keepNext w:val="0"/>
        <w:keepLines w:val="0"/>
        <w:pageBreakBefore w:val="0"/>
        <w:widowControl/>
        <w:kinsoku w:val="0"/>
        <w:wordWrap w:val="0"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年，我大队通过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政府信息公开平台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累计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条，其中政务动态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条，公告公示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条，行政执法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条，执法依据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3条，机构职能1条，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财政预决算1条，工作动态1条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，目录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，年度报告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主动公开的信息主要通过网上政府信息公开专栏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年，我大队没有收到政府信息公开申请。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（三）政府信息管理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围绕事项清单，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一是强化动态更新，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对于涉及群众公共利益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的信息及依法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必须公开的内容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做到及时公示并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公示的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信息及时、准确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调整规范性文件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</w:rPr>
        <w:t>废止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的文件做到定期清理、及时删除；</w:t>
      </w:r>
      <w:r>
        <w:rPr>
          <w:rFonts w:hint="eastAsia" w:ascii="仿宋_GB2312" w:hAnsi="仿宋_GB2312" w:eastAsia="仿宋_GB2312" w:cs="仿宋_GB2312"/>
          <w:sz w:val="32"/>
          <w:szCs w:val="32"/>
        </w:rPr>
        <w:t>三是对发布的信息实行生命周期管理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建立健全政府信息公开属性的源头认定机制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对已发布的信息做好定期评估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及时调整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四是强化政府公开信息的保密审查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泄密</w:t>
      </w:r>
      <w:r>
        <w:rPr>
          <w:rFonts w:hint="eastAsia" w:ascii="仿宋_GB2312" w:hAnsi="仿宋_GB2312" w:eastAsia="仿宋_GB2312" w:cs="仿宋_GB2312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对于发布的信息由保密工作人员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及分管领导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审核无误后由政务公开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专员</w:t>
      </w:r>
      <w:r>
        <w:rPr>
          <w:rFonts w:hint="eastAsia" w:ascii="仿宋_GB2312" w:hAnsi="仿宋_GB2312" w:eastAsia="仿宋_GB2312" w:cs="仿宋_GB2312"/>
          <w:sz w:val="32"/>
          <w:szCs w:val="32"/>
        </w:rPr>
        <w:t>予以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（四）平台建设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坚持县委、县政府的领导，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围绕重点工作科学设置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信息公开栏目；在新媒体建设工作上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紧紧围绕中心、服务大局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积极构建宣传阵地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弘扬主旋律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传播正能量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树立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消防大队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新形象。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3" w:firstLineChars="200"/>
        <w:textAlignment w:val="baseline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（五）监督保障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加强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我大队政务公开专员</w:t>
      </w:r>
      <w:r>
        <w:rPr>
          <w:rFonts w:hint="eastAsia" w:ascii="仿宋_GB2312" w:hAnsi="仿宋_GB2312" w:eastAsia="仿宋_GB2312" w:cs="仿宋_GB2312"/>
          <w:sz w:val="32"/>
          <w:szCs w:val="32"/>
        </w:rPr>
        <w:t>对《中华人民共和国政府信息公开条例》的学习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上犹县消防救援大队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信息公示的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质量。严格执行网站维护管理办法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网站栏目内容更新时限、信息发布、安全维护与管理、监督考核等具体要求。</w:t>
      </w:r>
    </w:p>
    <w:p>
      <w:pPr>
        <w:rPr>
          <w:rFonts w:hint="eastAsia" w:ascii="宋体" w:hAnsi="宋体" w:eastAsia="宋体" w:cs="宋体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二、主动公开政府信息情况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本年制发件数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本年废止件数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规章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行政规范性文件</w:t>
            </w:r>
          </w:p>
        </w:tc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行政许可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行政处罚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行政强制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4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行政事业性收费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三、收到和处理政府信息公开申请情况</w:t>
      </w:r>
    </w:p>
    <w:tbl>
      <w:tblPr>
        <w:tblStyle w:val="4"/>
        <w:tblW w:w="907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795"/>
        <w:gridCol w:w="2613"/>
        <w:gridCol w:w="687"/>
        <w:gridCol w:w="675"/>
        <w:gridCol w:w="645"/>
        <w:gridCol w:w="765"/>
        <w:gridCol w:w="795"/>
        <w:gridCol w:w="675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263" w:type="dxa"/>
            <w:gridSpan w:val="3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2" w:type="dxa"/>
            <w:gridSpan w:val="7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63" w:type="dxa"/>
            <w:gridSpan w:val="3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  <w:tc>
          <w:tcPr>
            <w:tcW w:w="68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自然人</w:t>
            </w:r>
          </w:p>
        </w:tc>
        <w:tc>
          <w:tcPr>
            <w:tcW w:w="3555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法人或其他组织</w:t>
            </w:r>
          </w:p>
        </w:tc>
        <w:tc>
          <w:tcPr>
            <w:tcW w:w="570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4263" w:type="dxa"/>
            <w:gridSpan w:val="3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  <w:tc>
          <w:tcPr>
            <w:tcW w:w="68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商业企业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科研机构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社会公益组织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法律服务机构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其他</w:t>
            </w:r>
          </w:p>
        </w:tc>
        <w:tc>
          <w:tcPr>
            <w:tcW w:w="570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4263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一、本年新收政府信息公开申请数量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263" w:type="dxa"/>
            <w:gridSpan w:val="3"/>
            <w:vAlign w:val="center"/>
          </w:tcPr>
          <w:p>
            <w:pPr>
              <w:widowControl w:val="0"/>
              <w:jc w:val="left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二、上年结转政府信息公开申请数量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三、本年度办理结果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（一）予以公开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（二）部分公开（区分处理的，只计这一情形，不计其他情形）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（三）不予公开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1.属于国家秘密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2.其他法律行政法规禁止公开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3.危及“三安全一稳定”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4.保护第三方合法权益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5.属于三类内部事务信息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6.属于四类过程性信息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7.属于行政执法案卷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8.属于行政查询事项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（四）无法提供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本机关不掌握相关政府信息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2.没有现成信息需要另行制作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3.补正后申请内容仍不明确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（五）不予处理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1.信访举报投诉类申请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2.重复申请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3.要求提供公开出版物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无正当理由大量反复申请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5.要求行政机关确认或重新出具已获取信息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（六）其他处理</w:t>
            </w: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申请人无正当理由逾期不补正、行政机关不再处理其政府信息公开申请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79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6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3.其他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855" w:type="dxa"/>
            <w:vMerge w:val="continue"/>
          </w:tcPr>
          <w:p>
            <w:pPr>
              <w:widowControl w:val="0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3408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（七）总计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4263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vertAlign w:val="baseline"/>
                <w:lang w:eastAsia="zh-CN"/>
              </w:rPr>
              <w:t>四、结转下年度继续办理</w:t>
            </w:r>
          </w:p>
        </w:tc>
        <w:tc>
          <w:tcPr>
            <w:tcW w:w="68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4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四、政府信息公开行政复议、行政诉讼情况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839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行政复议</w:t>
            </w:r>
          </w:p>
        </w:tc>
        <w:tc>
          <w:tcPr>
            <w:tcW w:w="5683" w:type="dxa"/>
            <w:gridSpan w:val="1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尚未审结</w:t>
            </w:r>
          </w:p>
        </w:tc>
        <w:tc>
          <w:tcPr>
            <w:tcW w:w="568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3" w:type="dxa"/>
            <w:gridSpan w:val="5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567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尚未审结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尚未审结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56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上犹县消防救援大队的信息公开工作取得了一定的进步，信息公开数量较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2021年相比增加了84条，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但仍然存在不足之处：一是主动公开的内容有一定的滞后性，公示仍然存在不够及时的情况；二是信息公示以后群众知晓率不高，未能形成良好的社会效应；三是信息公开内容较为单一，还需要进一步丰富。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改进措施：针对存在的问题和不足，我大队将持续认真落实信息公开工作要求，加强信息公示专员的业务培训与学习，切实提升政府公开工作人员的业务水平和信息公开水平，丰富公示内容，创新公示载体，进一步完善上犹县消防救援大队信息公开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按照《国务院办公厅关于印发〈政府信息公开信息处理费管理办法〉的通知》（国办函〔2020〕109号）规定的按件、按量收费标准，未产生信息公开处理费。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本年度报告的电子版可以从上犹县人民政府网站（www.shangyou.gov.cn）下载。如对本报告有任何疑问，请与上犹县消防救援大队联系（地址：赣州市上犹县东山镇赣丰线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119号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0797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8521596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40" w:rightChars="400" w:firstLine="640" w:firstLineChars="200"/>
        <w:jc w:val="righ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840" w:rightChars="400" w:firstLine="640" w:firstLineChars="200"/>
        <w:jc w:val="righ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2023年1月20日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MWYxMzM3YzJiZDBjN2Y3OGFhMTNmODg1ODg4NGEifQ=="/>
  </w:docVars>
  <w:rsids>
    <w:rsidRoot w:val="5EFF08A3"/>
    <w:rsid w:val="0D8233E0"/>
    <w:rsid w:val="582E4BF9"/>
    <w:rsid w:val="5E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2224</Words>
  <Characters>2313</Characters>
  <Lines>0</Lines>
  <Paragraphs>0</Paragraphs>
  <TotalTime>4</TotalTime>
  <ScaleCrop>false</ScaleCrop>
  <LinksUpToDate>false</LinksUpToDate>
  <CharactersWithSpaces>2313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2023-01-13T02:49:00Z</dcterms:created>
  <dc:creator>Gloria丶</dc:creator>
  <cp:lastModifiedBy>Gloria丶</cp:lastModifiedBy>
  <dcterms:modified xsi:type="dcterms:W3CDTF">2023-02-20T07:50:59Z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C9DC6998A3444C84AC31F5CF3CE978D8</vt:lpwstr>
  </property>
</Properties>
</file>