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kinsoku w:val="0"/>
        <w:autoSpaceDE w:val="0"/>
        <w:autoSpaceDN w:val="0"/>
        <w:adjustRightInd w:val="0"/>
        <w:snapToGrid w:val="0"/>
        <w:spacing w:before="0" w:beforeAutospacing="1" w:after="0" w:afterAutospacing="1" w:line="600" w:lineRule="exact"/>
        <w:ind w:left="0" w:right="0"/>
        <w:jc w:val="center"/>
        <w:textAlignment w:val="baseline"/>
        <w:rPr>
          <w:rFonts w:ascii="方正小标宋简体" w:hAnsi="方正小标宋简体" w:eastAsia="方正小标宋简体" w:cs="方正小标宋简体"/>
          <w:color w:val="000000"/>
          <w:kern w:val="0"/>
          <w:sz w:val="44"/>
          <w:szCs w:val="44"/>
          <w:vertAlign w:val="baseline"/>
          <w:lang w:val="en-US" w:eastAsia="zh-CN" w:bidi="ar"/>
        </w:rPr>
      </w:pPr>
      <w:r>
        <w:rPr>
          <w:rFonts w:ascii="方正小标宋简体" w:hAnsi="方正小标宋简体" w:eastAsia="方正小标宋简体" w:cs="方正小标宋简体"/>
          <w:color w:val="000000"/>
          <w:kern w:val="0"/>
          <w:sz w:val="44"/>
          <w:szCs w:val="44"/>
          <w:vertAlign w:val="baseline"/>
          <w:lang w:val="en-US" w:eastAsia="zh-CN" w:bidi="ar"/>
        </w:rPr>
        <w:t>上犹县消防救援大队</w:t>
      </w:r>
      <w:r>
        <w:rPr>
          <w:rFonts w:hint="eastAsia" w:ascii="方正小标宋简体" w:hAnsi="方正小标宋简体" w:eastAsia="方正小标宋简体" w:cs="方正小标宋简体"/>
          <w:color w:val="000000"/>
          <w:kern w:val="0"/>
          <w:sz w:val="44"/>
          <w:szCs w:val="44"/>
          <w:vertAlign w:val="baseline"/>
          <w:lang w:val="en-US" w:eastAsia="zh-CN" w:bidi="ar"/>
        </w:rPr>
        <w:t>2023</w:t>
      </w:r>
      <w:r>
        <w:rPr>
          <w:rFonts w:ascii="方正小标宋简体" w:hAnsi="方正小标宋简体" w:eastAsia="方正小标宋简体" w:cs="方正小标宋简体"/>
          <w:color w:val="000000"/>
          <w:kern w:val="0"/>
          <w:sz w:val="44"/>
          <w:szCs w:val="44"/>
          <w:vertAlign w:val="baseline"/>
          <w:lang w:val="en-US" w:eastAsia="zh-CN" w:bidi="ar"/>
        </w:rPr>
        <w:t>年度</w:t>
      </w:r>
      <w:r>
        <w:rPr>
          <w:rFonts w:ascii="方正小标宋简体" w:hAnsi="方正小标宋简体" w:eastAsia="方正小标宋简体" w:cs="方正小标宋简体"/>
          <w:color w:val="000000"/>
          <w:kern w:val="0"/>
          <w:sz w:val="44"/>
          <w:szCs w:val="44"/>
          <w:vertAlign w:val="baseline"/>
          <w:lang w:val="en-US" w:eastAsia="zh-CN" w:bidi="ar"/>
        </w:rPr>
        <w:t>信息公开</w:t>
      </w:r>
    </w:p>
    <w:p>
      <w:pPr>
        <w:keepNext w:val="0"/>
        <w:keepLines w:val="0"/>
        <w:widowControl/>
        <w:suppressLineNumbers w:val="0"/>
        <w:kinsoku w:val="0"/>
        <w:autoSpaceDE w:val="0"/>
        <w:autoSpaceDN w:val="0"/>
        <w:adjustRightInd w:val="0"/>
        <w:snapToGrid w:val="0"/>
        <w:spacing w:before="0" w:beforeAutospacing="1" w:after="0" w:afterAutospacing="1" w:line="600" w:lineRule="exact"/>
        <w:ind w:left="0" w:right="0"/>
        <w:jc w:val="center"/>
        <w:textAlignment w:val="baseline"/>
      </w:pPr>
      <w:r>
        <w:rPr>
          <w:rFonts w:ascii="方正小标宋简体" w:hAnsi="方正小标宋简体" w:eastAsia="方正小标宋简体" w:cs="方正小标宋简体"/>
          <w:color w:val="000000"/>
          <w:kern w:val="0"/>
          <w:sz w:val="44"/>
          <w:szCs w:val="44"/>
          <w:vertAlign w:val="baseline"/>
          <w:lang w:val="en-US" w:eastAsia="zh-CN" w:bidi="ar"/>
        </w:rPr>
        <w:t>工作报告</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560" w:firstLineChars="200"/>
        <w:jc w:val="left"/>
        <w:textAlignment w:val="baseline"/>
      </w:pPr>
      <w:r>
        <w:rPr>
          <w:rFonts w:ascii="仿宋_GB2312" w:eastAsia="仿宋_GB2312" w:cs="仿宋_GB2312" w:hAnsiTheme="minorHAnsi"/>
          <w:color w:val="000000"/>
          <w:kern w:val="0"/>
          <w:sz w:val="28"/>
          <w:szCs w:val="28"/>
          <w:vertAlign w:val="baseline"/>
          <w:lang w:val="en-US" w:eastAsia="zh-CN" w:bidi="ar"/>
        </w:rPr>
        <w:t> </w:t>
      </w:r>
      <w:bookmarkStart w:id="0" w:name="_GoBack"/>
      <w:bookmarkEnd w:id="0"/>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根据《中华人民共和国政府信息公开条例》和《省政务公开办公室关于转发国办公开办函〔2021〕30号文件做好年度报告编制发布工作的通知》以及省政务公开办《关于政府信息公开年报编制的工作提示》等文件的要求，我大队安排专人编制本年报。年报由总体情况、主动公开政府信息情况、收到和处理政府信息公开申请情况、政府信息公开行政复议行政诉讼情况、存在的主要问题及改进情况等部分组成。年报中所列数据的统计期限自2023年1月1日起至2023年12月31日止。</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ascii="黑体" w:hAnsi="宋体" w:eastAsia="黑体" w:cs="黑体"/>
          <w:color w:val="000000"/>
          <w:kern w:val="0"/>
          <w:sz w:val="32"/>
          <w:szCs w:val="32"/>
          <w:vertAlign w:val="baseline"/>
          <w:lang w:val="en-US" w:eastAsia="zh-CN" w:bidi="ar"/>
        </w:rPr>
        <w:t>一、总体情况</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2023年，在县委、县政府的领导下，我大队高度重视政府信息公开工作，为确保信息公开工作的顺利实施，安排专人负责，坚持服务群众的工作理念，强化大队组织领导，严格落实责任追究，不断夯实工作基础，提高服务质量及水平，通过对大队的信息进行规范化梳理，我大队及时地宣传报道了日常消防工作，切实增强消防工作的透明度，有力地推进了信息工作的开展。</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3" w:firstLineChars="200"/>
        <w:jc w:val="left"/>
        <w:textAlignment w:val="baseline"/>
      </w:pPr>
      <w:r>
        <w:rPr>
          <w:rFonts w:ascii="楷体_GB2312" w:eastAsia="楷体_GB2312" w:cs="楷体_GB2312" w:hAnsiTheme="minorHAnsi"/>
          <w:b/>
          <w:bCs/>
          <w:color w:val="000000"/>
          <w:kern w:val="0"/>
          <w:sz w:val="32"/>
          <w:szCs w:val="32"/>
          <w:vertAlign w:val="baseline"/>
          <w:lang w:val="en-US" w:eastAsia="zh-CN" w:bidi="ar"/>
        </w:rPr>
        <w:t>（一）主动公开政府信息情况</w:t>
      </w:r>
    </w:p>
    <w:p>
      <w:pPr>
        <w:keepNext w:val="0"/>
        <w:keepLines w:val="0"/>
        <w:widowControl/>
        <w:suppressLineNumbers w:val="0"/>
        <w:kinsoku w:val="0"/>
        <w:wordWrap w:val="0"/>
        <w:overflowPunct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kern w:val="0"/>
          <w:sz w:val="32"/>
          <w:szCs w:val="32"/>
          <w:vertAlign w:val="baseline"/>
          <w:lang w:val="en-US" w:eastAsia="zh-CN" w:bidi="ar"/>
        </w:rPr>
        <w:t>2023年，我大队通过政府信息公开平台累计公示241条，其中政务动态160条，公告公示2条，行政执法74条，执法依据2条，工作动态2条，年度报告1条。主动公开的信息主要通过网上政府信息公开专栏公示。</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3" w:firstLineChars="200"/>
        <w:jc w:val="left"/>
        <w:textAlignment w:val="baseline"/>
      </w:pPr>
      <w:r>
        <w:rPr>
          <w:rFonts w:hint="eastAsia" w:ascii="楷体_GB2312" w:eastAsia="楷体_GB2312" w:cs="楷体_GB2312" w:hAnsiTheme="minorHAnsi"/>
          <w:b/>
          <w:bCs/>
          <w:color w:val="000000"/>
          <w:kern w:val="0"/>
          <w:sz w:val="32"/>
          <w:szCs w:val="32"/>
          <w:vertAlign w:val="baseline"/>
          <w:lang w:val="en-US" w:eastAsia="zh-CN" w:bidi="ar"/>
        </w:rPr>
        <w:t>（二）依申请公开情况</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2023年，我大队没有收到政府信息公开申请。</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3" w:firstLineChars="200"/>
        <w:jc w:val="left"/>
        <w:textAlignment w:val="baseline"/>
      </w:pPr>
      <w:r>
        <w:rPr>
          <w:rFonts w:hint="eastAsia" w:ascii="楷体_GB2312" w:eastAsia="楷体_GB2312" w:cs="楷体_GB2312" w:hAnsiTheme="minorHAnsi"/>
          <w:b/>
          <w:bCs/>
          <w:color w:val="000000"/>
          <w:kern w:val="0"/>
          <w:sz w:val="32"/>
          <w:szCs w:val="32"/>
          <w:vertAlign w:val="baseline"/>
          <w:lang w:val="en-US" w:eastAsia="zh-CN" w:bidi="ar"/>
        </w:rPr>
        <w:t>（三）政府信息管理</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围绕事项清单，一是强化动态更新，对于涉及群众公共利益的信息及依法必须公开的内容做到及时公示并确保公示的信息及时、准确；二是及时调整规范性文件，对于已废止的文件做到定期清理、及时删除；三是对发布的信息实行生命周期管理，建立健全政府信息公开属性的源头认定机制，对已发布的信息做好定期评估，及时调整；四是强化政府公开信息的保密审查，杜绝泄密问题，对于发布的信息由保密工作人员及分管领导审核无误后由政务公开专员予以公示。</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3" w:firstLineChars="200"/>
        <w:jc w:val="left"/>
        <w:textAlignment w:val="baseline"/>
      </w:pPr>
      <w:r>
        <w:rPr>
          <w:rFonts w:hint="eastAsia" w:ascii="楷体_GB2312" w:eastAsia="楷体_GB2312" w:cs="楷体_GB2312" w:hAnsiTheme="minorHAnsi"/>
          <w:b/>
          <w:bCs/>
          <w:color w:val="000000"/>
          <w:kern w:val="0"/>
          <w:sz w:val="32"/>
          <w:szCs w:val="32"/>
          <w:vertAlign w:val="baseline"/>
          <w:lang w:val="en-US" w:eastAsia="zh-CN" w:bidi="ar"/>
        </w:rPr>
        <w:t>（四）平台建设</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坚持县委、县政府的领导，围绕重点工作科学设置我大队信息公开栏目；在新媒体建设工作上，紧紧围绕中心、服务大局，积极构建宣传阵地，弘扬主旋律，传播正能量，树立消防大队新形象。</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3" w:firstLineChars="200"/>
        <w:jc w:val="left"/>
        <w:textAlignment w:val="baseline"/>
      </w:pPr>
      <w:r>
        <w:rPr>
          <w:rFonts w:hint="eastAsia" w:ascii="楷体_GB2312" w:eastAsia="楷体_GB2312" w:cs="楷体_GB2312" w:hAnsiTheme="minorHAnsi"/>
          <w:b/>
          <w:bCs/>
          <w:color w:val="000000"/>
          <w:kern w:val="0"/>
          <w:sz w:val="32"/>
          <w:szCs w:val="32"/>
          <w:vertAlign w:val="baseline"/>
          <w:lang w:val="en-US" w:eastAsia="zh-CN" w:bidi="ar"/>
        </w:rPr>
        <w:t>（五）监督保障</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加强我大队政务公开专员对《中华人民共和国政府信息公开条例》的学习，进一步规范上犹县消防救援大队政府信息公开工作，提高信息公示的质量。严格执行网站维护管理办法，规范落实网站栏目内容更新时限、信息发布、安全维护与管理、监督考核等具体要求。</w:t>
      </w:r>
    </w:p>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kern w:val="0"/>
          <w:sz w:val="21"/>
          <w:szCs w:val="21"/>
          <w:lang w:val="en-US" w:eastAsia="zh-CN" w:bidi="ar"/>
        </w:rPr>
        <w:t> </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黑体" w:hAnsi="宋体" w:eastAsia="黑体" w:cs="黑体"/>
          <w:color w:val="000000"/>
          <w:kern w:val="0"/>
          <w:sz w:val="32"/>
          <w:szCs w:val="32"/>
          <w:vertAlign w:val="baseline"/>
          <w:lang w:val="en-US" w:eastAsia="zh-CN" w:bidi="ar"/>
        </w:rPr>
        <w:t>二、主动公开政府信息情况</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8522"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信息内容</w:t>
            </w:r>
          </w:p>
        </w:tc>
        <w:tc>
          <w:tcPr>
            <w:tcW w:w="213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本年制发件数</w:t>
            </w:r>
          </w:p>
        </w:tc>
        <w:tc>
          <w:tcPr>
            <w:tcW w:w="213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本年废止件数</w:t>
            </w:r>
          </w:p>
        </w:tc>
        <w:tc>
          <w:tcPr>
            <w:tcW w:w="213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规章</w:t>
            </w:r>
          </w:p>
        </w:tc>
        <w:tc>
          <w:tcPr>
            <w:tcW w:w="213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c>
          <w:tcPr>
            <w:tcW w:w="213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c>
          <w:tcPr>
            <w:tcW w:w="213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行政规范性文件</w:t>
            </w:r>
          </w:p>
        </w:tc>
        <w:tc>
          <w:tcPr>
            <w:tcW w:w="213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c>
          <w:tcPr>
            <w:tcW w:w="213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c>
          <w:tcPr>
            <w:tcW w:w="213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信息内容</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行政许可</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信息内容</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行政处罚</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行政强制</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信息内容</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行政事业性收费</w:t>
            </w:r>
          </w:p>
        </w:tc>
        <w:tc>
          <w:tcPr>
            <w:tcW w:w="6392"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4"/>
                <w:szCs w:val="24"/>
                <w:bdr w:val="none" w:color="auto" w:sz="0" w:space="0"/>
                <w:lang w:val="en-US" w:eastAsia="zh-CN" w:bidi="ar"/>
              </w:rPr>
              <w:t>0</w:t>
            </w:r>
          </w:p>
        </w:tc>
      </w:tr>
    </w:tbl>
    <w:p>
      <w:pPr>
        <w:keepNext w:val="0"/>
        <w:keepLines w:val="0"/>
        <w:widowControl/>
        <w:suppressLineNumbers w:val="0"/>
        <w:spacing w:before="0" w:beforeAutospacing="1" w:after="0" w:afterAutospacing="1"/>
        <w:ind w:left="0" w:right="0"/>
        <w:jc w:val="left"/>
      </w:pPr>
      <w:r>
        <w:rPr>
          <w:rFonts w:ascii="Arial" w:hAnsi="Arial" w:cs="Arial" w:eastAsiaTheme="minorEastAsia"/>
          <w:color w:val="000000"/>
          <w:kern w:val="0"/>
          <w:sz w:val="21"/>
          <w:szCs w:val="21"/>
          <w:lang w:val="en-US" w:eastAsia="zh-CN" w:bidi="ar"/>
        </w:rPr>
        <w:t> </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黑体" w:hAnsi="宋体" w:eastAsia="黑体" w:cs="黑体"/>
          <w:color w:val="000000"/>
          <w:kern w:val="0"/>
          <w:sz w:val="32"/>
          <w:szCs w:val="32"/>
          <w:vertAlign w:val="baseline"/>
          <w:lang w:val="en-US" w:eastAsia="zh-CN" w:bidi="ar"/>
        </w:rPr>
        <w:t>三、收到和处理政府信息公开申请情况</w:t>
      </w:r>
    </w:p>
    <w:tbl>
      <w:tblPr>
        <w:tblW w:w="907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55"/>
        <w:gridCol w:w="795"/>
        <w:gridCol w:w="2613"/>
        <w:gridCol w:w="687"/>
        <w:gridCol w:w="675"/>
        <w:gridCol w:w="645"/>
        <w:gridCol w:w="765"/>
        <w:gridCol w:w="795"/>
        <w:gridCol w:w="67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3" w:hRule="atLeast"/>
        </w:trPr>
        <w:tc>
          <w:tcPr>
            <w:tcW w:w="4263" w:type="dxa"/>
            <w:gridSpan w:val="3"/>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（本列数据的勾稽关系为：第一项加第二项之和，等于第三项加第四项之和）</w:t>
            </w:r>
          </w:p>
        </w:tc>
        <w:tc>
          <w:tcPr>
            <w:tcW w:w="4812" w:type="dxa"/>
            <w:gridSpan w:val="7"/>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3" w:type="dxa"/>
            <w:gridSpan w:val="3"/>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687"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自然人</w:t>
            </w:r>
          </w:p>
        </w:tc>
        <w:tc>
          <w:tcPr>
            <w:tcW w:w="3555"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法人或其他组织</w:t>
            </w:r>
          </w:p>
        </w:tc>
        <w:tc>
          <w:tcPr>
            <w:tcW w:w="570"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263" w:type="dxa"/>
            <w:gridSpan w:val="3"/>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687"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商业企业</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科研机构</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社会公益组织</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法律服务机构</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其他</w:t>
            </w:r>
          </w:p>
        </w:tc>
        <w:tc>
          <w:tcPr>
            <w:tcW w:w="570"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3"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一、本年新收政府信息公开申请数量</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63"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二、上年结转政府信息公开申请数量</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5"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三、本年度办理结果</w:t>
            </w:r>
          </w:p>
        </w:tc>
        <w:tc>
          <w:tcPr>
            <w:tcW w:w="340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（一）予以公开</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340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（二）部分公开（区分处理的，只计这一情形，不计其他情形）</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（三）不予公开</w:t>
            </w: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1.属于国家秘密</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2.其他法律行政法规禁止公开</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3.危及“三安全一稳定”</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4.保护第三方合法权益</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5.属于三类内部事务信息</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6.属于四类过程性信息</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7.属于行政执法案卷</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left"/>
            </w:pPr>
            <w:r>
              <w:rPr>
                <w:rFonts w:hint="eastAsia" w:ascii="仿宋_GB2312" w:eastAsia="仿宋_GB2312" w:cs="仿宋_GB2312" w:hAnsiTheme="minorHAnsi"/>
                <w:color w:val="000000"/>
                <w:kern w:val="0"/>
                <w:sz w:val="18"/>
                <w:szCs w:val="18"/>
                <w:bdr w:val="none" w:color="auto" w:sz="0" w:space="0"/>
                <w:lang w:val="en-US" w:eastAsia="zh-CN" w:bidi="ar"/>
              </w:rPr>
              <w:t>8.属于行政查询事项</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（四）无法提供</w:t>
            </w: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1.本机关不掌握相关政府信息</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2.没有现成信息需要另行制作</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3.补正后申请内容仍不明确</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（五）不予处理</w:t>
            </w: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1.信访举报投诉类申请</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2.重复申请</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3.要求提供公开出版物</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4.无正当理由大量反复申请</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5.要求行政机关确认或重新出具已获取信息</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（六）其他处理</w:t>
            </w: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1.申请人无正当理由逾期不补正、行政机关不再处理其政府信息公开申请</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2.申请人逾期未按收费通知要求缴纳费用、行政机关不再处理其政府信息公开申请</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795"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261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1" w:after="0" w:afterAutospacing="1" w:line="240" w:lineRule="atLeast"/>
              <w:ind w:left="0" w:right="0"/>
              <w:jc w:val="both"/>
            </w:pPr>
            <w:r>
              <w:rPr>
                <w:rFonts w:hint="eastAsia" w:ascii="仿宋_GB2312" w:eastAsia="仿宋_GB2312" w:cs="仿宋_GB2312" w:hAnsiTheme="minorHAnsi"/>
                <w:color w:val="000000"/>
                <w:kern w:val="0"/>
                <w:sz w:val="18"/>
                <w:szCs w:val="18"/>
                <w:bdr w:val="none" w:color="auto" w:sz="0" w:space="0"/>
                <w:lang w:val="en-US" w:eastAsia="zh-CN" w:bidi="ar"/>
              </w:rPr>
              <w:t>3.其他</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5"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340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（七）总计</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263"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18"/>
                <w:szCs w:val="18"/>
                <w:bdr w:val="none" w:color="auto" w:sz="0" w:space="0"/>
                <w:lang w:val="en-US" w:eastAsia="zh-CN" w:bidi="ar"/>
              </w:rPr>
              <w:t>四、结转下年度继续办理</w:t>
            </w:r>
          </w:p>
        </w:tc>
        <w:tc>
          <w:tcPr>
            <w:tcW w:w="68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4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6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79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6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bl>
    <w:p>
      <w:pPr>
        <w:keepNext w:val="0"/>
        <w:keepLines w:val="0"/>
        <w:widowControl/>
        <w:suppressLineNumbers w:val="0"/>
        <w:spacing w:before="0" w:beforeAutospacing="1" w:after="0" w:afterAutospacing="1"/>
        <w:ind w:left="0" w:right="0"/>
        <w:jc w:val="left"/>
      </w:pPr>
      <w:r>
        <w:rPr>
          <w:rFonts w:hint="default" w:ascii="Arial" w:hAnsi="Arial" w:cs="Arial" w:eastAsiaTheme="minorEastAsia"/>
          <w:color w:val="000000"/>
          <w:kern w:val="0"/>
          <w:sz w:val="21"/>
          <w:szCs w:val="21"/>
          <w:lang w:val="en-US" w:eastAsia="zh-CN" w:bidi="ar"/>
        </w:rPr>
        <w:t> </w:t>
      </w:r>
    </w:p>
    <w:p>
      <w:pPr>
        <w:keepNext w:val="0"/>
        <w:keepLines w:val="0"/>
        <w:widowControl/>
        <w:suppressLineNumbers w:val="0"/>
        <w:spacing w:before="0" w:beforeAutospacing="1" w:after="0" w:afterAutospacing="1"/>
        <w:ind w:left="0" w:right="0"/>
        <w:jc w:val="left"/>
      </w:pPr>
      <w:r>
        <w:rPr>
          <w:rFonts w:hint="eastAsia" w:ascii="黑体" w:hAnsi="宋体" w:eastAsia="黑体" w:cs="黑体"/>
          <w:color w:val="000000"/>
          <w:kern w:val="0"/>
          <w:sz w:val="32"/>
          <w:szCs w:val="32"/>
          <w:lang w:val="en-US" w:eastAsia="zh-CN" w:bidi="ar"/>
        </w:rPr>
        <w:t>四、政府信息公开行政复议、行政诉讼情况</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567"/>
        <w:gridCol w:w="568"/>
        <w:gridCol w:w="568"/>
        <w:gridCol w:w="568"/>
        <w:gridCol w:w="568"/>
        <w:gridCol w:w="568"/>
        <w:gridCol w:w="568"/>
        <w:gridCol w:w="568"/>
        <w:gridCol w:w="568"/>
        <w:gridCol w:w="568"/>
        <w:gridCol w:w="568"/>
        <w:gridCol w:w="568"/>
        <w:gridCol w:w="568"/>
        <w:gridCol w:w="569"/>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2" w:hRule="atLeast"/>
        </w:trPr>
        <w:tc>
          <w:tcPr>
            <w:tcW w:w="2839"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行政复议</w:t>
            </w:r>
          </w:p>
        </w:tc>
        <w:tc>
          <w:tcPr>
            <w:tcW w:w="5683"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结果维持</w:t>
            </w:r>
          </w:p>
        </w:tc>
        <w:tc>
          <w:tcPr>
            <w:tcW w:w="568"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结果纠正</w:t>
            </w:r>
          </w:p>
        </w:tc>
        <w:tc>
          <w:tcPr>
            <w:tcW w:w="56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其他结果</w:t>
            </w:r>
          </w:p>
        </w:tc>
        <w:tc>
          <w:tcPr>
            <w:tcW w:w="56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尚未审结</w:t>
            </w:r>
          </w:p>
        </w:tc>
        <w:tc>
          <w:tcPr>
            <w:tcW w:w="56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总计</w:t>
            </w:r>
          </w:p>
        </w:tc>
        <w:tc>
          <w:tcPr>
            <w:tcW w:w="2840"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未经复议直接起诉</w:t>
            </w:r>
          </w:p>
        </w:tc>
        <w:tc>
          <w:tcPr>
            <w:tcW w:w="28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67"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568" w:type="dxa"/>
            <w:vMerge w:val="continue"/>
            <w:tcBorders>
              <w:top w:val="nil"/>
              <w:left w:val="nil"/>
              <w:bottom w:val="single" w:color="auto" w:sz="4" w:space="0"/>
              <w:right w:val="single" w:color="auto" w:sz="4" w:space="0"/>
            </w:tcBorders>
            <w:shd w:val="clear"/>
            <w:vAlign w:val="center"/>
          </w:tcPr>
          <w:p>
            <w:pPr>
              <w:rPr>
                <w:rFonts w:hint="eastAsia" w:ascii="宋体"/>
                <w:sz w:val="24"/>
                <w:szCs w:val="24"/>
              </w:rPr>
            </w:pPr>
          </w:p>
        </w:tc>
        <w:tc>
          <w:tcPr>
            <w:tcW w:w="56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c>
          <w:tcPr>
            <w:tcW w:w="56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c>
          <w:tcPr>
            <w:tcW w:w="56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结果维持</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结果纠正</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其他结果</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尚未审结</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总计</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结果维持</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结果纠正</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其他结果</w:t>
            </w:r>
          </w:p>
        </w:tc>
        <w:tc>
          <w:tcPr>
            <w:tcW w:w="56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尚未审结</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6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c>
          <w:tcPr>
            <w:tcW w:w="5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1" w:after="0" w:afterAutospacing="1"/>
              <w:ind w:left="0" w:right="0"/>
              <w:jc w:val="center"/>
            </w:pPr>
            <w:r>
              <w:rPr>
                <w:rFonts w:hint="eastAsia" w:ascii="仿宋_GB2312" w:eastAsia="仿宋_GB2312" w:cs="仿宋_GB2312" w:hAnsiTheme="minorHAnsi"/>
                <w:color w:val="000000"/>
                <w:kern w:val="0"/>
                <w:sz w:val="21"/>
                <w:szCs w:val="21"/>
                <w:bdr w:val="none" w:color="auto" w:sz="0" w:space="0"/>
                <w:lang w:val="en-US" w:eastAsia="zh-CN" w:bidi="ar"/>
              </w:rPr>
              <w:t>0</w:t>
            </w:r>
          </w:p>
        </w:tc>
      </w:tr>
    </w:tbl>
    <w:p>
      <w:pPr>
        <w:keepNext w:val="0"/>
        <w:keepLines w:val="0"/>
        <w:widowControl/>
        <w:suppressLineNumbers w:val="0"/>
        <w:spacing w:before="0" w:beforeAutospacing="1" w:after="0" w:afterAutospacing="1"/>
        <w:ind w:left="0" w:right="0"/>
        <w:jc w:val="left"/>
      </w:pPr>
      <w:r>
        <w:rPr>
          <w:rFonts w:hint="default" w:ascii="Arial" w:hAnsi="Arial" w:cs="Arial" w:eastAsiaTheme="minorEastAsia"/>
          <w:color w:val="000000"/>
          <w:kern w:val="0"/>
          <w:sz w:val="21"/>
          <w:szCs w:val="21"/>
          <w:lang w:val="en-US" w:eastAsia="zh-CN" w:bidi="ar"/>
        </w:rPr>
        <w:t> </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黑体" w:hAnsi="宋体" w:eastAsia="黑体" w:cs="黑体"/>
          <w:color w:val="000000"/>
          <w:kern w:val="0"/>
          <w:sz w:val="32"/>
          <w:szCs w:val="32"/>
          <w:vertAlign w:val="baseline"/>
          <w:lang w:val="en-US" w:eastAsia="zh-CN" w:bidi="ar"/>
        </w:rPr>
        <w:t>五、存在的主要问题及改进情况</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2023年，上犹县消防救援大队信息公开工作严格按照上级部署要求，切实提升信息公开工作质效。但工作中仍存在不足，比如：一是部分公示中存在表述不当的问题，不够及时的情况；二是信息公开的数量和形式还需要进一步提高、丰富、拓展、加强宣传、扩大应用。</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改进措施：针对存在的问题和不足，下一步大队将提升政府政务信息公开水平，进一步完善和拓展政务信息公开的内容及形式，积极探索政府信息公开方式、方法。</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黑体" w:hAnsi="宋体" w:eastAsia="黑体" w:cs="黑体"/>
          <w:color w:val="000000"/>
          <w:kern w:val="0"/>
          <w:sz w:val="32"/>
          <w:szCs w:val="32"/>
          <w:vertAlign w:val="baseline"/>
          <w:lang w:val="en-US" w:eastAsia="zh-CN" w:bidi="ar"/>
        </w:rPr>
        <w:t>六、其他需要报告的事项</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2023年上犹县消防救援大队办理依申请公开政府信息事项0件，按照《国务院办公厅关于印发〈政府信息公开信息处理费管理办法〉的通知》（国办函〔2020〕109号）规定的按件、按量收费标准，没有产生信息公开处理费。</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 </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0" w:firstLine="640" w:firstLineChars="200"/>
        <w:jc w:val="left"/>
        <w:textAlignment w:val="baseline"/>
      </w:pPr>
      <w:r>
        <w:rPr>
          <w:rFonts w:hint="eastAsia" w:ascii="仿宋_GB2312" w:eastAsia="仿宋_GB2312" w:cs="仿宋_GB2312" w:hAnsiTheme="minorHAnsi"/>
          <w:color w:val="000000"/>
          <w:kern w:val="0"/>
          <w:sz w:val="32"/>
          <w:szCs w:val="32"/>
          <w:vertAlign w:val="baseline"/>
          <w:lang w:val="en-US" w:eastAsia="zh-CN" w:bidi="ar"/>
        </w:rPr>
        <w:t>本年度报告的电子版可以从上犹县人民政府网站（www.shangyou.gov.cn）下载。如对本报告有任何疑问，请与上犹县消防救援大队联系（地址：赣州市上犹县东山镇赣丰线119号，电话：0797-8521596）。</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840" w:rightChars="400" w:firstLine="640" w:firstLineChars="200"/>
        <w:jc w:val="right"/>
        <w:textAlignment w:val="baseline"/>
      </w:pPr>
      <w:r>
        <w:rPr>
          <w:rFonts w:hint="eastAsia" w:ascii="仿宋_GB2312" w:eastAsia="仿宋_GB2312" w:cs="仿宋_GB2312" w:hAnsiTheme="minorHAnsi"/>
          <w:color w:val="000000"/>
          <w:kern w:val="0"/>
          <w:sz w:val="32"/>
          <w:szCs w:val="32"/>
          <w:vertAlign w:val="baseline"/>
          <w:lang w:val="en-US" w:eastAsia="zh-CN" w:bidi="ar"/>
        </w:rPr>
        <w:t> </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840" w:rightChars="400" w:firstLine="640" w:firstLineChars="200"/>
        <w:jc w:val="right"/>
        <w:textAlignment w:val="baseline"/>
      </w:pPr>
      <w:r>
        <w:rPr>
          <w:rFonts w:hint="eastAsia" w:ascii="仿宋_GB2312" w:eastAsia="仿宋_GB2312" w:cs="仿宋_GB2312" w:hAnsiTheme="minorHAnsi"/>
          <w:color w:val="000000"/>
          <w:kern w:val="0"/>
          <w:sz w:val="32"/>
          <w:szCs w:val="32"/>
          <w:vertAlign w:val="baseline"/>
          <w:lang w:val="en-US" w:eastAsia="zh-CN" w:bidi="ar"/>
        </w:rPr>
        <w:t> </w:t>
      </w:r>
    </w:p>
    <w:p>
      <w:pPr>
        <w:keepNext w:val="0"/>
        <w:keepLines w:val="0"/>
        <w:widowControl/>
        <w:suppressLineNumbers w:val="0"/>
        <w:kinsoku w:val="0"/>
        <w:autoSpaceDE w:val="0"/>
        <w:autoSpaceDN w:val="0"/>
        <w:adjustRightInd w:val="0"/>
        <w:snapToGrid w:val="0"/>
        <w:spacing w:before="0" w:beforeAutospacing="1" w:after="0" w:afterAutospacing="1" w:line="560" w:lineRule="exact"/>
        <w:ind w:left="0" w:right="840" w:rightChars="400" w:firstLine="640" w:firstLineChars="200"/>
        <w:jc w:val="right"/>
        <w:textAlignment w:val="baseline"/>
      </w:pPr>
      <w:r>
        <w:rPr>
          <w:rFonts w:hint="eastAsia" w:ascii="仿宋_GB2312" w:eastAsia="仿宋_GB2312" w:cs="仿宋_GB2312" w:hAnsiTheme="minorHAnsi"/>
          <w:color w:val="000000"/>
          <w:kern w:val="0"/>
          <w:sz w:val="32"/>
          <w:szCs w:val="32"/>
          <w:vertAlign w:val="baseline"/>
          <w:lang w:val="en-US" w:eastAsia="zh-CN" w:bidi="ar"/>
        </w:rPr>
        <w:t>2024年1月10日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ZjUyNWZiZjUxNDk4YmI1Nzk2N2QwNjUxMTI5YjUifQ=="/>
  </w:docVars>
  <w:rsids>
    <w:rsidRoot w:val="00000000"/>
    <w:rsid w:val="0324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2024-01-31T09:02:40Z</dcterms:created>
  <dc:creator>LENOVO</dc:creator>
  <cp:lastModifiedBy>陶定才</cp:lastModifiedBy>
  <dcterms:modified xsi:type="dcterms:W3CDTF">2024-01-31T09:03:08Z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F226DD3E91A74676A8AEC2532BCAB65C_12</vt:lpwstr>
  </property>
</Properties>
</file>