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10" w:rsidRDefault="00AA5910" w:rsidP="00AA5910">
      <w:pPr>
        <w:widowControl/>
        <w:spacing w:line="560" w:lineRule="exact"/>
        <w:jc w:val="center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2023</w:t>
      </w:r>
      <w:r w:rsidR="003D6E6C"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政府债券发行项目安排情况</w:t>
      </w:r>
    </w:p>
    <w:p w:rsidR="00AA5910" w:rsidRDefault="00AA5910" w:rsidP="00AA5910">
      <w:pPr>
        <w:pStyle w:val="a0"/>
        <w:rPr>
          <w:rFonts w:ascii="宋体" w:hAnsi="宋体" w:cs="仿宋_GB2312"/>
          <w:b/>
          <w:bCs/>
          <w:kern w:val="0"/>
          <w:szCs w:val="32"/>
        </w:rPr>
      </w:pPr>
      <w:r>
        <w:rPr>
          <w:rFonts w:ascii="宋体" w:hAnsi="宋体" w:cs="仿宋_GB2312" w:hint="eastAsia"/>
          <w:b/>
          <w:bCs/>
          <w:kern w:val="0"/>
          <w:szCs w:val="32"/>
        </w:rPr>
        <w:t>1.2023</w:t>
      </w:r>
      <w:r>
        <w:rPr>
          <w:rFonts w:ascii="宋体" w:hAnsi="宋体" w:cs="仿宋_GB2312" w:hint="eastAsia"/>
          <w:b/>
          <w:bCs/>
          <w:kern w:val="0"/>
          <w:szCs w:val="32"/>
        </w:rPr>
        <w:t>年新增一般债券</w:t>
      </w:r>
      <w:r>
        <w:rPr>
          <w:rFonts w:ascii="宋体" w:hAnsi="宋体" w:cs="仿宋_GB2312" w:hint="eastAsia"/>
          <w:b/>
          <w:bCs/>
          <w:kern w:val="0"/>
          <w:szCs w:val="32"/>
        </w:rPr>
        <w:t>1.3456</w:t>
      </w:r>
      <w:r>
        <w:rPr>
          <w:rFonts w:ascii="宋体" w:hAnsi="宋体" w:cs="仿宋_GB2312" w:hint="eastAsia"/>
          <w:b/>
          <w:bCs/>
          <w:kern w:val="0"/>
          <w:szCs w:val="32"/>
        </w:rPr>
        <w:t>亿元</w:t>
      </w:r>
    </w:p>
    <w:p w:rsidR="00AA5910" w:rsidRDefault="00AA5910" w:rsidP="00AA5910">
      <w:pPr>
        <w:widowControl/>
        <w:spacing w:line="560" w:lineRule="exact"/>
        <w:ind w:firstLineChars="200" w:firstLine="640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安排用于：圩镇路网等市政基础设施工程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800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万元，城区及周边道路改造等公共设施项目工程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800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万元，上犹县城西旅游产业带项目（迎宾大道维修改造工程）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1000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万元，上犹工业园南区扩区埠前区工程（上犹县黄沙片区综合治理与生态修复项目）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800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万元，工业园基础设施建设工程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1600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万元，遂大高速公路（上犹段）项目建设所涉及铁塔等搬迁工程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2981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万元，上犹县公路、桥梁建设及配套设施工程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2700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万元，大上崇旅游公路城西大道（上犹罗边至黄埠段）新建工程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200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S548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上犹窑下至树木园新建工程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500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万元，上犹县校建基础设施及配套工程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775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万元，水利设施建设工程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100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万元，上犹县卫生健康基础设施建设工程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400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万元，上犹县自来水、天然气、电力、电信、移动、联通、广电等杆线整治工程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800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万元。</w:t>
      </w:r>
    </w:p>
    <w:p w:rsidR="00AA5910" w:rsidRDefault="00AA5910" w:rsidP="00AA5910">
      <w:pPr>
        <w:pStyle w:val="a0"/>
        <w:rPr>
          <w:rFonts w:ascii="宋体" w:hAnsi="宋体" w:cs="仿宋_GB2312"/>
          <w:b/>
          <w:bCs/>
          <w:kern w:val="0"/>
          <w:szCs w:val="32"/>
        </w:rPr>
      </w:pPr>
      <w:r>
        <w:rPr>
          <w:rFonts w:ascii="宋体" w:hAnsi="宋体" w:cs="仿宋_GB2312" w:hint="eastAsia"/>
          <w:b/>
          <w:bCs/>
          <w:kern w:val="0"/>
          <w:szCs w:val="32"/>
        </w:rPr>
        <w:t>2.2023</w:t>
      </w:r>
      <w:bookmarkStart w:id="0" w:name="_GoBack"/>
      <w:bookmarkEnd w:id="0"/>
      <w:r>
        <w:rPr>
          <w:rFonts w:ascii="宋体" w:hAnsi="宋体" w:cs="仿宋_GB2312" w:hint="eastAsia"/>
          <w:b/>
          <w:bCs/>
          <w:kern w:val="0"/>
          <w:szCs w:val="32"/>
        </w:rPr>
        <w:t>年新增专项债券</w:t>
      </w:r>
      <w:r>
        <w:rPr>
          <w:rFonts w:ascii="宋体" w:hAnsi="宋体" w:cs="宋体" w:hint="eastAsia"/>
          <w:b/>
          <w:bCs/>
          <w:szCs w:val="32"/>
        </w:rPr>
        <w:t>9.0743</w:t>
      </w:r>
      <w:r>
        <w:rPr>
          <w:rFonts w:ascii="宋体" w:hAnsi="宋体" w:cs="仿宋_GB2312" w:hint="eastAsia"/>
          <w:b/>
          <w:bCs/>
          <w:kern w:val="0"/>
          <w:szCs w:val="32"/>
        </w:rPr>
        <w:t>亿元</w:t>
      </w:r>
    </w:p>
    <w:p w:rsidR="00AA5910" w:rsidRDefault="00AA5910" w:rsidP="00AA5910">
      <w:pPr>
        <w:widowControl/>
        <w:spacing w:line="560" w:lineRule="exact"/>
        <w:ind w:firstLineChars="200" w:firstLine="640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安排用于：学前教育提升项目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(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续发）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1000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2022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年高标准农田建设项目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4450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万元，妇保院整体迁建项目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(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续发）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5000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万元，茗馨广场地下停车场立体改造项目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7000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万元，第二人民医院建设项目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5000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万元，乡村振兴点农业基础设施建设项目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6300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2023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年城镇老旧小区改造项目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8700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万元，上犹中专扩建三期建设项目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3900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万元，数字经济创新创业园基础设施项目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9100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万元，新材料产业园区标准厂房及配套基础设施项目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12293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万元，饮用水水源及供水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lastRenderedPageBreak/>
        <w:t>保障工程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5000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万元，上犹县林业高质量发展工程项目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3000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万元，上犹县陡水零碳旅游基础设施建设项目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20000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万元。</w:t>
      </w:r>
    </w:p>
    <w:p w:rsidR="00AA5910" w:rsidRDefault="00AA5910" w:rsidP="00AA5910">
      <w:pPr>
        <w:widowControl/>
        <w:spacing w:line="560" w:lineRule="exact"/>
        <w:ind w:firstLineChars="200" w:firstLine="640"/>
        <w:rPr>
          <w:rFonts w:ascii="宋体" w:eastAsia="仿宋_GB2312" w:hAnsi="宋体" w:cs="仿宋_GB2312"/>
          <w:kern w:val="0"/>
          <w:sz w:val="32"/>
          <w:szCs w:val="32"/>
        </w:rPr>
      </w:pPr>
    </w:p>
    <w:p w:rsidR="00441404" w:rsidRPr="00AA5910" w:rsidRDefault="00441404"/>
    <w:sectPr w:rsidR="00441404" w:rsidRPr="00AA5910" w:rsidSect="00F35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D19" w:rsidRDefault="006C5D19" w:rsidP="003D6E6C">
      <w:r>
        <w:separator/>
      </w:r>
    </w:p>
  </w:endnote>
  <w:endnote w:type="continuationSeparator" w:id="1">
    <w:p w:rsidR="006C5D19" w:rsidRDefault="006C5D19" w:rsidP="003D6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D19" w:rsidRDefault="006C5D19" w:rsidP="003D6E6C">
      <w:r>
        <w:separator/>
      </w:r>
    </w:p>
  </w:footnote>
  <w:footnote w:type="continuationSeparator" w:id="1">
    <w:p w:rsidR="006C5D19" w:rsidRDefault="006C5D19" w:rsidP="003D6E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910"/>
    <w:rsid w:val="003D6E6C"/>
    <w:rsid w:val="00441404"/>
    <w:rsid w:val="006C5D19"/>
    <w:rsid w:val="00957E6C"/>
    <w:rsid w:val="00AA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A591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4"/>
    <w:next w:val="a4"/>
    <w:link w:val="Char"/>
    <w:uiPriority w:val="99"/>
    <w:unhideWhenUsed/>
    <w:qFormat/>
    <w:rsid w:val="00AA5910"/>
    <w:pPr>
      <w:ind w:leftChars="200" w:left="420" w:firstLineChars="0" w:firstLine="0"/>
    </w:pPr>
    <w:rPr>
      <w:rFonts w:ascii="Calibri" w:eastAsia="仿宋_GB2312" w:hAnsi="Calibri" w:cs="Times New Roman"/>
      <w:sz w:val="32"/>
      <w:szCs w:val="20"/>
    </w:rPr>
  </w:style>
  <w:style w:type="character" w:customStyle="1" w:styleId="Char">
    <w:name w:val="正文文本缩进 Char"/>
    <w:basedOn w:val="a1"/>
    <w:link w:val="a0"/>
    <w:uiPriority w:val="99"/>
    <w:rsid w:val="00AA5910"/>
    <w:rPr>
      <w:rFonts w:ascii="Calibri" w:eastAsia="仿宋_GB2312" w:hAnsi="Calibri" w:cs="Times New Roman"/>
      <w:sz w:val="32"/>
      <w:szCs w:val="20"/>
    </w:rPr>
  </w:style>
  <w:style w:type="paragraph" w:styleId="a4">
    <w:name w:val="Normal Indent"/>
    <w:basedOn w:val="a"/>
    <w:uiPriority w:val="99"/>
    <w:semiHidden/>
    <w:unhideWhenUsed/>
    <w:rsid w:val="00AA5910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3D6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rsid w:val="003D6E6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D6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rsid w:val="003D6E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new8</dc:creator>
  <cp:lastModifiedBy>new8</cp:lastModifiedBy>
  <cp:revision>2</cp:revision>
  <dcterms:created xsi:type="dcterms:W3CDTF">2023-09-12T00:38:00Z</dcterms:created>
  <dcterms:modified xsi:type="dcterms:W3CDTF">2023-09-12T00:51:00Z</dcterms:modified>
</cp:coreProperties>
</file>