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65" w:rsidRDefault="00817C90">
      <w:pPr>
        <w:spacing w:before="186" w:line="223" w:lineRule="auto"/>
        <w:ind w:left="1652"/>
        <w:outlineLvl w:val="0"/>
        <w:rPr>
          <w:rFonts w:ascii="SimSun" w:eastAsia="SimSun" w:hAnsi="SimSun" w:cs="SimSun"/>
          <w:sz w:val="39"/>
          <w:szCs w:val="39"/>
          <w:lang w:eastAsia="zh-CN"/>
        </w:rPr>
      </w:pPr>
      <w:r>
        <w:rPr>
          <w:rFonts w:ascii="SimSun" w:eastAsia="SimSun" w:hAnsi="SimSun" w:cs="SimSun"/>
          <w:b/>
          <w:bCs/>
          <w:spacing w:val="6"/>
          <w:sz w:val="39"/>
          <w:szCs w:val="39"/>
          <w:lang w:eastAsia="zh-CN"/>
        </w:rPr>
        <w:t>2023</w:t>
      </w:r>
      <w:r>
        <w:rPr>
          <w:rFonts w:ascii="SimSun" w:eastAsia="SimSun" w:hAnsi="SimSun" w:cs="SimSun"/>
          <w:b/>
          <w:bCs/>
          <w:spacing w:val="6"/>
          <w:sz w:val="39"/>
          <w:szCs w:val="39"/>
          <w:lang w:eastAsia="zh-CN"/>
        </w:rPr>
        <w:t>年上犹县政府性基金转移支付决算表（分项目）</w:t>
      </w:r>
    </w:p>
    <w:p w:rsidR="00D01D65" w:rsidRDefault="00817C90">
      <w:pPr>
        <w:spacing w:before="160" w:line="190" w:lineRule="auto"/>
        <w:ind w:right="32"/>
        <w:jc w:val="right"/>
        <w:rPr>
          <w:rFonts w:ascii="SimSun" w:eastAsia="SimSun" w:hAnsi="SimSun" w:cs="SimSun"/>
          <w:sz w:val="22"/>
          <w:szCs w:val="22"/>
        </w:rPr>
      </w:pPr>
      <w:r>
        <w:rPr>
          <w:rFonts w:ascii="SimSun" w:eastAsia="SimSun" w:hAnsi="SimSun" w:cs="SimSun"/>
          <w:spacing w:val="-1"/>
          <w:sz w:val="22"/>
          <w:szCs w:val="22"/>
        </w:rPr>
        <w:t>单位：万元</w:t>
      </w:r>
    </w:p>
    <w:tbl>
      <w:tblPr>
        <w:tblStyle w:val="TableNormal"/>
        <w:tblW w:w="1250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997"/>
        <w:gridCol w:w="1834"/>
        <w:gridCol w:w="1834"/>
        <w:gridCol w:w="1843"/>
      </w:tblGrid>
      <w:tr w:rsidR="00D01D65">
        <w:trPr>
          <w:trHeight w:val="536"/>
        </w:trPr>
        <w:tc>
          <w:tcPr>
            <w:tcW w:w="6997" w:type="dxa"/>
          </w:tcPr>
          <w:p w:rsidR="00D01D65" w:rsidRDefault="00817C90">
            <w:pPr>
              <w:spacing w:before="171" w:line="219" w:lineRule="auto"/>
              <w:ind w:left="3073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2"/>
                <w:szCs w:val="22"/>
              </w:rPr>
              <w:t>收入项目</w:t>
            </w:r>
          </w:p>
        </w:tc>
        <w:tc>
          <w:tcPr>
            <w:tcW w:w="1834" w:type="dxa"/>
          </w:tcPr>
          <w:p w:rsidR="00D01D65" w:rsidRDefault="00817C90">
            <w:pPr>
              <w:spacing w:before="171" w:line="219" w:lineRule="auto"/>
              <w:ind w:left="271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2022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1834" w:type="dxa"/>
          </w:tcPr>
          <w:p w:rsidR="00D01D65" w:rsidRDefault="00817C90">
            <w:pPr>
              <w:spacing w:before="171" w:line="219" w:lineRule="auto"/>
              <w:ind w:left="273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2023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1843" w:type="dxa"/>
          </w:tcPr>
          <w:p w:rsidR="00D01D65" w:rsidRDefault="00817C90">
            <w:pPr>
              <w:spacing w:before="37" w:line="205" w:lineRule="auto"/>
              <w:ind w:left="546" w:right="19" w:hanging="490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决算数比上年决算</w:t>
            </w:r>
            <w:r>
              <w:rPr>
                <w:rFonts w:ascii="SimSun" w:eastAsia="SimSun" w:hAnsi="SimSun" w:cs="SimSun"/>
                <w:spacing w:val="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数增减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28" w:line="182" w:lineRule="auto"/>
              <w:ind w:left="250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b/>
                <w:bCs/>
                <w:spacing w:val="-1"/>
                <w:sz w:val="22"/>
                <w:szCs w:val="22"/>
              </w:rPr>
              <w:t>政府性基金预算收入</w:t>
            </w:r>
          </w:p>
        </w:tc>
        <w:tc>
          <w:tcPr>
            <w:tcW w:w="1834" w:type="dxa"/>
          </w:tcPr>
          <w:p w:rsidR="00D01D65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SimSun" w:eastAsia="SimSun" w:hAnsi="SimSun" w:cs="SimSun"/>
                <w:sz w:val="22"/>
                <w:szCs w:val="22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  <w:t>7592</w:t>
            </w: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>11529</w:t>
            </w:r>
          </w:p>
        </w:tc>
        <w:tc>
          <w:tcPr>
            <w:tcW w:w="1843" w:type="dxa"/>
          </w:tcPr>
          <w:p w:rsidR="00D01D65" w:rsidRDefault="00817C90">
            <w:pPr>
              <w:spacing w:before="28" w:line="182" w:lineRule="auto"/>
              <w:ind w:left="510"/>
              <w:rPr>
                <w:rFonts w:ascii="SimSun" w:eastAsia="SimSun" w:hAnsi="SimSun" w:cs="SimSun"/>
                <w:sz w:val="22"/>
                <w:szCs w:val="22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5</w:t>
            </w:r>
            <w:r w:rsidR="006C406A"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1.86</w:t>
            </w:r>
            <w:r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26" w:line="183" w:lineRule="auto"/>
              <w:ind w:left="46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1"/>
                <w:sz w:val="22"/>
                <w:szCs w:val="22"/>
                <w:lang w:eastAsia="zh-CN"/>
              </w:rPr>
              <w:t>核电站乏燃料处理处置基金收入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28" w:line="182" w:lineRule="auto"/>
              <w:ind w:left="65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2"/>
                <w:sz w:val="22"/>
                <w:szCs w:val="22"/>
                <w:lang w:eastAsia="zh-CN"/>
              </w:rPr>
              <w:t>国家电影事业发展专项资金相关收入</w:t>
            </w:r>
          </w:p>
        </w:tc>
        <w:tc>
          <w:tcPr>
            <w:tcW w:w="1834" w:type="dxa"/>
          </w:tcPr>
          <w:p w:rsidR="00D01D65" w:rsidRPr="00EF05E8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  <w:t>5</w:t>
            </w: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 xml:space="preserve">   3</w:t>
            </w:r>
          </w:p>
        </w:tc>
        <w:tc>
          <w:tcPr>
            <w:tcW w:w="1843" w:type="dxa"/>
          </w:tcPr>
          <w:p w:rsidR="00D01D65" w:rsidRPr="00EF05E8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-</w:t>
            </w:r>
            <w:r w:rsidR="006C406A"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40</w:t>
            </w:r>
            <w:r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1" w:line="179" w:lineRule="auto"/>
              <w:ind w:left="42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旅游发展基金收入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2" w:line="178" w:lineRule="auto"/>
              <w:ind w:left="46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大中型水库移民后期扶持基金收入</w:t>
            </w:r>
          </w:p>
        </w:tc>
        <w:tc>
          <w:tcPr>
            <w:tcW w:w="1834" w:type="dxa"/>
          </w:tcPr>
          <w:p w:rsidR="00D01D65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position w:val="-2"/>
                <w:sz w:val="22"/>
                <w:szCs w:val="22"/>
              </w:rPr>
              <w:t>4814</w:t>
            </w: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>7005</w:t>
            </w:r>
          </w:p>
        </w:tc>
        <w:tc>
          <w:tcPr>
            <w:tcW w:w="1843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45.51</w:t>
            </w:r>
            <w:r w:rsidR="00817C90"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3" w:line="178" w:lineRule="auto"/>
              <w:ind w:left="49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  <w:lang w:eastAsia="zh-CN"/>
              </w:rPr>
              <w:t>小型水库移民扶助基金相关收入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2" w:line="179" w:lineRule="auto"/>
              <w:ind w:left="45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  <w:lang w:eastAsia="zh-CN"/>
              </w:rPr>
              <w:t>可再生能源电价附加收入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1" w:line="179" w:lineRule="auto"/>
              <w:ind w:left="42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废弃电器电子产品处理基金收入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6" w:line="176" w:lineRule="auto"/>
              <w:ind w:left="65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国有土地使用权出让相关收入</w:t>
            </w:r>
          </w:p>
        </w:tc>
        <w:tc>
          <w:tcPr>
            <w:tcW w:w="1834" w:type="dxa"/>
          </w:tcPr>
          <w:p w:rsidR="00D01D65" w:rsidRPr="00EF05E8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  <w:t>1446</w:t>
            </w:r>
          </w:p>
        </w:tc>
        <w:tc>
          <w:tcPr>
            <w:tcW w:w="1834" w:type="dxa"/>
          </w:tcPr>
          <w:p w:rsidR="00D01D65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SimSun" w:eastAsia="SimSun" w:hAnsi="SimSun" w:cs="SimSun"/>
                <w:sz w:val="22"/>
                <w:szCs w:val="22"/>
              </w:rPr>
            </w:pPr>
            <w:r w:rsidRPr="006C406A">
              <w:rPr>
                <w:rFonts w:ascii="SimSun" w:eastAsia="SimSun" w:hAnsi="SimSun" w:cs="SimSun" w:hint="eastAsia"/>
                <w:spacing w:val="-5"/>
                <w:position w:val="-2"/>
                <w:sz w:val="22"/>
                <w:szCs w:val="22"/>
              </w:rPr>
              <w:t>2222</w:t>
            </w:r>
          </w:p>
        </w:tc>
        <w:tc>
          <w:tcPr>
            <w:tcW w:w="1843" w:type="dxa"/>
          </w:tcPr>
          <w:p w:rsidR="00D01D65" w:rsidRPr="00EF05E8" w:rsidRDefault="00EF05E8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53.67</w:t>
            </w:r>
            <w:r w:rsidR="00817C90"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6" w:line="175" w:lineRule="auto"/>
              <w:ind w:left="65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国有土地收益基金相关收入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7" w:line="175" w:lineRule="auto"/>
              <w:ind w:left="43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农业土地开发资金相关收入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5" w:line="177" w:lineRule="auto"/>
              <w:ind w:left="43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城市基础设施配套费相关收入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>50</w:t>
            </w: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5" w:line="177" w:lineRule="auto"/>
              <w:ind w:left="4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污水处理费相关收入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Pr="006C406A" w:rsidRDefault="00D01D65" w:rsidP="006C406A">
            <w:pPr>
              <w:spacing w:before="69" w:line="176" w:lineRule="exact"/>
              <w:ind w:left="716"/>
              <w:rPr>
                <w:rFonts w:ascii="SimSun" w:hAnsi="SimSun" w:cs="SimSun" w:hint="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7" w:line="174" w:lineRule="auto"/>
              <w:ind w:left="46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大中型水库库区基金相关收入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43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1"/>
                <w:sz w:val="22"/>
                <w:szCs w:val="22"/>
                <w:lang w:eastAsia="zh-CN"/>
              </w:rPr>
              <w:t>三峡水库库区基金收入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65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  <w:lang w:eastAsia="zh-CN"/>
              </w:rPr>
              <w:t>国家重大水利工程建设基金相关收入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7" w:line="175" w:lineRule="auto"/>
              <w:ind w:left="42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海南省高等级公路车辆通行附加费相关收入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7" w:line="175" w:lineRule="auto"/>
              <w:ind w:left="4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车辆通行费相关收入</w:t>
            </w:r>
          </w:p>
        </w:tc>
        <w:tc>
          <w:tcPr>
            <w:tcW w:w="1834" w:type="dxa"/>
          </w:tcPr>
          <w:p w:rsidR="00D01D65" w:rsidRPr="00EF05E8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  <w:t>388</w:t>
            </w: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>937</w:t>
            </w:r>
          </w:p>
        </w:tc>
        <w:tc>
          <w:tcPr>
            <w:tcW w:w="1843" w:type="dxa"/>
          </w:tcPr>
          <w:p w:rsidR="00D01D65" w:rsidRPr="00EF05E8" w:rsidRDefault="00EF05E8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141.49</w:t>
            </w:r>
            <w:r w:rsidR="00817C90"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9" w:line="173" w:lineRule="auto"/>
              <w:ind w:left="42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z w:val="22"/>
                <w:szCs w:val="22"/>
              </w:rPr>
              <w:t>港口建设费相关收入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9" w:line="173" w:lineRule="auto"/>
              <w:ind w:left="42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铁路建设基金收入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9" w:line="173" w:lineRule="auto"/>
              <w:ind w:left="43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船舶油污损害赔偿基金收入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6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3"/>
                <w:sz w:val="22"/>
                <w:szCs w:val="22"/>
              </w:rPr>
              <w:t>民航发展基金收入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43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农网还贷资金收入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41" w:line="172" w:lineRule="auto"/>
              <w:ind w:left="64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  <w:lang w:eastAsia="zh-CN"/>
              </w:rPr>
              <w:t>中央特别国债经营基金收入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41" w:line="172" w:lineRule="auto"/>
              <w:ind w:left="64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2"/>
                <w:sz w:val="22"/>
                <w:szCs w:val="22"/>
                <w:lang w:eastAsia="zh-CN"/>
              </w:rPr>
              <w:t>中央特别国债经营基金财务收入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41" w:line="172" w:lineRule="auto"/>
              <w:ind w:left="44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彩票发行机构和彩票销售机构的业务费用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4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彩票公益金收入</w:t>
            </w:r>
          </w:p>
        </w:tc>
        <w:tc>
          <w:tcPr>
            <w:tcW w:w="1834" w:type="dxa"/>
          </w:tcPr>
          <w:p w:rsidR="00D01D65" w:rsidRPr="00EF05E8" w:rsidRDefault="00817C90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  <w:t>939</w:t>
            </w:r>
          </w:p>
        </w:tc>
        <w:tc>
          <w:tcPr>
            <w:tcW w:w="1834" w:type="dxa"/>
          </w:tcPr>
          <w:p w:rsidR="00D01D65" w:rsidRPr="00EF05E8" w:rsidRDefault="006C406A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Cs w:val="24"/>
                <w:lang w:eastAsia="zh-CN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color w:val="auto"/>
                <w:kern w:val="2"/>
                <w:szCs w:val="24"/>
                <w:lang w:eastAsia="zh-CN"/>
              </w:rPr>
              <w:t>1312</w:t>
            </w:r>
          </w:p>
        </w:tc>
        <w:tc>
          <w:tcPr>
            <w:tcW w:w="1843" w:type="dxa"/>
          </w:tcPr>
          <w:p w:rsidR="00D01D65" w:rsidRDefault="00EF05E8" w:rsidP="00EF0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SimSun" w:eastAsia="SimSun" w:hAnsi="SimSun" w:cs="SimSun"/>
                <w:sz w:val="22"/>
                <w:szCs w:val="22"/>
              </w:rPr>
            </w:pPr>
            <w:r w:rsidRPr="00EF05E8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sz w:val="22"/>
                <w:szCs w:val="22"/>
                <w:lang w:eastAsia="zh-CN"/>
              </w:rPr>
              <w:t>39.72</w:t>
            </w:r>
            <w:r w:rsidR="00817C90" w:rsidRPr="00EF05E8">
              <w:rPr>
                <w:rFonts w:ascii="Times New Roman" w:eastAsia="宋体" w:hAnsi="Times New Roman" w:cs="Times New Roman"/>
                <w:noProof w:val="0"/>
                <w:snapToGrid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:rsidR="00D01D65">
        <w:trPr>
          <w:trHeight w:val="256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38" w:line="174" w:lineRule="auto"/>
              <w:ind w:left="44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其他政府性基金相关收入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spacing w:before="73" w:line="173" w:lineRule="exact"/>
              <w:ind w:left="769"/>
              <w:rPr>
                <w:rFonts w:ascii="SimSun" w:eastAsia="SimSun" w:hAnsi="SimSun" w:cs="SimSu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</w:pPr>
          </w:p>
        </w:tc>
      </w:tr>
      <w:tr w:rsidR="00D01D65">
        <w:trPr>
          <w:trHeight w:val="265"/>
        </w:trPr>
        <w:tc>
          <w:tcPr>
            <w:tcW w:w="6997" w:type="dxa"/>
            <w:shd w:val="clear" w:color="auto" w:fill="C0C0C0"/>
          </w:tcPr>
          <w:p w:rsidR="00D01D65" w:rsidRDefault="00817C90">
            <w:pPr>
              <w:spacing w:before="41" w:line="179" w:lineRule="auto"/>
              <w:ind w:left="263"/>
              <w:rPr>
                <w:rFonts w:ascii="SimSun" w:eastAsia="SimSun" w:hAnsi="SimSun" w:cs="SimSun"/>
                <w:sz w:val="22"/>
                <w:szCs w:val="22"/>
                <w:lang w:eastAsia="zh-CN"/>
              </w:rPr>
            </w:pP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其中</w:t>
            </w: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:</w:t>
            </w:r>
            <w:r>
              <w:rPr>
                <w:rFonts w:ascii="SimSun" w:eastAsia="SimSun" w:hAnsi="SimSun" w:cs="SimSun"/>
                <w:sz w:val="22"/>
                <w:szCs w:val="22"/>
                <w:lang w:eastAsia="zh-CN"/>
              </w:rPr>
              <w:t>抗疫特别国债上年结余收入</w:t>
            </w: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34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</w:tcPr>
          <w:p w:rsidR="00D01D65" w:rsidRDefault="00D01D65">
            <w:pPr>
              <w:pStyle w:val="TableText"/>
              <w:rPr>
                <w:lang w:eastAsia="zh-CN"/>
              </w:rPr>
            </w:pPr>
          </w:p>
        </w:tc>
      </w:tr>
    </w:tbl>
    <w:p w:rsidR="00D01D65" w:rsidRDefault="00D01D65">
      <w:pPr>
        <w:rPr>
          <w:lang w:eastAsia="zh-CN"/>
        </w:rPr>
      </w:pPr>
    </w:p>
    <w:sectPr w:rsidR="00D01D65" w:rsidSect="00D01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/>
      <w:pgMar w:top="1012" w:right="2337" w:bottom="0" w:left="197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C90" w:rsidRDefault="00817C90" w:rsidP="006C406A">
      <w:r>
        <w:separator/>
      </w:r>
    </w:p>
  </w:endnote>
  <w:endnote w:type="continuationSeparator" w:id="1">
    <w:p w:rsidR="00817C90" w:rsidRDefault="00817C90" w:rsidP="006C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C90" w:rsidRDefault="00817C90" w:rsidP="006C406A">
      <w:r>
        <w:separator/>
      </w:r>
    </w:p>
  </w:footnote>
  <w:footnote w:type="continuationSeparator" w:id="1">
    <w:p w:rsidR="00817C90" w:rsidRDefault="00817C90" w:rsidP="006C4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 w:rsidP="006C406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6A" w:rsidRDefault="006C40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D01D65"/>
    <w:rsid w:val="006C406A"/>
    <w:rsid w:val="00817C90"/>
    <w:rsid w:val="00D01D65"/>
    <w:rsid w:val="00E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D01D6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1D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01D65"/>
    <w:rPr>
      <w:rFonts w:eastAsia="Arial"/>
    </w:rPr>
  </w:style>
  <w:style w:type="paragraph" w:styleId="a3">
    <w:name w:val="header"/>
    <w:basedOn w:val="a"/>
    <w:link w:val="Char"/>
    <w:uiPriority w:val="99"/>
    <w:semiHidden/>
    <w:unhideWhenUsed/>
    <w:rsid w:val="006C40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06A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0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06A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2024-11-13T10:35:00Z</dcterms:created>
  <dcterms:modified xsi:type="dcterms:W3CDTF">2024-11-19T01:35:00Z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2024-11-13T10:35:07Z</vt:filetime>
  </property>
</Properties>
</file>