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986"/>
        <w:spacing w:before="71" w:line="219" w:lineRule="auto"/>
        <w:outlineLvl w:val="0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</w:rPr>
        <w:t>2023年上犹县政府性基金支出决算表</w:t>
      </w:r>
    </w:p>
    <w:p>
      <w:pPr>
        <w:ind w:left="8740"/>
        <w:spacing w:before="4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7"/>
        </w:rPr>
        <w:t>单位：万元</w:t>
      </w:r>
    </w:p>
    <w:tbl>
      <w:tblPr>
        <w:tblStyle w:val="TableNormal"/>
        <w:tblW w:w="975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843"/>
        <w:gridCol w:w="1368"/>
        <w:gridCol w:w="1555"/>
        <w:gridCol w:w="1443"/>
        <w:gridCol w:w="1241"/>
        <w:gridCol w:w="1300"/>
      </w:tblGrid>
      <w:tr>
        <w:trPr>
          <w:trHeight w:val="854" w:hRule="atLeast"/>
        </w:trPr>
        <w:tc>
          <w:tcPr>
            <w:tcW w:w="28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9"/>
              <w:spacing w:before="62" w:line="225" w:lineRule="auto"/>
              <w:rPr/>
            </w:pPr>
            <w:r>
              <w:rPr>
                <w:b/>
                <w:bCs/>
                <w:spacing w:val="3"/>
              </w:rPr>
              <w:t>收入项目</w:t>
            </w:r>
          </w:p>
        </w:tc>
        <w:tc>
          <w:tcPr>
            <w:tcW w:w="136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62" w:line="225" w:lineRule="auto"/>
              <w:rPr/>
            </w:pPr>
            <w:r>
              <w:rPr>
                <w:b/>
                <w:bCs/>
                <w:spacing w:val="5"/>
              </w:rPr>
              <w:t>2022年决算数</w:t>
            </w:r>
          </w:p>
        </w:tc>
        <w:tc>
          <w:tcPr>
            <w:tcW w:w="155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2" w:line="225" w:lineRule="auto"/>
              <w:rPr/>
            </w:pPr>
            <w:r>
              <w:rPr>
                <w:b/>
                <w:bCs/>
                <w:spacing w:val="5"/>
              </w:rPr>
              <w:t>2023年预算数</w:t>
            </w:r>
          </w:p>
        </w:tc>
        <w:tc>
          <w:tcPr>
            <w:tcW w:w="14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2" w:line="225" w:lineRule="auto"/>
              <w:rPr/>
            </w:pPr>
            <w:r>
              <w:rPr>
                <w:b/>
                <w:bCs/>
                <w:spacing w:val="5"/>
              </w:rPr>
              <w:t>2023年决算数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277" w:right="109" w:hanging="146"/>
              <w:spacing w:before="217" w:line="232" w:lineRule="auto"/>
              <w:rPr/>
            </w:pPr>
            <w:r>
              <w:rPr>
                <w:b/>
                <w:bCs/>
                <w:spacing w:val="5"/>
              </w:rPr>
              <w:t>决算数占预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算数的%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109" w:right="39" w:hanging="50"/>
              <w:spacing w:before="217" w:line="232" w:lineRule="auto"/>
              <w:rPr/>
            </w:pPr>
            <w:r>
              <w:rPr>
                <w:b/>
                <w:bCs/>
                <w:spacing w:val="5"/>
              </w:rPr>
              <w:t>决算数比上年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6"/>
              </w:rPr>
              <w:t>决算数增减%</w:t>
            </w:r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877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科学技术支出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417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文化旅游体育与传媒支出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701"/>
              <w:spacing w:before="134" w:line="188" w:lineRule="auto"/>
              <w:rPr/>
            </w:pPr>
            <w:r>
              <w:rPr>
                <w:spacing w:val="-8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83"/>
              <w:spacing w:before="135" w:line="187" w:lineRule="auto"/>
              <w:rPr/>
            </w:pPr>
            <w:r>
              <w:rPr/>
              <w:t>8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335"/>
              <w:spacing w:before="103" w:line="252" w:lineRule="exact"/>
              <w:rPr/>
            </w:pPr>
            <w:r>
              <w:rPr>
                <w:spacing w:val="2"/>
                <w:position w:val="1"/>
              </w:rPr>
              <w:t>61.54%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603"/>
              <w:spacing w:before="1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社会保障和就业支出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92"/>
              <w:spacing w:before="135" w:line="187" w:lineRule="auto"/>
              <w:rPr/>
            </w:pPr>
            <w:r>
              <w:rPr>
                <w:spacing w:val="1"/>
              </w:rPr>
              <w:t>2677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87"/>
              <w:spacing w:before="134" w:line="188" w:lineRule="auto"/>
              <w:rPr/>
            </w:pPr>
            <w:r>
              <w:rPr>
                <w:spacing w:val="1"/>
              </w:rPr>
              <w:t>9173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34"/>
              <w:spacing w:before="135" w:line="187" w:lineRule="auto"/>
              <w:rPr/>
            </w:pPr>
            <w:r>
              <w:rPr>
                <w:spacing w:val="1"/>
              </w:rPr>
              <w:t>8267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335"/>
              <w:spacing w:before="104" w:line="252" w:lineRule="exact"/>
              <w:rPr/>
            </w:pPr>
            <w:r>
              <w:rPr>
                <w:spacing w:val="2"/>
                <w:position w:val="1"/>
              </w:rPr>
              <w:t>90.12%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315"/>
              <w:spacing w:before="104" w:line="252" w:lineRule="exact"/>
              <w:rPr/>
            </w:pPr>
            <w:r>
              <w:rPr>
                <w:spacing w:val="2"/>
                <w:position w:val="1"/>
              </w:rPr>
              <w:t>208.82%</w:t>
            </w:r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877"/>
              <w:spacing w:before="1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节能环保支出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877"/>
              <w:spacing w:before="1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城乡社区支出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04"/>
              <w:spacing w:before="136" w:line="188" w:lineRule="auto"/>
              <w:rPr/>
            </w:pPr>
            <w:r>
              <w:rPr/>
              <w:t>113515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40"/>
              <w:spacing w:before="137" w:line="187" w:lineRule="auto"/>
              <w:rPr/>
            </w:pPr>
            <w:r>
              <w:rPr>
                <w:spacing w:val="1"/>
              </w:rPr>
              <w:t>74527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87"/>
              <w:spacing w:before="136" w:line="188" w:lineRule="auto"/>
              <w:rPr/>
            </w:pPr>
            <w:r>
              <w:rPr>
                <w:spacing w:val="1"/>
              </w:rPr>
              <w:t>74162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335"/>
              <w:spacing w:before="105" w:line="252" w:lineRule="exact"/>
              <w:rPr/>
            </w:pPr>
            <w:r>
              <w:rPr>
                <w:spacing w:val="2"/>
                <w:position w:val="1"/>
              </w:rPr>
              <w:t>99.51%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311"/>
              <w:spacing w:before="105" w:line="252" w:lineRule="exact"/>
              <w:rPr/>
            </w:pPr>
            <w:r>
              <w:rPr>
                <w:spacing w:val="3"/>
                <w:position w:val="1"/>
              </w:rPr>
              <w:t>-34.67%</w:t>
            </w:r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968"/>
              <w:spacing w:before="1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农林水支出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881"/>
              <w:spacing w:before="1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交通运输支出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544"/>
              <w:spacing w:before="138" w:line="187" w:lineRule="auto"/>
              <w:rPr/>
            </w:pPr>
            <w:r>
              <w:rPr>
                <w:spacing w:val="-1"/>
              </w:rPr>
              <w:t>388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37"/>
              <w:spacing w:before="138" w:line="187" w:lineRule="auto"/>
              <w:rPr/>
            </w:pPr>
            <w:r>
              <w:rPr/>
              <w:t>937</w:t>
            </w:r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pStyle w:val="TableText"/>
              <w:ind w:left="385"/>
              <w:spacing w:before="107" w:line="252" w:lineRule="exact"/>
              <w:rPr/>
            </w:pPr>
            <w:r>
              <w:rPr>
                <w:spacing w:val="1"/>
                <w:position w:val="1"/>
              </w:rPr>
              <w:t>0.00%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260"/>
              <w:spacing w:before="107" w:line="252" w:lineRule="exact"/>
              <w:rPr/>
            </w:pPr>
            <w:r>
              <w:rPr>
                <w:spacing w:val="3"/>
                <w:position w:val="1"/>
              </w:rPr>
              <w:t>-100.00%</w:t>
            </w:r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424"/>
              <w:spacing w:before="1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资源勘探工业信息等支出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1061"/>
              <w:spacing w:before="11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金融支出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1060"/>
              <w:spacing w:before="11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其他支出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40"/>
              <w:spacing w:before="139" w:line="188" w:lineRule="auto"/>
              <w:rPr/>
            </w:pPr>
            <w:r>
              <w:rPr>
                <w:spacing w:val="2"/>
              </w:rPr>
              <w:t>95717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36"/>
              <w:spacing w:before="140" w:line="187" w:lineRule="auto"/>
              <w:rPr/>
            </w:pPr>
            <w:r>
              <w:rPr>
                <w:spacing w:val="2"/>
              </w:rPr>
              <w:t>92864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84"/>
              <w:spacing w:before="139" w:line="188" w:lineRule="auto"/>
              <w:rPr/>
            </w:pPr>
            <w:r>
              <w:rPr>
                <w:spacing w:val="2"/>
              </w:rPr>
              <w:t>91878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335"/>
              <w:spacing w:before="109" w:line="252" w:lineRule="exact"/>
              <w:rPr/>
            </w:pPr>
            <w:r>
              <w:rPr>
                <w:spacing w:val="2"/>
                <w:position w:val="1"/>
              </w:rPr>
              <w:t>98.94%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361"/>
              <w:spacing w:before="109" w:line="252" w:lineRule="exact"/>
              <w:rPr/>
            </w:pPr>
            <w:r>
              <w:rPr>
                <w:spacing w:val="2"/>
                <w:position w:val="1"/>
              </w:rPr>
              <w:t>-4.01%</w:t>
            </w:r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878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债务付息支出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91"/>
              <w:spacing w:before="142" w:line="187" w:lineRule="auto"/>
              <w:rPr/>
            </w:pPr>
            <w:r>
              <w:rPr>
                <w:spacing w:val="1"/>
              </w:rPr>
              <w:t>9084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50"/>
              <w:spacing w:before="141" w:line="188" w:lineRule="auto"/>
              <w:rPr/>
            </w:pPr>
            <w:r>
              <w:rPr>
                <w:spacing w:val="-1"/>
              </w:rPr>
              <w:t>11500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97"/>
              <w:spacing w:before="141" w:line="188" w:lineRule="auto"/>
              <w:rPr/>
            </w:pPr>
            <w:r>
              <w:rPr>
                <w:spacing w:val="-1"/>
              </w:rPr>
              <w:t>11500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297"/>
              <w:spacing w:before="111" w:line="252" w:lineRule="exact"/>
              <w:rPr/>
            </w:pPr>
            <w:r>
              <w:rPr>
                <w:position w:val="1"/>
              </w:rPr>
              <w:t>100.00%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365"/>
              <w:spacing w:before="111" w:line="252" w:lineRule="exact"/>
              <w:rPr/>
            </w:pPr>
            <w:r>
              <w:rPr>
                <w:spacing w:val="2"/>
                <w:position w:val="1"/>
              </w:rPr>
              <w:t>26.60%</w:t>
            </w:r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787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债务发行费用支出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592"/>
              <w:spacing w:before="142" w:line="187" w:lineRule="auto"/>
              <w:rPr/>
            </w:pPr>
            <w:r>
              <w:rPr>
                <w:spacing w:val="-1"/>
              </w:rPr>
              <w:t>98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7"/>
              <w:spacing w:before="142" w:line="187" w:lineRule="auto"/>
              <w:rPr/>
            </w:pPr>
            <w:r>
              <w:rPr>
                <w:spacing w:val="-1"/>
              </w:rPr>
              <w:t>97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3"/>
              <w:spacing w:before="142" w:line="187" w:lineRule="auto"/>
              <w:rPr/>
            </w:pPr>
            <w:r>
              <w:rPr>
                <w:spacing w:val="-1"/>
              </w:rPr>
              <w:t>97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297"/>
              <w:spacing w:before="111" w:line="252" w:lineRule="exact"/>
              <w:rPr/>
            </w:pPr>
            <w:r>
              <w:rPr>
                <w:position w:val="1"/>
              </w:rPr>
              <w:t>100.00%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361"/>
              <w:spacing w:before="111" w:line="252" w:lineRule="exact"/>
              <w:rPr/>
            </w:pPr>
            <w:r>
              <w:rPr>
                <w:spacing w:val="2"/>
                <w:position w:val="1"/>
              </w:rPr>
              <w:t>-1.02%</w:t>
            </w:r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510"/>
              <w:spacing w:before="11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抗疫特别国债安排的支出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1061"/>
              <w:spacing w:before="11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金融支出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601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政府性基金支出合计</w:t>
            </w:r>
          </w:p>
        </w:tc>
        <w:tc>
          <w:tcPr>
            <w:shd w:val="clear" w:fill="FFFF00"/>
            <w:tcW w:w="1368" w:type="dxa"/>
            <w:vAlign w:val="top"/>
          </w:tcPr>
          <w:p>
            <w:pPr>
              <w:pStyle w:val="TableText"/>
              <w:ind w:left="391"/>
              <w:spacing w:before="143" w:line="188" w:lineRule="auto"/>
              <w:rPr/>
            </w:pPr>
            <w:r>
              <w:rPr>
                <w:spacing w:val="2"/>
              </w:rPr>
              <w:t>221479</w:t>
            </w:r>
          </w:p>
        </w:tc>
        <w:tc>
          <w:tcPr>
            <w:shd w:val="clear" w:fill="FFFF00"/>
            <w:tcW w:w="1555" w:type="dxa"/>
            <w:vAlign w:val="top"/>
          </w:tcPr>
          <w:p>
            <w:pPr>
              <w:pStyle w:val="TableText"/>
              <w:ind w:left="500"/>
              <w:spacing w:before="143" w:line="188" w:lineRule="auto"/>
              <w:rPr/>
            </w:pPr>
            <w:r>
              <w:rPr/>
              <w:t>189111</w:t>
            </w:r>
          </w:p>
        </w:tc>
        <w:tc>
          <w:tcPr>
            <w:shd w:val="clear" w:fill="FFFF00"/>
            <w:tcW w:w="1443" w:type="dxa"/>
            <w:vAlign w:val="top"/>
          </w:tcPr>
          <w:p>
            <w:pPr>
              <w:pStyle w:val="TableText"/>
              <w:ind w:left="447"/>
              <w:spacing w:before="143" w:line="188" w:lineRule="auto"/>
              <w:rPr/>
            </w:pPr>
            <w:r>
              <w:rPr/>
              <w:t>185912</w:t>
            </w:r>
          </w:p>
        </w:tc>
        <w:tc>
          <w:tcPr>
            <w:shd w:val="clear" w:fill="FFFF00"/>
            <w:tcW w:w="1241" w:type="dxa"/>
            <w:vAlign w:val="top"/>
          </w:tcPr>
          <w:p>
            <w:pPr>
              <w:pStyle w:val="TableText"/>
              <w:ind w:left="335"/>
              <w:spacing w:before="113" w:line="252" w:lineRule="exact"/>
              <w:rPr/>
            </w:pPr>
            <w:r>
              <w:rPr>
                <w:spacing w:val="2"/>
                <w:position w:val="1"/>
              </w:rPr>
              <w:t>98.31%</w:t>
            </w:r>
          </w:p>
        </w:tc>
        <w:tc>
          <w:tcPr>
            <w:shd w:val="clear" w:fill="FFFF00"/>
            <w:tcW w:w="1300" w:type="dxa"/>
            <w:vAlign w:val="top"/>
          </w:tcPr>
          <w:p>
            <w:pPr>
              <w:pStyle w:val="TableText"/>
              <w:ind w:left="311"/>
              <w:spacing w:before="113" w:line="252" w:lineRule="exact"/>
              <w:rPr/>
            </w:pPr>
            <w:r>
              <w:rPr>
                <w:spacing w:val="3"/>
                <w:position w:val="1"/>
              </w:rPr>
              <w:t>-16.06%</w:t>
            </w:r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1059"/>
              <w:spacing w:before="1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补助支出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879"/>
              <w:spacing w:before="1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上解上级支出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92"/>
              <w:spacing w:before="146" w:line="187" w:lineRule="auto"/>
              <w:rPr/>
            </w:pPr>
            <w:r>
              <w:rPr>
                <w:spacing w:val="1"/>
              </w:rPr>
              <w:t>2435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87"/>
              <w:spacing w:before="146" w:line="187" w:lineRule="auto"/>
              <w:rPr/>
            </w:pPr>
            <w:r>
              <w:rPr>
                <w:spacing w:val="1"/>
              </w:rPr>
              <w:t>9085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8"/>
              <w:spacing w:before="145" w:line="188" w:lineRule="auto"/>
              <w:rPr/>
            </w:pPr>
            <w:r>
              <w:rPr>
                <w:spacing w:val="-2"/>
              </w:rPr>
              <w:t>1767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348"/>
              <w:spacing w:before="115" w:line="252" w:lineRule="exact"/>
              <w:rPr/>
            </w:pPr>
            <w:r>
              <w:rPr>
                <w:position w:val="1"/>
              </w:rPr>
              <w:t>19.45%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311"/>
              <w:spacing w:before="115" w:line="252" w:lineRule="exact"/>
              <w:rPr/>
            </w:pPr>
            <w:r>
              <w:rPr>
                <w:spacing w:val="3"/>
                <w:position w:val="1"/>
              </w:rPr>
              <w:t>-27.43%</w:t>
            </w:r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878"/>
              <w:spacing w:before="12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债务还本支出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54"/>
              <w:spacing w:before="145" w:line="188" w:lineRule="auto"/>
              <w:rPr/>
            </w:pPr>
            <w:r>
              <w:rPr>
                <w:spacing w:val="-1"/>
              </w:rPr>
              <w:t>15042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37"/>
              <w:spacing w:before="146" w:line="187" w:lineRule="auto"/>
              <w:rPr/>
            </w:pPr>
            <w:r>
              <w:rPr>
                <w:spacing w:val="1"/>
              </w:rPr>
              <w:t>60000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85"/>
              <w:spacing w:before="145" w:line="188" w:lineRule="auto"/>
              <w:rPr/>
            </w:pPr>
            <w:r>
              <w:rPr>
                <w:spacing w:val="1"/>
              </w:rPr>
              <w:t>22149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338"/>
              <w:spacing w:before="115" w:line="252" w:lineRule="exact"/>
              <w:rPr/>
            </w:pPr>
            <w:r>
              <w:rPr>
                <w:spacing w:val="1"/>
                <w:position w:val="1"/>
              </w:rPr>
              <w:t>36.92%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361"/>
              <w:spacing w:before="115" w:line="252" w:lineRule="exact"/>
              <w:rPr/>
            </w:pPr>
            <w:r>
              <w:rPr>
                <w:spacing w:val="2"/>
                <w:position w:val="1"/>
              </w:rPr>
              <w:t>47.25%</w:t>
            </w:r>
          </w:p>
        </w:tc>
      </w:tr>
      <w:tr>
        <w:trPr>
          <w:trHeight w:val="386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1061"/>
              <w:spacing w:before="12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调出资金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54"/>
              <w:spacing w:before="146" w:line="188" w:lineRule="auto"/>
              <w:rPr/>
            </w:pPr>
            <w:r>
              <w:rPr>
                <w:spacing w:val="-1"/>
              </w:rPr>
              <w:t>11000</w:t>
            </w:r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97"/>
              <w:spacing w:before="146" w:line="188" w:lineRule="auto"/>
              <w:rPr/>
            </w:pPr>
            <w:r>
              <w:rPr>
                <w:spacing w:val="-1"/>
              </w:rPr>
              <w:t>12577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1060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年终结余</w:t>
            </w:r>
          </w:p>
        </w:tc>
        <w:tc>
          <w:tcPr>
            <w:tcW w:w="1368" w:type="dxa"/>
            <w:vAlign w:val="top"/>
          </w:tcPr>
          <w:p>
            <w:pPr>
              <w:pStyle w:val="TableText"/>
              <w:ind w:left="492"/>
              <w:spacing w:before="147" w:line="187" w:lineRule="auto"/>
              <w:rPr/>
            </w:pPr>
            <w:r>
              <w:rPr>
                <w:spacing w:val="1"/>
              </w:rPr>
              <w:t>2899</w:t>
            </w:r>
          </w:p>
        </w:tc>
        <w:tc>
          <w:tcPr>
            <w:tcW w:w="1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38"/>
              <w:spacing w:before="146" w:line="188" w:lineRule="auto"/>
              <w:rPr/>
            </w:pPr>
            <w:r>
              <w:rPr/>
              <w:t>3199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shd w:val="clear" w:fill="C0C0C0"/>
            <w:tcW w:w="2843" w:type="dxa"/>
            <w:vAlign w:val="top"/>
          </w:tcPr>
          <w:p>
            <w:pPr>
              <w:pStyle w:val="TableText"/>
              <w:ind w:left="601"/>
              <w:spacing w:before="1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政府性基金支出总计</w:t>
            </w:r>
          </w:p>
        </w:tc>
        <w:tc>
          <w:tcPr>
            <w:shd w:val="clear" w:fill="FFFF00"/>
            <w:tcW w:w="1368" w:type="dxa"/>
            <w:vAlign w:val="top"/>
          </w:tcPr>
          <w:p>
            <w:pPr>
              <w:pStyle w:val="TableText"/>
              <w:ind w:left="391"/>
              <w:spacing w:before="147" w:line="187" w:lineRule="auto"/>
              <w:rPr/>
            </w:pPr>
            <w:r>
              <w:rPr>
                <w:spacing w:val="2"/>
              </w:rPr>
              <w:t>252855</w:t>
            </w:r>
          </w:p>
        </w:tc>
        <w:tc>
          <w:tcPr>
            <w:shd w:val="clear" w:fill="FFFF00"/>
            <w:tcW w:w="1555" w:type="dxa"/>
            <w:vAlign w:val="top"/>
          </w:tcPr>
          <w:p>
            <w:pPr>
              <w:pStyle w:val="TableText"/>
              <w:ind w:left="488"/>
              <w:spacing w:before="146" w:line="188" w:lineRule="auto"/>
              <w:rPr/>
            </w:pPr>
            <w:r>
              <w:rPr>
                <w:spacing w:val="2"/>
              </w:rPr>
              <w:t>258196</w:t>
            </w:r>
          </w:p>
        </w:tc>
        <w:tc>
          <w:tcPr>
            <w:shd w:val="clear" w:fill="FFFF00"/>
            <w:tcW w:w="1443" w:type="dxa"/>
            <w:vAlign w:val="top"/>
          </w:tcPr>
          <w:p>
            <w:pPr>
              <w:pStyle w:val="TableText"/>
              <w:ind w:left="435"/>
              <w:spacing w:before="147" w:line="187" w:lineRule="auto"/>
              <w:rPr/>
            </w:pPr>
            <w:r>
              <w:rPr>
                <w:spacing w:val="2"/>
              </w:rPr>
              <w:t>225604</w:t>
            </w:r>
          </w:p>
        </w:tc>
        <w:tc>
          <w:tcPr>
            <w:shd w:val="clear" w:fill="FFFF00"/>
            <w:tcW w:w="1241" w:type="dxa"/>
            <w:vAlign w:val="top"/>
          </w:tcPr>
          <w:p>
            <w:pPr>
              <w:pStyle w:val="TableText"/>
              <w:ind w:left="335"/>
              <w:spacing w:before="116" w:line="252" w:lineRule="exact"/>
              <w:rPr/>
            </w:pPr>
            <w:r>
              <w:rPr>
                <w:spacing w:val="2"/>
                <w:position w:val="1"/>
              </w:rPr>
              <w:t>87.38%</w:t>
            </w:r>
          </w:p>
        </w:tc>
        <w:tc>
          <w:tcPr>
            <w:shd w:val="clear" w:fill="FFFF00"/>
            <w:tcW w:w="1300" w:type="dxa"/>
            <w:vAlign w:val="top"/>
          </w:tcPr>
          <w:p>
            <w:pPr>
              <w:pStyle w:val="TableText"/>
              <w:ind w:left="311"/>
              <w:spacing w:before="116" w:line="252" w:lineRule="exact"/>
              <w:rPr/>
            </w:pPr>
            <w:r>
              <w:rPr>
                <w:spacing w:val="3"/>
                <w:position w:val="1"/>
              </w:rPr>
              <w:t>-10.78%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4"/>
      <w:pgMar w:top="1133" w:right="1070" w:bottom="0" w:left="106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dcterms:created xsi:type="dcterms:W3CDTF">2024-11-14T15:28:05Z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2024-11-14T15:28:12</vt:filetime>
  </property>
</Properties>
</file>