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38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2025年国有资本经营预算收入安排情况表说明</w:t>
      </w:r>
    </w:p>
    <w:p w14:paraId="39650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70995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预算法》“国有资本经营预算是对国有资本收益作出支出安排的收支预算。国有资本经营预算应当按照收支平衡的原则编制，不列赤字，并安排资金调入一般公共预算”的规定，按照“统筹兼顾、适度集中、相对独立、相互衔接”的原则编制县本级国有资本经营预算。2025年纳入县本级国有资本经营预算的单位是县财政出资监管一级企业 4户，分别是上犹县发展投资集团有限公司、上犹县鑫兴文化传播有限公司、上犹县恒达文化传媒有限公司和上犹县犹江文化传媒有限公司。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2025年国有资本经营预算收入上缴比例为2025年公司净利润的30%。2025年国有资本经营预算收入安排数为944万元，同比增长5.6%。</w:t>
      </w:r>
    </w:p>
    <w:p w14:paraId="31120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1.企业上缴利润900万元，同比增长12.5%。</w:t>
      </w:r>
    </w:p>
    <w:p w14:paraId="68873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2.国有企业退休人员社会化补助资金44万元。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D09EA"/>
    <w:rsid w:val="53DD57E1"/>
    <w:rsid w:val="57FA4A5D"/>
    <w:rsid w:val="59917A82"/>
    <w:rsid w:val="6F633146"/>
    <w:rsid w:val="766B168F"/>
    <w:rsid w:val="76A808FB"/>
    <w:rsid w:val="7B55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360</Characters>
  <Lines>0</Lines>
  <Paragraphs>0</Paragraphs>
  <TotalTime>8</TotalTime>
  <ScaleCrop>false</ScaleCrop>
  <LinksUpToDate>false</LinksUpToDate>
  <CharactersWithSpaces>361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小鱼。</cp:lastModifiedBy>
  <dcterms:modified xsi:type="dcterms:W3CDTF">2025-01-06T05:25:07Z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eyJoZGlkIjoiOTBkOGQyZGQ2ODMyNDUwMzA5N2Y3ODdiMzAyOTk0MjgiLCJ1c2VySWQiOiIyNzI0NDIxNDEifQ==</vt:lpwstr>
  </property>
  <property fmtid="{D5CDD505-2E9C-101B-9397-08002B2CF9AE}" pid="4" name="ICV">
    <vt:lpwstr>3C6C3F87409948238BB60706C4F2DCBD_12</vt:lpwstr>
  </property>
</Properties>
</file>